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11237"/>
        <w:gridCol w:w="2097"/>
      </w:tblGrid>
      <w:tr w:rsidR="00FF343B" w:rsidTr="000E6D66">
        <w:trPr>
          <w:tblHeader/>
        </w:trPr>
        <w:tc>
          <w:tcPr>
            <w:tcW w:w="93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11237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2097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0E6D66">
        <w:trPr>
          <w:trHeight w:val="468"/>
        </w:trPr>
        <w:tc>
          <w:tcPr>
            <w:tcW w:w="939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財調</w:t>
            </w:r>
            <w:r>
              <w:rPr>
                <w:rFonts w:eastAsia="標楷體" w:hint="eastAsia"/>
                <w:bCs/>
                <w:szCs w:val="28"/>
              </w:rPr>
              <w:t>0010</w:t>
            </w:r>
          </w:p>
        </w:tc>
        <w:tc>
          <w:tcPr>
            <w:tcW w:w="11237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本案調查期後，多次針對自然人董事爭議部分函詢經濟部，台杉投顧於</w:t>
            </w:r>
            <w:r>
              <w:rPr>
                <w:rFonts w:eastAsia="標楷體" w:hint="eastAsia"/>
                <w:bCs/>
              </w:rPr>
              <w:t>108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9</w:t>
            </w:r>
            <w:r>
              <w:rPr>
                <w:rFonts w:eastAsia="標楷體" w:hint="eastAsia"/>
                <w:bCs/>
              </w:rPr>
              <w:t>月召開臨時股東會，將</w:t>
            </w: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 w:hint="eastAsia"/>
                <w:bCs/>
              </w:rPr>
              <w:t>位自然人董事改列為創新公司之法人董事代表，以符相關企業公司治理規範與社會各界之期待，爾後倘有類似規劃案時，定研擬妥適之公司組織架構及董事會組成，俾於企業彈性與立法院等外部監督檢視機制間取得平衡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◆其他績效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１、國發基金為順利推動國家級投資公司之籌設，依據專案核准之內容，配合台杉投顧籌備作業程序辦理投資，惟該公司籌備團隊為求早日完成公司成立事宜，肇致配合政府投資之相關企業，因時間緊迫，未能完備風險評估等作業。該會定將參採本院調查意見，從中汲取寶貴經驗，俾利精進爾後相關案件之規劃與執行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2.</w:t>
            </w:r>
            <w:r>
              <w:rPr>
                <w:rFonts w:eastAsia="標楷體" w:hint="eastAsia"/>
                <w:bCs/>
              </w:rPr>
              <w:t>為避免不必要之社會質疑及爭議，創新公司未來參與公部門主導之投資案，即使已有公部門董事、監察人之代表，原則仍將依持股比例推派法人代表選任董事或監察人。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 w:hint="eastAsia"/>
                <w:bCs/>
              </w:rPr>
              <w:t>、為利金融業之發展，金管會將持續視整體金融環境之變革，滾動式檢討修正相關金融法令，以擴大金融服務之廣度與深度，俾提升我國金融機構之競爭力，並完善相關監理配套措施。該會將依本院調查意見，賡續檢討法規適宜性，俾金融法令與金融環境得以適配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4</w:t>
            </w:r>
            <w:r>
              <w:rPr>
                <w:rFonts w:eastAsia="標楷體" w:hint="eastAsia"/>
                <w:bCs/>
              </w:rPr>
              <w:t>、臺灣銀行對本案之風險評估有欠周妥之虞，嗣後該行對於各轉投資案，將依「中央政府特種基金參加民營事業投資管理要點」第</w:t>
            </w:r>
            <w:r>
              <w:rPr>
                <w:rFonts w:eastAsia="標楷體" w:hint="eastAsia"/>
                <w:bCs/>
              </w:rPr>
              <w:t>4</w:t>
            </w:r>
            <w:r>
              <w:rPr>
                <w:rFonts w:eastAsia="標楷體" w:hint="eastAsia"/>
                <w:bCs/>
              </w:rPr>
              <w:t>點所列各項加以評估，惟如再遇類此案件，該行將於常董會先就未及敘明部分當場補充說明，並取得常董會授權於會後將補充說明內容納入「投資計畫」，力求投資案之評估周延妥適。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5</w:t>
            </w:r>
            <w:r>
              <w:rPr>
                <w:rFonts w:eastAsia="標楷體" w:hint="eastAsia"/>
                <w:bCs/>
              </w:rPr>
              <w:t>、臺灣銀行在行政院未核准前，先以墊款方式繳足投資股款乙節，嗣後當依調查意見改善及相關規定辦理，務必於投資前取得行政院同意先行辦理之核准。</w:t>
            </w:r>
          </w:p>
        </w:tc>
        <w:tc>
          <w:tcPr>
            <w:tcW w:w="2097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財政及經濟委員會109.05.06第5屆第75次會議決議 : 結案存查。</w:t>
            </w:r>
          </w:p>
        </w:tc>
      </w:tr>
    </w:tbl>
    <w:p w:rsidR="008E6A2A" w:rsidRDefault="008E6A2A" w:rsidP="000E6D66">
      <w:pPr>
        <w:snapToGrid w:val="0"/>
        <w:spacing w:beforeLines="100" w:before="360" w:line="240" w:lineRule="atLeast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1F" w:rsidRDefault="005E2D1F" w:rsidP="008E6A2A">
      <w:r>
        <w:separator/>
      </w:r>
    </w:p>
  </w:endnote>
  <w:endnote w:type="continuationSeparator" w:id="0">
    <w:p w:rsidR="005E2D1F" w:rsidRDefault="005E2D1F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0C476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0C4767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0C4767" w:rsidRPr="00530BF4">
      <w:rPr>
        <w:rFonts w:eastAsia="標楷體"/>
      </w:rPr>
      <w:fldChar w:fldCharType="separate"/>
    </w:r>
    <w:r w:rsidR="00632D9D">
      <w:rPr>
        <w:rFonts w:eastAsia="標楷體"/>
        <w:noProof/>
      </w:rPr>
      <w:t>1</w:t>
    </w:r>
    <w:r w:rsidR="000C4767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fldSimple w:instr=" NUMPAGES  \* Arabic  \* MERGEFORMAT ">
      <w:r w:rsidR="00632D9D" w:rsidRPr="00632D9D">
        <w:rPr>
          <w:rFonts w:eastAsia="標楷體"/>
          <w:noProof/>
        </w:rPr>
        <w:t>1</w:t>
      </w:r>
    </w:fldSimple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110/06/03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1F" w:rsidRDefault="005E2D1F" w:rsidP="008E6A2A">
      <w:r>
        <w:separator/>
      </w:r>
    </w:p>
  </w:footnote>
  <w:footnote w:type="continuationSeparator" w:id="0">
    <w:p w:rsidR="005E2D1F" w:rsidRDefault="005E2D1F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監察院財政及經濟委員會調查報告結案情形一覽表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C4767"/>
    <w:rsid w:val="000D173D"/>
    <w:rsid w:val="000D2F33"/>
    <w:rsid w:val="000E6D66"/>
    <w:rsid w:val="00107F76"/>
    <w:rsid w:val="00116C5C"/>
    <w:rsid w:val="00132E54"/>
    <w:rsid w:val="00135D2D"/>
    <w:rsid w:val="001546FD"/>
    <w:rsid w:val="001A630D"/>
    <w:rsid w:val="001C2DB1"/>
    <w:rsid w:val="001C2FC4"/>
    <w:rsid w:val="001F18D3"/>
    <w:rsid w:val="001F4DA4"/>
    <w:rsid w:val="00203463"/>
    <w:rsid w:val="002551AA"/>
    <w:rsid w:val="00286BEE"/>
    <w:rsid w:val="00294BC3"/>
    <w:rsid w:val="002A1394"/>
    <w:rsid w:val="002A41AF"/>
    <w:rsid w:val="002B00F5"/>
    <w:rsid w:val="002D7800"/>
    <w:rsid w:val="002E1204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1A51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5E2D1F"/>
    <w:rsid w:val="006051B8"/>
    <w:rsid w:val="00605556"/>
    <w:rsid w:val="00605E93"/>
    <w:rsid w:val="00615817"/>
    <w:rsid w:val="006305BF"/>
    <w:rsid w:val="00632D9D"/>
    <w:rsid w:val="00634976"/>
    <w:rsid w:val="006818CF"/>
    <w:rsid w:val="006B1797"/>
    <w:rsid w:val="006C264B"/>
    <w:rsid w:val="007032D2"/>
    <w:rsid w:val="00720393"/>
    <w:rsid w:val="00726EAD"/>
    <w:rsid w:val="007336A7"/>
    <w:rsid w:val="0076121B"/>
    <w:rsid w:val="0078237E"/>
    <w:rsid w:val="00782BFE"/>
    <w:rsid w:val="008022A2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56E5"/>
    <w:rsid w:val="008C6961"/>
    <w:rsid w:val="008E6A2A"/>
    <w:rsid w:val="008F1D41"/>
    <w:rsid w:val="009038BA"/>
    <w:rsid w:val="00911C3F"/>
    <w:rsid w:val="00911FB8"/>
    <w:rsid w:val="0094299B"/>
    <w:rsid w:val="0095652A"/>
    <w:rsid w:val="00960E88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3C20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86371"/>
    <w:rsid w:val="00CB2E8C"/>
    <w:rsid w:val="00CC2941"/>
    <w:rsid w:val="00CC4AAE"/>
    <w:rsid w:val="00CD3A33"/>
    <w:rsid w:val="00D064A0"/>
    <w:rsid w:val="00D064E1"/>
    <w:rsid w:val="00D27C46"/>
    <w:rsid w:val="00D47D4D"/>
    <w:rsid w:val="00D76EC1"/>
    <w:rsid w:val="00D87FA8"/>
    <w:rsid w:val="00D97F24"/>
    <w:rsid w:val="00DA6DB5"/>
    <w:rsid w:val="00DD0571"/>
    <w:rsid w:val="00DE0419"/>
    <w:rsid w:val="00E177C9"/>
    <w:rsid w:val="00E84CC0"/>
    <w:rsid w:val="00E92538"/>
    <w:rsid w:val="00E93223"/>
    <w:rsid w:val="00E95086"/>
    <w:rsid w:val="00ED5BEB"/>
    <w:rsid w:val="00EE1FB2"/>
    <w:rsid w:val="00EE3734"/>
    <w:rsid w:val="00EE4482"/>
    <w:rsid w:val="00F041B1"/>
    <w:rsid w:val="00F9537C"/>
    <w:rsid w:val="00F96995"/>
    <w:rsid w:val="00FD1947"/>
    <w:rsid w:val="00FD7421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監察院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3</cp:revision>
  <cp:lastPrinted>2021-06-03T08:03:00Z</cp:lastPrinted>
  <dcterms:created xsi:type="dcterms:W3CDTF">2021-06-03T07:01:00Z</dcterms:created>
  <dcterms:modified xsi:type="dcterms:W3CDTF">2021-06-03T08:03:00Z</dcterms:modified>
</cp:coreProperties>
</file>