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0011</w:t>
            </w:r>
          </w:p>
        </w:tc>
        <w:tc>
          <w:tcPr>
            <w:tcW w:w="5762" w:type="dxa"/>
          </w:tcPr>
          <w:p w:rsidR="00FC5615" w:rsidRPr="00FC5615" w:rsidRDefault="00FC5615" w:rsidP="00FC5615">
            <w:pPr>
              <w:pStyle w:val="af1"/>
              <w:numPr>
                <w:ilvl w:val="0"/>
                <w:numId w:val="29"/>
              </w:numPr>
              <w:spacing w:line="360" w:lineRule="atLeast"/>
              <w:ind w:leftChars="0"/>
              <w:jc w:val="both"/>
              <w:rPr>
                <w:rFonts w:ascii="標楷體" w:eastAsia="標楷體" w:hAnsi="標楷體"/>
                <w:bCs/>
              </w:rPr>
            </w:pPr>
            <w:bookmarkStart w:id="0" w:name="_GoBack"/>
            <w:r w:rsidRPr="00FC5615">
              <w:rPr>
                <w:rFonts w:ascii="標楷體" w:eastAsia="標楷體" w:hAnsi="標楷體"/>
              </w:rPr>
              <w:t>法務部檢察官人事審議委員會已於第114次會議審議決議，依法官法第95條第2款，核予彭坤業主任檢察官「警告」之行政監督處分</w:t>
            </w:r>
            <w:r w:rsidRPr="00FC5615">
              <w:rPr>
                <w:rFonts w:ascii="標楷體" w:eastAsia="標楷體" w:hAnsi="標楷體" w:hint="eastAsia"/>
                <w:bCs/>
              </w:rPr>
              <w:t>。</w:t>
            </w:r>
            <w:r w:rsidRPr="00FC5615">
              <w:rPr>
                <w:rFonts w:ascii="標楷體" w:eastAsia="標楷體" w:hAnsi="標楷體" w:hint="eastAsia"/>
                <w:bCs/>
              </w:rPr>
              <w:t>法務部檢審會於109年5月14日核予彭主任檢察官「警告」之行政監督處分。又法務部109年8月25日召開臨時檢審會，討論彭坤業的「主任」去留，但因彭坤業於同月21日提前退休，檢審會無法審議，決議免議。</w:t>
            </w:r>
          </w:p>
          <w:p w:rsidR="00FF343B" w:rsidRPr="00FC5615" w:rsidRDefault="00FC5615" w:rsidP="00FC5615">
            <w:pPr>
              <w:pStyle w:val="af1"/>
              <w:numPr>
                <w:ilvl w:val="0"/>
                <w:numId w:val="29"/>
              </w:numPr>
              <w:spacing w:line="360" w:lineRule="atLeas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FC5615">
              <w:rPr>
                <w:rFonts w:ascii="標楷體" w:eastAsia="標楷體" w:hAnsi="標楷體" w:hint="eastAsia"/>
                <w:bCs/>
              </w:rPr>
              <w:t>法務部亦函請各檢察機關檢察長所為之指揮監督命令，若涉及強制處分權之行使、犯罪事實之認定或法律之適用者，應依法官法第92條第2項前段「其命令應以書面附理由為之」辦理；並修正「檢察機關辦理刑事訴訟案件應行注意事項」有關認罪協商之規定(第138點至第142點)，</w:t>
            </w:r>
            <w:proofErr w:type="gramStart"/>
            <w:r w:rsidRPr="00FC5615">
              <w:rPr>
                <w:rFonts w:ascii="標楷體" w:eastAsia="標楷體" w:hAnsi="標楷體" w:hint="eastAsia"/>
                <w:bCs/>
              </w:rPr>
              <w:t>俾</w:t>
            </w:r>
            <w:proofErr w:type="gramEnd"/>
            <w:r w:rsidRPr="00FC5615">
              <w:rPr>
                <w:rFonts w:ascii="標楷體" w:eastAsia="標楷體" w:hAnsi="標楷體" w:hint="eastAsia"/>
                <w:bCs/>
              </w:rPr>
              <w:t>利檢察官執行職務有所</w:t>
            </w:r>
            <w:proofErr w:type="gramStart"/>
            <w:r w:rsidRPr="00FC5615">
              <w:rPr>
                <w:rFonts w:ascii="標楷體" w:eastAsia="標楷體" w:hAnsi="標楷體" w:hint="eastAsia"/>
                <w:bCs/>
              </w:rPr>
              <w:t>依循及供</w:t>
            </w:r>
            <w:proofErr w:type="gramEnd"/>
            <w:r w:rsidRPr="00FC5615">
              <w:rPr>
                <w:rFonts w:ascii="標楷體" w:eastAsia="標楷體" w:hAnsi="標楷體" w:hint="eastAsia"/>
                <w:bCs/>
              </w:rPr>
              <w:t>查考。</w:t>
            </w:r>
          </w:p>
          <w:bookmarkEnd w:id="0"/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司法及獄政委員會109.07.15第5屆第73次會議決議 : 結案存查。</w:t>
            </w:r>
          </w:p>
        </w:tc>
      </w:tr>
    </w:tbl>
    <w:p w:rsidR="008E6A2A" w:rsidRDefault="008E6A2A" w:rsidP="00FC5615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DB" w:rsidRDefault="00A413DB" w:rsidP="008E6A2A">
      <w:r>
        <w:separator/>
      </w:r>
    </w:p>
  </w:endnote>
  <w:endnote w:type="continuationSeparator" w:id="0">
    <w:p w:rsidR="00A413DB" w:rsidRDefault="00A413DB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7540A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DB" w:rsidRDefault="00A413DB" w:rsidP="008E6A2A">
      <w:r>
        <w:separator/>
      </w:r>
    </w:p>
  </w:footnote>
  <w:footnote w:type="continuationSeparator" w:id="0">
    <w:p w:rsidR="00A413DB" w:rsidRDefault="00A413DB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F46CE7"/>
    <w:multiLevelType w:val="hybridMultilevel"/>
    <w:tmpl w:val="D936A18A"/>
    <w:lvl w:ilvl="0" w:tplc="EF6EE28C">
      <w:start w:val="1"/>
      <w:numFmt w:val="decimal"/>
      <w:lvlText w:val="%1、"/>
      <w:lvlJc w:val="left"/>
      <w:pPr>
        <w:ind w:left="360" w:hanging="360"/>
      </w:pPr>
      <w:rPr>
        <w:rFonts w:eastAsia="新細明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7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9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0"/>
  </w:num>
  <w:num w:numId="5">
    <w:abstractNumId w:val="24"/>
  </w:num>
  <w:num w:numId="6">
    <w:abstractNumId w:val="28"/>
  </w:num>
  <w:num w:numId="7">
    <w:abstractNumId w:val="23"/>
  </w:num>
  <w:num w:numId="8">
    <w:abstractNumId w:val="2"/>
  </w:num>
  <w:num w:numId="9">
    <w:abstractNumId w:val="7"/>
  </w:num>
  <w:num w:numId="10">
    <w:abstractNumId w:val="25"/>
  </w:num>
  <w:num w:numId="11">
    <w:abstractNumId w:val="14"/>
  </w:num>
  <w:num w:numId="12">
    <w:abstractNumId w:val="22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26"/>
  </w:num>
  <w:num w:numId="18">
    <w:abstractNumId w:val="10"/>
  </w:num>
  <w:num w:numId="19">
    <w:abstractNumId w:val="17"/>
  </w:num>
  <w:num w:numId="20">
    <w:abstractNumId w:val="3"/>
  </w:num>
  <w:num w:numId="21">
    <w:abstractNumId w:val="21"/>
  </w:num>
  <w:num w:numId="22">
    <w:abstractNumId w:val="19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7"/>
  </w:num>
  <w:num w:numId="28">
    <w:abstractNumId w:val="5"/>
  </w:num>
  <w:num w:numId="2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540AE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ADF"/>
    <w:rsid w:val="00A20EDD"/>
    <w:rsid w:val="00A275CD"/>
    <w:rsid w:val="00A37697"/>
    <w:rsid w:val="00A40DAA"/>
    <w:rsid w:val="00A413DB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C561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7EB51-F91B-4BA4-85B8-0359AB1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qFormat/>
    <w:rsid w:val="00FC56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監察院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2021-06-03T01:29:00Z</dcterms:created>
  <dcterms:modified xsi:type="dcterms:W3CDTF">2021-06-03T01:35:00Z</dcterms:modified>
</cp:coreProperties>
</file>