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0F7" w:rsidRPr="004E392E" w:rsidRDefault="006160F7" w:rsidP="00650A1D">
      <w:pPr>
        <w:spacing w:afterLines="25"/>
        <w:rPr>
          <w:bCs/>
          <w:sz w:val="28"/>
        </w:rPr>
      </w:pPr>
      <w:r w:rsidRPr="004E392E">
        <w:rPr>
          <w:bCs/>
          <w:sz w:val="28"/>
        </w:rPr>
        <w:t>表三、換股比例：</w:t>
      </w:r>
      <w:r w:rsidRPr="004E392E">
        <w:rPr>
          <w:bCs/>
          <w:sz w:val="28"/>
        </w:rPr>
        <w:t>1</w:t>
      </w:r>
      <w:r w:rsidRPr="004E392E">
        <w:rPr>
          <w:bCs/>
          <w:sz w:val="28"/>
        </w:rPr>
        <w:t>股國泰金股票換多少股</w:t>
      </w:r>
      <w:proofErr w:type="gramStart"/>
      <w:r w:rsidRPr="004E392E">
        <w:rPr>
          <w:bCs/>
          <w:sz w:val="28"/>
        </w:rPr>
        <w:t>世</w:t>
      </w:r>
      <w:proofErr w:type="gramEnd"/>
      <w:r w:rsidRPr="004E392E">
        <w:rPr>
          <w:bCs/>
          <w:sz w:val="28"/>
        </w:rPr>
        <w:t>華銀行股票</w:t>
      </w:r>
      <w:r w:rsidR="00C91351">
        <w:rPr>
          <w:rFonts w:hint="eastAsia"/>
          <w:bCs/>
          <w:sz w:val="28"/>
        </w:rPr>
        <w:t>-</w:t>
      </w:r>
      <w:r w:rsidR="00C91351">
        <w:rPr>
          <w:rFonts w:hint="eastAsia"/>
          <w:bCs/>
          <w:sz w:val="28"/>
        </w:rPr>
        <w:t>實際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7"/>
        <w:gridCol w:w="1687"/>
        <w:gridCol w:w="6095"/>
      </w:tblGrid>
      <w:tr w:rsidR="006160F7" w:rsidRPr="004E392E" w:rsidTr="006047A2">
        <w:tc>
          <w:tcPr>
            <w:tcW w:w="1007" w:type="dxa"/>
          </w:tcPr>
          <w:p w:rsidR="006160F7" w:rsidRPr="004E392E" w:rsidRDefault="006160F7" w:rsidP="006160F7">
            <w:pPr>
              <w:rPr>
                <w:sz w:val="24"/>
                <w:szCs w:val="24"/>
              </w:rPr>
            </w:pPr>
            <w:r w:rsidRPr="004E392E">
              <w:rPr>
                <w:sz w:val="24"/>
                <w:szCs w:val="24"/>
              </w:rPr>
              <w:t>日期</w:t>
            </w:r>
          </w:p>
        </w:tc>
        <w:tc>
          <w:tcPr>
            <w:tcW w:w="1687" w:type="dxa"/>
          </w:tcPr>
          <w:p w:rsidR="006160F7" w:rsidRPr="004E392E" w:rsidRDefault="006160F7" w:rsidP="006160F7">
            <w:pPr>
              <w:rPr>
                <w:sz w:val="24"/>
                <w:szCs w:val="24"/>
              </w:rPr>
            </w:pPr>
            <w:r w:rsidRPr="004E392E">
              <w:rPr>
                <w:sz w:val="24"/>
                <w:szCs w:val="24"/>
              </w:rPr>
              <w:t>數量</w:t>
            </w:r>
          </w:p>
        </w:tc>
        <w:tc>
          <w:tcPr>
            <w:tcW w:w="6095" w:type="dxa"/>
          </w:tcPr>
          <w:p w:rsidR="006160F7" w:rsidRPr="004E392E" w:rsidRDefault="006160F7" w:rsidP="006160F7">
            <w:pPr>
              <w:rPr>
                <w:sz w:val="24"/>
                <w:szCs w:val="24"/>
              </w:rPr>
            </w:pPr>
            <w:r w:rsidRPr="004E392E">
              <w:rPr>
                <w:sz w:val="24"/>
                <w:szCs w:val="24"/>
              </w:rPr>
              <w:t>備註</w:t>
            </w:r>
          </w:p>
        </w:tc>
      </w:tr>
      <w:tr w:rsidR="006160F7" w:rsidRPr="004E392E" w:rsidTr="006047A2">
        <w:tc>
          <w:tcPr>
            <w:tcW w:w="1007" w:type="dxa"/>
          </w:tcPr>
          <w:p w:rsidR="006160F7" w:rsidRPr="004E392E" w:rsidRDefault="006160F7" w:rsidP="006160F7">
            <w:pPr>
              <w:rPr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91.5.20</w:t>
            </w:r>
          </w:p>
        </w:tc>
        <w:tc>
          <w:tcPr>
            <w:tcW w:w="1687" w:type="dxa"/>
          </w:tcPr>
          <w:p w:rsidR="006160F7" w:rsidRPr="004E392E" w:rsidRDefault="006160F7" w:rsidP="006160F7">
            <w:pPr>
              <w:rPr>
                <w:sz w:val="24"/>
                <w:szCs w:val="24"/>
              </w:rPr>
            </w:pPr>
            <w:r w:rsidRPr="004E392E">
              <w:rPr>
                <w:sz w:val="24"/>
                <w:szCs w:val="24"/>
              </w:rPr>
              <w:t>1.85-2.15</w:t>
            </w:r>
            <w:r w:rsidRPr="004E392E">
              <w:rPr>
                <w:sz w:val="24"/>
                <w:szCs w:val="24"/>
              </w:rPr>
              <w:t>股</w:t>
            </w:r>
          </w:p>
        </w:tc>
        <w:tc>
          <w:tcPr>
            <w:tcW w:w="6095" w:type="dxa"/>
          </w:tcPr>
          <w:p w:rsidR="006160F7" w:rsidRPr="004E392E" w:rsidRDefault="00566BC2" w:rsidP="00566BC2">
            <w:pPr>
              <w:ind w:leftChars="-14" w:left="-45" w:hangingChars="1" w:hanging="3"/>
              <w:rPr>
                <w:sz w:val="24"/>
                <w:szCs w:val="24"/>
              </w:rPr>
            </w:pPr>
            <w:r w:rsidRPr="004E392E">
              <w:rPr>
                <w:sz w:val="24"/>
              </w:rPr>
              <w:t>摩根大通</w:t>
            </w:r>
            <w:r w:rsidRPr="004E392E">
              <w:rPr>
                <w:sz w:val="24"/>
              </w:rPr>
              <w:t>(</w:t>
            </w:r>
            <w:proofErr w:type="gramStart"/>
            <w:r w:rsidR="006160F7" w:rsidRPr="004E392E">
              <w:rPr>
                <w:sz w:val="24"/>
              </w:rPr>
              <w:t>國泰金控委託</w:t>
            </w:r>
            <w:proofErr w:type="gramEnd"/>
            <w:r w:rsidRPr="004E392E">
              <w:rPr>
                <w:sz w:val="24"/>
              </w:rPr>
              <w:t>)</w:t>
            </w:r>
            <w:r w:rsidR="006160F7" w:rsidRPr="004E392E">
              <w:rPr>
                <w:sz w:val="24"/>
              </w:rPr>
              <w:t>之提議</w:t>
            </w:r>
          </w:p>
        </w:tc>
      </w:tr>
      <w:tr w:rsidR="006160F7" w:rsidRPr="004E392E" w:rsidTr="006047A2">
        <w:tc>
          <w:tcPr>
            <w:tcW w:w="1007" w:type="dxa"/>
          </w:tcPr>
          <w:p w:rsidR="006160F7" w:rsidRPr="004E392E" w:rsidRDefault="006160F7" w:rsidP="00566BC2">
            <w:pPr>
              <w:jc w:val="right"/>
              <w:rPr>
                <w:sz w:val="24"/>
                <w:szCs w:val="24"/>
              </w:rPr>
            </w:pPr>
            <w:r w:rsidRPr="004E392E">
              <w:rPr>
                <w:sz w:val="24"/>
                <w:szCs w:val="24"/>
              </w:rPr>
              <w:t>10.14</w:t>
            </w:r>
          </w:p>
        </w:tc>
        <w:tc>
          <w:tcPr>
            <w:tcW w:w="1687" w:type="dxa"/>
          </w:tcPr>
          <w:p w:rsidR="006160F7" w:rsidRPr="004E392E" w:rsidRDefault="006160F7" w:rsidP="006160F7">
            <w:pPr>
              <w:rPr>
                <w:sz w:val="24"/>
                <w:szCs w:val="24"/>
              </w:rPr>
            </w:pPr>
            <w:r w:rsidRPr="004E392E">
              <w:rPr>
                <w:sz w:val="24"/>
                <w:szCs w:val="24"/>
              </w:rPr>
              <w:t>1.60</w:t>
            </w:r>
            <w:r w:rsidRPr="004E392E">
              <w:rPr>
                <w:sz w:val="24"/>
                <w:szCs w:val="24"/>
              </w:rPr>
              <w:t>股</w:t>
            </w:r>
          </w:p>
        </w:tc>
        <w:tc>
          <w:tcPr>
            <w:tcW w:w="6095" w:type="dxa"/>
          </w:tcPr>
          <w:p w:rsidR="006160F7" w:rsidRPr="004E392E" w:rsidRDefault="006160F7" w:rsidP="006160F7">
            <w:pPr>
              <w:ind w:leftChars="-14" w:left="-45" w:hangingChars="1" w:hanging="3"/>
              <w:rPr>
                <w:sz w:val="24"/>
                <w:szCs w:val="24"/>
              </w:rPr>
            </w:pPr>
            <w:r w:rsidRPr="004E392E">
              <w:rPr>
                <w:sz w:val="24"/>
                <w:szCs w:val="24"/>
              </w:rPr>
              <w:t>國泰金</w:t>
            </w:r>
            <w:proofErr w:type="gramStart"/>
            <w:r w:rsidRPr="004E392E">
              <w:rPr>
                <w:sz w:val="24"/>
                <w:szCs w:val="24"/>
              </w:rPr>
              <w:t>採</w:t>
            </w:r>
            <w:proofErr w:type="gramEnd"/>
            <w:r w:rsidRPr="004E392E">
              <w:rPr>
                <w:sz w:val="24"/>
                <w:szCs w:val="24"/>
              </w:rPr>
              <w:t>91.8.9</w:t>
            </w:r>
            <w:r w:rsidRPr="004E392E">
              <w:rPr>
                <w:sz w:val="24"/>
                <w:szCs w:val="24"/>
              </w:rPr>
              <w:t>一日之收盤價（</w:t>
            </w:r>
            <w:r w:rsidRPr="004E392E">
              <w:rPr>
                <w:sz w:val="24"/>
                <w:szCs w:val="24"/>
              </w:rPr>
              <w:t>48.6</w:t>
            </w:r>
            <w:r w:rsidRPr="004E392E">
              <w:rPr>
                <w:sz w:val="24"/>
                <w:szCs w:val="24"/>
              </w:rPr>
              <w:t>元），其妥適</w:t>
            </w:r>
            <w:proofErr w:type="gramStart"/>
            <w:r w:rsidRPr="004E392E">
              <w:rPr>
                <w:sz w:val="24"/>
                <w:szCs w:val="24"/>
              </w:rPr>
              <w:t>性參閱</w:t>
            </w:r>
            <w:proofErr w:type="gramEnd"/>
            <w:r w:rsidRPr="004E392E">
              <w:rPr>
                <w:sz w:val="24"/>
                <w:szCs w:val="24"/>
              </w:rPr>
              <w:t>表三</w:t>
            </w:r>
            <w:r w:rsidRPr="004E392E">
              <w:rPr>
                <w:sz w:val="24"/>
                <w:szCs w:val="24"/>
              </w:rPr>
              <w:t>-1</w:t>
            </w:r>
            <w:r w:rsidRPr="004E392E">
              <w:rPr>
                <w:sz w:val="24"/>
                <w:szCs w:val="24"/>
              </w:rPr>
              <w:t>之說明</w:t>
            </w:r>
            <w:r w:rsidRPr="004E392E">
              <w:rPr>
                <w:sz w:val="24"/>
                <w:szCs w:val="24"/>
              </w:rPr>
              <w:t>b</w:t>
            </w:r>
          </w:p>
          <w:p w:rsidR="006160F7" w:rsidRPr="004E392E" w:rsidRDefault="006160F7" w:rsidP="006160F7">
            <w:pPr>
              <w:ind w:leftChars="-14" w:left="-45" w:hangingChars="1" w:hanging="3"/>
              <w:rPr>
                <w:sz w:val="24"/>
                <w:szCs w:val="24"/>
              </w:rPr>
            </w:pPr>
            <w:proofErr w:type="gramStart"/>
            <w:r w:rsidRPr="004E392E">
              <w:rPr>
                <w:sz w:val="24"/>
                <w:szCs w:val="24"/>
              </w:rPr>
              <w:t>世</w:t>
            </w:r>
            <w:proofErr w:type="gramEnd"/>
            <w:r w:rsidRPr="004E392E">
              <w:rPr>
                <w:sz w:val="24"/>
                <w:szCs w:val="24"/>
              </w:rPr>
              <w:t>華購</w:t>
            </w:r>
            <w:proofErr w:type="gramStart"/>
            <w:r w:rsidRPr="004E392E">
              <w:rPr>
                <w:sz w:val="24"/>
                <w:szCs w:val="24"/>
              </w:rPr>
              <w:t>併</w:t>
            </w:r>
            <w:proofErr w:type="gramEnd"/>
            <w:r w:rsidRPr="004E392E">
              <w:rPr>
                <w:sz w:val="24"/>
                <w:szCs w:val="24"/>
              </w:rPr>
              <w:t>價值區間：</w:t>
            </w:r>
            <w:r w:rsidRPr="004E392E">
              <w:rPr>
                <w:sz w:val="24"/>
                <w:szCs w:val="24"/>
              </w:rPr>
              <w:t>29 -32</w:t>
            </w:r>
            <w:r w:rsidRPr="004E392E">
              <w:rPr>
                <w:sz w:val="24"/>
                <w:szCs w:val="24"/>
              </w:rPr>
              <w:t>元</w:t>
            </w:r>
          </w:p>
          <w:p w:rsidR="006160F7" w:rsidRPr="004E392E" w:rsidRDefault="006160F7" w:rsidP="006160F7">
            <w:pPr>
              <w:ind w:leftChars="-14" w:left="-45" w:hangingChars="1" w:hanging="3"/>
              <w:rPr>
                <w:sz w:val="24"/>
                <w:szCs w:val="24"/>
              </w:rPr>
            </w:pPr>
            <w:r w:rsidRPr="004E392E">
              <w:rPr>
                <w:sz w:val="24"/>
                <w:szCs w:val="24"/>
              </w:rPr>
              <w:t>換股比例區間：</w:t>
            </w:r>
            <w:r w:rsidRPr="004E392E">
              <w:rPr>
                <w:sz w:val="24"/>
                <w:szCs w:val="24"/>
              </w:rPr>
              <w:t>1</w:t>
            </w:r>
            <w:r w:rsidRPr="004E392E">
              <w:rPr>
                <w:sz w:val="24"/>
                <w:szCs w:val="24"/>
              </w:rPr>
              <w:t>：</w:t>
            </w:r>
            <w:r w:rsidRPr="004E392E">
              <w:rPr>
                <w:sz w:val="24"/>
                <w:szCs w:val="24"/>
              </w:rPr>
              <w:t>1.68-1</w:t>
            </w:r>
            <w:r w:rsidRPr="004E392E">
              <w:rPr>
                <w:sz w:val="24"/>
                <w:szCs w:val="24"/>
              </w:rPr>
              <w:t>：</w:t>
            </w:r>
            <w:r w:rsidRPr="004E392E">
              <w:rPr>
                <w:sz w:val="24"/>
                <w:szCs w:val="24"/>
              </w:rPr>
              <w:t>1.52</w:t>
            </w:r>
            <w:r w:rsidRPr="004E392E">
              <w:rPr>
                <w:sz w:val="24"/>
                <w:szCs w:val="24"/>
              </w:rPr>
              <w:t>，其妥適</w:t>
            </w:r>
            <w:proofErr w:type="gramStart"/>
            <w:r w:rsidRPr="004E392E">
              <w:rPr>
                <w:sz w:val="24"/>
                <w:szCs w:val="24"/>
              </w:rPr>
              <w:t>性參閱</w:t>
            </w:r>
            <w:proofErr w:type="gramEnd"/>
            <w:r w:rsidRPr="004E392E">
              <w:rPr>
                <w:sz w:val="24"/>
                <w:szCs w:val="24"/>
              </w:rPr>
              <w:t>表三</w:t>
            </w:r>
            <w:r w:rsidRPr="004E392E">
              <w:rPr>
                <w:sz w:val="24"/>
                <w:szCs w:val="24"/>
              </w:rPr>
              <w:t>-1(</w:t>
            </w:r>
            <w:r w:rsidRPr="004E392E">
              <w:rPr>
                <w:sz w:val="24"/>
                <w:szCs w:val="24"/>
              </w:rPr>
              <w:t>表主體</w:t>
            </w:r>
            <w:r w:rsidRPr="004E392E">
              <w:rPr>
                <w:sz w:val="24"/>
                <w:szCs w:val="24"/>
              </w:rPr>
              <w:t>)</w:t>
            </w:r>
            <w:r w:rsidRPr="004E392E">
              <w:rPr>
                <w:sz w:val="24"/>
                <w:szCs w:val="24"/>
              </w:rPr>
              <w:t>，雙方議定</w:t>
            </w:r>
            <w:r w:rsidRPr="004E392E">
              <w:rPr>
                <w:sz w:val="24"/>
                <w:szCs w:val="24"/>
              </w:rPr>
              <w:t>1.60</w:t>
            </w:r>
          </w:p>
        </w:tc>
      </w:tr>
      <w:tr w:rsidR="006160F7" w:rsidRPr="004E392E" w:rsidTr="006047A2">
        <w:tc>
          <w:tcPr>
            <w:tcW w:w="1007" w:type="dxa"/>
          </w:tcPr>
          <w:p w:rsidR="006160F7" w:rsidRPr="004E392E" w:rsidRDefault="006160F7" w:rsidP="00566BC2">
            <w:pPr>
              <w:jc w:val="right"/>
              <w:rPr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11.04</w:t>
            </w:r>
          </w:p>
        </w:tc>
        <w:tc>
          <w:tcPr>
            <w:tcW w:w="1687" w:type="dxa"/>
          </w:tcPr>
          <w:p w:rsidR="006160F7" w:rsidRPr="004E392E" w:rsidRDefault="006160F7" w:rsidP="006160F7">
            <w:pPr>
              <w:rPr>
                <w:sz w:val="24"/>
                <w:szCs w:val="24"/>
              </w:rPr>
            </w:pPr>
            <w:r w:rsidRPr="004E392E">
              <w:rPr>
                <w:sz w:val="24"/>
                <w:szCs w:val="24"/>
              </w:rPr>
              <w:t>1.684</w:t>
            </w:r>
            <w:r w:rsidRPr="004E392E">
              <w:rPr>
                <w:sz w:val="24"/>
                <w:szCs w:val="24"/>
              </w:rPr>
              <w:t>股</w:t>
            </w:r>
          </w:p>
        </w:tc>
        <w:tc>
          <w:tcPr>
            <w:tcW w:w="6095" w:type="dxa"/>
          </w:tcPr>
          <w:p w:rsidR="006160F7" w:rsidRDefault="00566BC2" w:rsidP="00566BC2">
            <w:pPr>
              <w:ind w:left="31" w:hangingChars="12" w:hanging="31"/>
              <w:jc w:val="both"/>
              <w:rPr>
                <w:color w:val="000000"/>
                <w:sz w:val="24"/>
              </w:rPr>
            </w:pPr>
            <w:r w:rsidRPr="004E392E">
              <w:rPr>
                <w:sz w:val="24"/>
                <w:szCs w:val="24"/>
              </w:rPr>
              <w:t>實為</w:t>
            </w:r>
            <w:r w:rsidRPr="004E392E">
              <w:rPr>
                <w:sz w:val="24"/>
                <w:szCs w:val="24"/>
              </w:rPr>
              <w:t>10.14</w:t>
            </w:r>
            <w:r w:rsidRPr="004E392E">
              <w:rPr>
                <w:sz w:val="24"/>
                <w:szCs w:val="24"/>
              </w:rPr>
              <w:t>之</w:t>
            </w:r>
            <w:r w:rsidRPr="004E392E">
              <w:rPr>
                <w:sz w:val="24"/>
                <w:szCs w:val="24"/>
              </w:rPr>
              <w:t>1.60</w:t>
            </w:r>
            <w:r w:rsidRPr="004E392E">
              <w:rPr>
                <w:sz w:val="24"/>
                <w:szCs w:val="24"/>
              </w:rPr>
              <w:t>股，</w:t>
            </w:r>
            <w:r w:rsidR="006160F7" w:rsidRPr="004E392E">
              <w:rPr>
                <w:sz w:val="24"/>
                <w:szCs w:val="24"/>
              </w:rPr>
              <w:t>因</w:t>
            </w:r>
            <w:proofErr w:type="gramStart"/>
            <w:r w:rsidR="006160F7" w:rsidRPr="004E392E">
              <w:rPr>
                <w:sz w:val="24"/>
                <w:szCs w:val="24"/>
              </w:rPr>
              <w:t>世</w:t>
            </w:r>
            <w:proofErr w:type="gramEnd"/>
            <w:r w:rsidR="006160F7" w:rsidRPr="004E392E">
              <w:rPr>
                <w:sz w:val="24"/>
                <w:szCs w:val="24"/>
              </w:rPr>
              <w:t>華</w:t>
            </w:r>
            <w:r w:rsidRPr="004E392E">
              <w:rPr>
                <w:sz w:val="24"/>
                <w:szCs w:val="24"/>
              </w:rPr>
              <w:t>發放</w:t>
            </w:r>
            <w:r w:rsidR="006160F7" w:rsidRPr="004E392E">
              <w:rPr>
                <w:sz w:val="24"/>
                <w:szCs w:val="24"/>
              </w:rPr>
              <w:t>股票股利而調整</w:t>
            </w:r>
            <w:r w:rsidRPr="004E392E">
              <w:rPr>
                <w:sz w:val="24"/>
                <w:szCs w:val="24"/>
              </w:rPr>
              <w:t>；國泰金則未在</w:t>
            </w:r>
            <w:r w:rsidRPr="004E392E">
              <w:rPr>
                <w:color w:val="000000"/>
                <w:sz w:val="24"/>
              </w:rPr>
              <w:t>91-92</w:t>
            </w:r>
            <w:r w:rsidRPr="004E392E">
              <w:rPr>
                <w:color w:val="000000"/>
                <w:sz w:val="24"/>
              </w:rPr>
              <w:t>年發放股票股利</w:t>
            </w:r>
          </w:p>
          <w:tbl>
            <w:tblPr>
              <w:tblW w:w="0" w:type="auto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650"/>
              <w:gridCol w:w="902"/>
              <w:gridCol w:w="850"/>
              <w:gridCol w:w="1007"/>
            </w:tblGrid>
            <w:tr w:rsidR="004C57B3" w:rsidRPr="004E392E" w:rsidTr="00C37805">
              <w:tc>
                <w:tcPr>
                  <w:tcW w:w="1650" w:type="dxa"/>
                  <w:vMerge w:val="restart"/>
                  <w:vAlign w:val="center"/>
                </w:tcPr>
                <w:p w:rsidR="004C57B3" w:rsidRPr="004E392E" w:rsidRDefault="004C57B3" w:rsidP="00C37805">
                  <w:pPr>
                    <w:jc w:val="center"/>
                    <w:rPr>
                      <w:sz w:val="24"/>
                      <w:szCs w:val="24"/>
                    </w:rPr>
                  </w:pPr>
                  <w:r w:rsidRPr="004E392E">
                    <w:rPr>
                      <w:sz w:val="24"/>
                      <w:szCs w:val="24"/>
                    </w:rPr>
                    <w:t>股東會日期</w:t>
                  </w:r>
                  <w:r w:rsidRPr="004E392E">
                    <w:rPr>
                      <w:sz w:val="24"/>
                      <w:szCs w:val="24"/>
                      <w:vertAlign w:val="superscript"/>
                    </w:rPr>
                    <w:t>a</w:t>
                  </w:r>
                </w:p>
              </w:tc>
              <w:tc>
                <w:tcPr>
                  <w:tcW w:w="1752" w:type="dxa"/>
                  <w:gridSpan w:val="2"/>
                  <w:vAlign w:val="center"/>
                </w:tcPr>
                <w:p w:rsidR="004C57B3" w:rsidRPr="004E392E" w:rsidRDefault="004C57B3" w:rsidP="00C37805">
                  <w:pPr>
                    <w:jc w:val="center"/>
                    <w:rPr>
                      <w:sz w:val="24"/>
                      <w:szCs w:val="24"/>
                    </w:rPr>
                  </w:pPr>
                  <w:r w:rsidRPr="004E392E">
                    <w:rPr>
                      <w:sz w:val="24"/>
                      <w:szCs w:val="24"/>
                    </w:rPr>
                    <w:t>股利</w:t>
                  </w:r>
                </w:p>
              </w:tc>
              <w:tc>
                <w:tcPr>
                  <w:tcW w:w="1007" w:type="dxa"/>
                  <w:vMerge w:val="restart"/>
                  <w:vAlign w:val="center"/>
                </w:tcPr>
                <w:p w:rsidR="004C57B3" w:rsidRPr="004E392E" w:rsidRDefault="004C57B3" w:rsidP="00C37805">
                  <w:pPr>
                    <w:jc w:val="center"/>
                    <w:rPr>
                      <w:sz w:val="24"/>
                      <w:szCs w:val="24"/>
                    </w:rPr>
                  </w:pPr>
                  <w:r w:rsidRPr="004E392E">
                    <w:rPr>
                      <w:spacing w:val="-20"/>
                      <w:sz w:val="24"/>
                      <w:szCs w:val="22"/>
                    </w:rPr>
                    <w:t>除息基準日</w:t>
                  </w:r>
                </w:p>
              </w:tc>
            </w:tr>
            <w:tr w:rsidR="004C57B3" w:rsidRPr="004E392E" w:rsidTr="00C37805">
              <w:tc>
                <w:tcPr>
                  <w:tcW w:w="1650" w:type="dxa"/>
                  <w:vMerge/>
                  <w:vAlign w:val="center"/>
                </w:tcPr>
                <w:p w:rsidR="004C57B3" w:rsidRPr="004E392E" w:rsidRDefault="004C57B3" w:rsidP="00C378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2" w:type="dxa"/>
                  <w:vAlign w:val="center"/>
                </w:tcPr>
                <w:p w:rsidR="004C57B3" w:rsidRPr="004E392E" w:rsidRDefault="004C57B3" w:rsidP="00C37805">
                  <w:pPr>
                    <w:jc w:val="center"/>
                    <w:rPr>
                      <w:sz w:val="24"/>
                      <w:szCs w:val="24"/>
                    </w:rPr>
                  </w:pPr>
                  <w:r w:rsidRPr="004E392E">
                    <w:rPr>
                      <w:sz w:val="24"/>
                      <w:szCs w:val="24"/>
                    </w:rPr>
                    <w:t>現金</w:t>
                  </w:r>
                </w:p>
              </w:tc>
              <w:tc>
                <w:tcPr>
                  <w:tcW w:w="850" w:type="dxa"/>
                  <w:vAlign w:val="center"/>
                </w:tcPr>
                <w:p w:rsidR="004C57B3" w:rsidRPr="004E392E" w:rsidRDefault="004C57B3" w:rsidP="00C37805">
                  <w:pPr>
                    <w:jc w:val="center"/>
                    <w:rPr>
                      <w:sz w:val="24"/>
                      <w:szCs w:val="24"/>
                    </w:rPr>
                  </w:pPr>
                  <w:r w:rsidRPr="004E392E">
                    <w:rPr>
                      <w:sz w:val="24"/>
                      <w:szCs w:val="24"/>
                    </w:rPr>
                    <w:t>股票</w:t>
                  </w:r>
                </w:p>
              </w:tc>
              <w:tc>
                <w:tcPr>
                  <w:tcW w:w="1007" w:type="dxa"/>
                  <w:vMerge/>
                </w:tcPr>
                <w:p w:rsidR="004C57B3" w:rsidRPr="004E392E" w:rsidRDefault="004C57B3" w:rsidP="00C37805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4C57B3" w:rsidRPr="004E392E" w:rsidTr="00C37805">
              <w:tc>
                <w:tcPr>
                  <w:tcW w:w="1650" w:type="dxa"/>
                </w:tcPr>
                <w:p w:rsidR="004C57B3" w:rsidRPr="004E392E" w:rsidRDefault="004C57B3" w:rsidP="00C37805">
                  <w:pPr>
                    <w:jc w:val="both"/>
                    <w:rPr>
                      <w:sz w:val="24"/>
                      <w:szCs w:val="24"/>
                    </w:rPr>
                  </w:pPr>
                  <w:r w:rsidRPr="004E392E">
                    <w:rPr>
                      <w:spacing w:val="-20"/>
                      <w:sz w:val="22"/>
                      <w:szCs w:val="22"/>
                    </w:rPr>
                    <w:t>91.6.27</w:t>
                  </w:r>
                </w:p>
              </w:tc>
              <w:tc>
                <w:tcPr>
                  <w:tcW w:w="902" w:type="dxa"/>
                </w:tcPr>
                <w:p w:rsidR="004C57B3" w:rsidRPr="004E392E" w:rsidRDefault="004C57B3" w:rsidP="00C37805">
                  <w:pPr>
                    <w:jc w:val="both"/>
                    <w:rPr>
                      <w:sz w:val="24"/>
                      <w:szCs w:val="24"/>
                    </w:rPr>
                  </w:pPr>
                  <w:r w:rsidRPr="004E392E">
                    <w:rPr>
                      <w:sz w:val="24"/>
                      <w:szCs w:val="24"/>
                    </w:rPr>
                    <w:t>1.5</w:t>
                  </w:r>
                </w:p>
              </w:tc>
              <w:tc>
                <w:tcPr>
                  <w:tcW w:w="850" w:type="dxa"/>
                </w:tcPr>
                <w:p w:rsidR="004C57B3" w:rsidRPr="004E392E" w:rsidRDefault="004C57B3" w:rsidP="00C37805">
                  <w:pPr>
                    <w:jc w:val="both"/>
                    <w:rPr>
                      <w:sz w:val="24"/>
                      <w:szCs w:val="24"/>
                    </w:rPr>
                  </w:pPr>
                  <w:r w:rsidRPr="004E392E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07" w:type="dxa"/>
                </w:tcPr>
                <w:p w:rsidR="004C57B3" w:rsidRPr="004E392E" w:rsidRDefault="004C57B3" w:rsidP="00C37805">
                  <w:pPr>
                    <w:jc w:val="both"/>
                    <w:rPr>
                      <w:sz w:val="24"/>
                      <w:szCs w:val="24"/>
                    </w:rPr>
                  </w:pPr>
                  <w:r w:rsidRPr="004E392E">
                    <w:rPr>
                      <w:sz w:val="24"/>
                      <w:szCs w:val="24"/>
                    </w:rPr>
                    <w:t>91.7.26</w:t>
                  </w:r>
                </w:p>
              </w:tc>
            </w:tr>
            <w:tr w:rsidR="004C57B3" w:rsidRPr="004E392E" w:rsidTr="00C37805">
              <w:tc>
                <w:tcPr>
                  <w:tcW w:w="1650" w:type="dxa"/>
                </w:tcPr>
                <w:p w:rsidR="004C57B3" w:rsidRPr="004E392E" w:rsidRDefault="004C57B3" w:rsidP="00C37805">
                  <w:pPr>
                    <w:jc w:val="both"/>
                    <w:rPr>
                      <w:sz w:val="24"/>
                      <w:szCs w:val="24"/>
                    </w:rPr>
                  </w:pPr>
                  <w:r w:rsidRPr="004E392E">
                    <w:rPr>
                      <w:spacing w:val="-20"/>
                      <w:sz w:val="22"/>
                      <w:szCs w:val="22"/>
                    </w:rPr>
                    <w:t>92.6.6</w:t>
                  </w:r>
                </w:p>
              </w:tc>
              <w:tc>
                <w:tcPr>
                  <w:tcW w:w="902" w:type="dxa"/>
                </w:tcPr>
                <w:p w:rsidR="004C57B3" w:rsidRPr="004E392E" w:rsidRDefault="004C57B3" w:rsidP="00C37805">
                  <w:pPr>
                    <w:jc w:val="both"/>
                    <w:rPr>
                      <w:sz w:val="24"/>
                      <w:szCs w:val="24"/>
                    </w:rPr>
                  </w:pPr>
                  <w:r w:rsidRPr="004E392E">
                    <w:rPr>
                      <w:sz w:val="24"/>
                      <w:szCs w:val="24"/>
                    </w:rPr>
                    <w:t>1.5</w:t>
                  </w:r>
                </w:p>
              </w:tc>
              <w:tc>
                <w:tcPr>
                  <w:tcW w:w="850" w:type="dxa"/>
                </w:tcPr>
                <w:p w:rsidR="004C57B3" w:rsidRPr="004E392E" w:rsidRDefault="004C57B3" w:rsidP="00C37805">
                  <w:pPr>
                    <w:jc w:val="both"/>
                    <w:rPr>
                      <w:sz w:val="24"/>
                      <w:szCs w:val="24"/>
                    </w:rPr>
                  </w:pPr>
                  <w:r w:rsidRPr="004E392E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07" w:type="dxa"/>
                </w:tcPr>
                <w:p w:rsidR="004C57B3" w:rsidRPr="004E392E" w:rsidRDefault="004C57B3" w:rsidP="00C37805">
                  <w:pPr>
                    <w:jc w:val="both"/>
                    <w:rPr>
                      <w:sz w:val="24"/>
                      <w:szCs w:val="24"/>
                    </w:rPr>
                  </w:pPr>
                  <w:r w:rsidRPr="004E392E">
                    <w:rPr>
                      <w:sz w:val="24"/>
                      <w:szCs w:val="24"/>
                    </w:rPr>
                    <w:t>92.7.11</w:t>
                  </w:r>
                </w:p>
              </w:tc>
            </w:tr>
          </w:tbl>
          <w:p w:rsidR="00566BC2" w:rsidRPr="004E392E" w:rsidRDefault="00566BC2" w:rsidP="0065331B">
            <w:pPr>
              <w:jc w:val="both"/>
              <w:rPr>
                <w:sz w:val="24"/>
                <w:szCs w:val="24"/>
              </w:rPr>
            </w:pPr>
          </w:p>
        </w:tc>
      </w:tr>
    </w:tbl>
    <w:p w:rsidR="006160F7" w:rsidRPr="004E392E" w:rsidRDefault="00566BC2" w:rsidP="00FA19B6">
      <w:pPr>
        <w:rPr>
          <w:sz w:val="20"/>
        </w:rPr>
      </w:pPr>
      <w:r w:rsidRPr="004E392E">
        <w:rPr>
          <w:sz w:val="20"/>
        </w:rPr>
        <w:t>a.</w:t>
      </w:r>
      <w:r w:rsidR="006160F7" w:rsidRPr="004E392E">
        <w:rPr>
          <w:sz w:val="20"/>
        </w:rPr>
        <w:t>股東會通過股利分配案</w:t>
      </w:r>
    </w:p>
    <w:p w:rsidR="00566BC2" w:rsidRPr="004E392E" w:rsidRDefault="00566BC2" w:rsidP="00650A1D">
      <w:pPr>
        <w:spacing w:afterLines="25"/>
        <w:rPr>
          <w:bCs/>
          <w:sz w:val="28"/>
        </w:rPr>
      </w:pPr>
    </w:p>
    <w:p w:rsidR="006160F7" w:rsidRPr="004E392E" w:rsidRDefault="006160F7" w:rsidP="00650A1D">
      <w:pPr>
        <w:spacing w:afterLines="25"/>
        <w:rPr>
          <w:bCs/>
          <w:sz w:val="28"/>
        </w:rPr>
      </w:pPr>
      <w:r w:rsidRPr="004E392E">
        <w:rPr>
          <w:bCs/>
          <w:sz w:val="28"/>
        </w:rPr>
        <w:t>表三</w:t>
      </w:r>
      <w:r w:rsidRPr="004E392E">
        <w:rPr>
          <w:bCs/>
          <w:sz w:val="28"/>
        </w:rPr>
        <w:t>-1</w:t>
      </w:r>
      <w:r w:rsidRPr="004E392E">
        <w:rPr>
          <w:bCs/>
          <w:sz w:val="28"/>
        </w:rPr>
        <w:t>、換股比率</w:t>
      </w:r>
      <w:r w:rsidR="00C91351">
        <w:rPr>
          <w:rFonts w:hint="eastAsia"/>
          <w:bCs/>
          <w:sz w:val="28"/>
        </w:rPr>
        <w:t>：</w:t>
      </w:r>
      <w:r w:rsidRPr="004E392E">
        <w:rPr>
          <w:bCs/>
          <w:sz w:val="28"/>
        </w:rPr>
        <w:t>試算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559"/>
        <w:gridCol w:w="993"/>
        <w:gridCol w:w="850"/>
        <w:gridCol w:w="851"/>
        <w:gridCol w:w="1417"/>
        <w:gridCol w:w="1276"/>
        <w:gridCol w:w="1276"/>
      </w:tblGrid>
      <w:tr w:rsidR="00566BC2" w:rsidRPr="004E392E" w:rsidTr="00D30A2C">
        <w:trPr>
          <w:trHeight w:val="524"/>
        </w:trPr>
        <w:tc>
          <w:tcPr>
            <w:tcW w:w="709" w:type="dxa"/>
            <w:vAlign w:val="center"/>
          </w:tcPr>
          <w:p w:rsidR="00566BC2" w:rsidRPr="004E392E" w:rsidRDefault="00763584" w:rsidP="00D30A2C">
            <w:pPr>
              <w:ind w:leftChars="-31" w:left="-105" w:rightChars="-31" w:right="-105"/>
              <w:jc w:val="center"/>
            </w:pPr>
            <w:r>
              <w:rPr>
                <w:rFonts w:hint="eastAsia"/>
                <w:color w:val="000000"/>
                <w:sz w:val="24"/>
                <w:szCs w:val="24"/>
              </w:rPr>
              <w:t>91</w:t>
            </w: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559" w:type="dxa"/>
            <w:vMerge w:val="restart"/>
            <w:vAlign w:val="center"/>
          </w:tcPr>
          <w:p w:rsidR="00566BC2" w:rsidRPr="004E392E" w:rsidRDefault="00566BC2" w:rsidP="00763584">
            <w:pPr>
              <w:spacing w:line="300" w:lineRule="exact"/>
              <w:ind w:leftChars="-50" w:left="-170" w:rightChars="-32" w:right="-109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國泰金股價</w:t>
            </w:r>
            <w:r w:rsidRPr="004E392E">
              <w:rPr>
                <w:color w:val="000000"/>
                <w:sz w:val="24"/>
                <w:szCs w:val="24"/>
              </w:rPr>
              <w:t>(</w:t>
            </w:r>
            <w:r w:rsidRPr="004E392E">
              <w:rPr>
                <w:color w:val="000000"/>
                <w:sz w:val="24"/>
                <w:szCs w:val="24"/>
              </w:rPr>
              <w:t>月平均</w:t>
            </w:r>
            <w:r w:rsidRPr="004E392E">
              <w:rPr>
                <w:color w:val="000000"/>
                <w:sz w:val="24"/>
                <w:szCs w:val="24"/>
              </w:rPr>
              <w:t>)</w:t>
            </w:r>
            <w:r w:rsidRPr="004E392E">
              <w:rPr>
                <w:color w:val="000000"/>
                <w:sz w:val="24"/>
                <w:szCs w:val="24"/>
              </w:rPr>
              <w:t>實際</w:t>
            </w:r>
          </w:p>
        </w:tc>
        <w:tc>
          <w:tcPr>
            <w:tcW w:w="2694" w:type="dxa"/>
            <w:gridSpan w:val="3"/>
            <w:vAlign w:val="center"/>
          </w:tcPr>
          <w:p w:rsidR="00566BC2" w:rsidRPr="004E392E" w:rsidRDefault="00566BC2" w:rsidP="00763584">
            <w:pPr>
              <w:jc w:val="center"/>
              <w:rPr>
                <w:sz w:val="24"/>
              </w:rPr>
            </w:pPr>
            <w:proofErr w:type="gramStart"/>
            <w:r w:rsidRPr="004E392E">
              <w:rPr>
                <w:sz w:val="24"/>
              </w:rPr>
              <w:t>世</w:t>
            </w:r>
            <w:proofErr w:type="gramEnd"/>
            <w:r w:rsidRPr="004E392E">
              <w:rPr>
                <w:sz w:val="24"/>
              </w:rPr>
              <w:t>華銀</w:t>
            </w:r>
          </w:p>
        </w:tc>
        <w:tc>
          <w:tcPr>
            <w:tcW w:w="3969" w:type="dxa"/>
            <w:gridSpan w:val="3"/>
            <w:vAlign w:val="center"/>
          </w:tcPr>
          <w:p w:rsidR="00566BC2" w:rsidRPr="004E392E" w:rsidRDefault="00566BC2" w:rsidP="00763584">
            <w:pPr>
              <w:jc w:val="center"/>
              <w:rPr>
                <w:sz w:val="24"/>
              </w:rPr>
            </w:pPr>
            <w:r w:rsidRPr="004E392E">
              <w:rPr>
                <w:sz w:val="24"/>
              </w:rPr>
              <w:t>換股比率</w:t>
            </w:r>
          </w:p>
        </w:tc>
      </w:tr>
      <w:tr w:rsidR="00763584" w:rsidRPr="004E392E" w:rsidTr="00D30A2C">
        <w:trPr>
          <w:trHeight w:val="70"/>
        </w:trPr>
        <w:tc>
          <w:tcPr>
            <w:tcW w:w="709" w:type="dxa"/>
            <w:vMerge w:val="restart"/>
            <w:tcBorders>
              <w:top w:val="nil"/>
            </w:tcBorders>
            <w:vAlign w:val="center"/>
          </w:tcPr>
          <w:p w:rsidR="00763584" w:rsidRPr="004E392E" w:rsidRDefault="0050431D" w:rsidP="00763584">
            <w:pPr>
              <w:spacing w:line="30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月份</w:t>
            </w:r>
          </w:p>
        </w:tc>
        <w:tc>
          <w:tcPr>
            <w:tcW w:w="1559" w:type="dxa"/>
            <w:vMerge/>
            <w:vAlign w:val="center"/>
          </w:tcPr>
          <w:p w:rsidR="00763584" w:rsidRPr="004E392E" w:rsidRDefault="00763584" w:rsidP="00763584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63584" w:rsidRPr="004E392E" w:rsidRDefault="00763584" w:rsidP="00763584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實際</w:t>
            </w:r>
          </w:p>
        </w:tc>
        <w:tc>
          <w:tcPr>
            <w:tcW w:w="850" w:type="dxa"/>
            <w:vMerge w:val="restart"/>
            <w:vAlign w:val="center"/>
          </w:tcPr>
          <w:p w:rsidR="00763584" w:rsidRPr="004E392E" w:rsidRDefault="00763584" w:rsidP="00763584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下限</w:t>
            </w:r>
          </w:p>
        </w:tc>
        <w:tc>
          <w:tcPr>
            <w:tcW w:w="851" w:type="dxa"/>
            <w:vMerge w:val="restart"/>
            <w:vAlign w:val="center"/>
          </w:tcPr>
          <w:p w:rsidR="00763584" w:rsidRPr="004E392E" w:rsidRDefault="00763584" w:rsidP="00763584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上限</w:t>
            </w:r>
          </w:p>
        </w:tc>
        <w:tc>
          <w:tcPr>
            <w:tcW w:w="1417" w:type="dxa"/>
            <w:vMerge w:val="restart"/>
            <w:vAlign w:val="center"/>
          </w:tcPr>
          <w:p w:rsidR="00763584" w:rsidRPr="004E392E" w:rsidRDefault="00763584" w:rsidP="00763584">
            <w:pPr>
              <w:spacing w:line="300" w:lineRule="exact"/>
              <w:ind w:leftChars="-31" w:left="-105" w:rightChars="-31" w:right="-105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依</w:t>
            </w:r>
            <w:proofErr w:type="gramStart"/>
            <w:r w:rsidRPr="004E392E">
              <w:rPr>
                <w:color w:val="000000"/>
                <w:sz w:val="24"/>
                <w:szCs w:val="24"/>
              </w:rPr>
              <w:t>世</w:t>
            </w:r>
            <w:proofErr w:type="gramEnd"/>
            <w:r w:rsidRPr="004E392E">
              <w:rPr>
                <w:color w:val="000000"/>
                <w:sz w:val="24"/>
                <w:szCs w:val="24"/>
              </w:rPr>
              <w:t>華銀行之實際股價</w:t>
            </w:r>
          </w:p>
        </w:tc>
        <w:tc>
          <w:tcPr>
            <w:tcW w:w="2552" w:type="dxa"/>
            <w:gridSpan w:val="2"/>
            <w:vAlign w:val="center"/>
          </w:tcPr>
          <w:p w:rsidR="00763584" w:rsidRPr="004E392E" w:rsidRDefault="00763584" w:rsidP="00763584">
            <w:pPr>
              <w:spacing w:line="300" w:lineRule="exact"/>
              <w:ind w:leftChars="-27" w:left="-92" w:rightChars="-24" w:right="-82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4E392E">
              <w:rPr>
                <w:color w:val="000000"/>
                <w:sz w:val="24"/>
                <w:szCs w:val="24"/>
              </w:rPr>
              <w:t>世</w:t>
            </w:r>
            <w:proofErr w:type="gramEnd"/>
            <w:r w:rsidRPr="004E392E">
              <w:rPr>
                <w:color w:val="000000"/>
                <w:sz w:val="24"/>
                <w:szCs w:val="24"/>
              </w:rPr>
              <w:t>華銀行之目標股價</w:t>
            </w:r>
          </w:p>
        </w:tc>
      </w:tr>
      <w:tr w:rsidR="00763584" w:rsidRPr="004E392E" w:rsidTr="00D30A2C">
        <w:trPr>
          <w:trHeight w:val="70"/>
        </w:trPr>
        <w:tc>
          <w:tcPr>
            <w:tcW w:w="709" w:type="dxa"/>
            <w:vMerge/>
            <w:tcBorders>
              <w:top w:val="nil"/>
            </w:tcBorders>
            <w:vAlign w:val="center"/>
          </w:tcPr>
          <w:p w:rsidR="00763584" w:rsidRPr="004E392E" w:rsidRDefault="00763584" w:rsidP="00763584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63584" w:rsidRPr="004E392E" w:rsidRDefault="00763584" w:rsidP="00763584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763584" w:rsidRPr="004E392E" w:rsidRDefault="00763584" w:rsidP="00763584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63584" w:rsidRPr="004E392E" w:rsidRDefault="00763584" w:rsidP="00763584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763584" w:rsidRPr="004E392E" w:rsidRDefault="00763584" w:rsidP="00763584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63584" w:rsidRPr="004E392E" w:rsidRDefault="00763584" w:rsidP="00763584">
            <w:pPr>
              <w:spacing w:line="300" w:lineRule="exact"/>
              <w:ind w:leftChars="-31" w:left="-105" w:rightChars="-31" w:right="-10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3584" w:rsidRPr="004E392E" w:rsidRDefault="00763584" w:rsidP="00763584">
            <w:pPr>
              <w:spacing w:line="300" w:lineRule="exact"/>
              <w:ind w:leftChars="-31" w:left="-105" w:rightChars="-27" w:right="-92"/>
              <w:jc w:val="center"/>
              <w:rPr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下限</w:t>
            </w:r>
            <w:r w:rsidRPr="004E392E">
              <w:rPr>
                <w:color w:val="000000"/>
                <w:sz w:val="24"/>
                <w:szCs w:val="24"/>
              </w:rPr>
              <w:t>($29)</w:t>
            </w:r>
            <w:r w:rsidRPr="004E392E">
              <w:rPr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76" w:type="dxa"/>
            <w:vAlign w:val="center"/>
          </w:tcPr>
          <w:p w:rsidR="00763584" w:rsidRPr="004E392E" w:rsidRDefault="00763584" w:rsidP="00763584">
            <w:pPr>
              <w:spacing w:line="300" w:lineRule="exact"/>
              <w:ind w:leftChars="-27" w:left="-92" w:rightChars="-24" w:right="-82"/>
              <w:jc w:val="center"/>
              <w:rPr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上限</w:t>
            </w:r>
            <w:r w:rsidRPr="004E392E">
              <w:rPr>
                <w:color w:val="000000"/>
                <w:sz w:val="24"/>
                <w:szCs w:val="24"/>
              </w:rPr>
              <w:t>($32)</w:t>
            </w:r>
            <w:r w:rsidRPr="004E392E">
              <w:rPr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763584" w:rsidRPr="004E392E" w:rsidTr="00D30A2C">
        <w:tc>
          <w:tcPr>
            <w:tcW w:w="709" w:type="dxa"/>
            <w:vAlign w:val="center"/>
          </w:tcPr>
          <w:p w:rsidR="00763584" w:rsidRPr="004E392E" w:rsidRDefault="00763584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763584" w:rsidRPr="004E392E" w:rsidRDefault="00763584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52.95</w:t>
            </w:r>
          </w:p>
        </w:tc>
        <w:tc>
          <w:tcPr>
            <w:tcW w:w="993" w:type="dxa"/>
            <w:vAlign w:val="center"/>
          </w:tcPr>
          <w:p w:rsidR="00763584" w:rsidRPr="004E392E" w:rsidRDefault="00763584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20.78</w:t>
            </w:r>
          </w:p>
        </w:tc>
        <w:tc>
          <w:tcPr>
            <w:tcW w:w="850" w:type="dxa"/>
            <w:vAlign w:val="center"/>
          </w:tcPr>
          <w:p w:rsidR="00763584" w:rsidRPr="00A73B4C" w:rsidRDefault="00763584" w:rsidP="00DB10A7">
            <w:pPr>
              <w:spacing w:line="280" w:lineRule="exact"/>
              <w:jc w:val="center"/>
              <w:rPr>
                <w:rFonts w:eastAsia="新細明體"/>
                <w:color w:val="000000" w:themeColor="text1"/>
                <w:sz w:val="24"/>
                <w:szCs w:val="24"/>
              </w:rPr>
            </w:pPr>
            <w:r w:rsidRPr="00A73B4C">
              <w:rPr>
                <w:color w:val="000000" w:themeColor="text1"/>
                <w:sz w:val="24"/>
                <w:szCs w:val="24"/>
              </w:rPr>
              <w:t>$29</w:t>
            </w:r>
            <w:r w:rsidRPr="00A73B4C">
              <w:rPr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851" w:type="dxa"/>
            <w:vAlign w:val="center"/>
          </w:tcPr>
          <w:p w:rsidR="00763584" w:rsidRPr="00A73B4C" w:rsidRDefault="00763584" w:rsidP="00DB10A7">
            <w:pPr>
              <w:spacing w:line="280" w:lineRule="exact"/>
              <w:jc w:val="center"/>
              <w:rPr>
                <w:rFonts w:eastAsia="新細明體"/>
                <w:color w:val="000000" w:themeColor="text1"/>
                <w:sz w:val="24"/>
                <w:szCs w:val="24"/>
              </w:rPr>
            </w:pPr>
            <w:r w:rsidRPr="00A73B4C">
              <w:rPr>
                <w:color w:val="000000" w:themeColor="text1"/>
                <w:sz w:val="24"/>
                <w:szCs w:val="24"/>
              </w:rPr>
              <w:t>$32</w:t>
            </w:r>
            <w:r w:rsidRPr="00A73B4C">
              <w:rPr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17" w:type="dxa"/>
            <w:vAlign w:val="center"/>
          </w:tcPr>
          <w:p w:rsidR="00763584" w:rsidRPr="004E392E" w:rsidRDefault="00763584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2.55</w:t>
            </w:r>
          </w:p>
        </w:tc>
        <w:tc>
          <w:tcPr>
            <w:tcW w:w="1276" w:type="dxa"/>
            <w:vAlign w:val="center"/>
          </w:tcPr>
          <w:p w:rsidR="00763584" w:rsidRPr="004E392E" w:rsidRDefault="00763584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1.83</w:t>
            </w:r>
          </w:p>
        </w:tc>
        <w:tc>
          <w:tcPr>
            <w:tcW w:w="1276" w:type="dxa"/>
            <w:vAlign w:val="center"/>
          </w:tcPr>
          <w:p w:rsidR="00763584" w:rsidRPr="004E392E" w:rsidRDefault="00763584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1.65</w:t>
            </w:r>
          </w:p>
        </w:tc>
      </w:tr>
      <w:tr w:rsidR="00763584" w:rsidRPr="004E392E" w:rsidTr="00D30A2C">
        <w:tc>
          <w:tcPr>
            <w:tcW w:w="709" w:type="dxa"/>
            <w:vAlign w:val="center"/>
          </w:tcPr>
          <w:p w:rsidR="00763584" w:rsidRPr="004E392E" w:rsidRDefault="00763584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763584" w:rsidRPr="004E392E" w:rsidRDefault="00763584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51.10</w:t>
            </w:r>
          </w:p>
        </w:tc>
        <w:tc>
          <w:tcPr>
            <w:tcW w:w="993" w:type="dxa"/>
            <w:vAlign w:val="center"/>
          </w:tcPr>
          <w:p w:rsidR="00763584" w:rsidRPr="004E392E" w:rsidRDefault="00763584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19.59</w:t>
            </w:r>
          </w:p>
        </w:tc>
        <w:tc>
          <w:tcPr>
            <w:tcW w:w="850" w:type="dxa"/>
            <w:vAlign w:val="center"/>
          </w:tcPr>
          <w:p w:rsidR="00763584" w:rsidRPr="00A73B4C" w:rsidRDefault="00763584" w:rsidP="00DB10A7">
            <w:pPr>
              <w:spacing w:line="280" w:lineRule="exact"/>
              <w:jc w:val="center"/>
              <w:rPr>
                <w:rFonts w:eastAsia="新細明體"/>
                <w:color w:val="000000" w:themeColor="text1"/>
                <w:sz w:val="24"/>
                <w:szCs w:val="24"/>
              </w:rPr>
            </w:pPr>
            <w:r w:rsidRPr="00A73B4C">
              <w:rPr>
                <w:color w:val="000000" w:themeColor="text1"/>
                <w:sz w:val="24"/>
                <w:szCs w:val="24"/>
              </w:rPr>
              <w:t>$29</w:t>
            </w:r>
            <w:r w:rsidRPr="00A73B4C">
              <w:rPr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851" w:type="dxa"/>
            <w:vAlign w:val="center"/>
          </w:tcPr>
          <w:p w:rsidR="00763584" w:rsidRPr="00A73B4C" w:rsidRDefault="00763584" w:rsidP="00DB10A7">
            <w:pPr>
              <w:spacing w:line="280" w:lineRule="exact"/>
              <w:jc w:val="center"/>
              <w:rPr>
                <w:rFonts w:eastAsia="新細明體"/>
                <w:color w:val="000000" w:themeColor="text1"/>
                <w:sz w:val="24"/>
                <w:szCs w:val="24"/>
              </w:rPr>
            </w:pPr>
            <w:r w:rsidRPr="00A73B4C">
              <w:rPr>
                <w:color w:val="000000" w:themeColor="text1"/>
                <w:sz w:val="24"/>
                <w:szCs w:val="24"/>
              </w:rPr>
              <w:t>$32</w:t>
            </w:r>
            <w:r w:rsidRPr="00A73B4C">
              <w:rPr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17" w:type="dxa"/>
            <w:vAlign w:val="center"/>
          </w:tcPr>
          <w:p w:rsidR="00763584" w:rsidRPr="004E392E" w:rsidRDefault="00763584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2.61</w:t>
            </w:r>
          </w:p>
        </w:tc>
        <w:tc>
          <w:tcPr>
            <w:tcW w:w="1276" w:type="dxa"/>
            <w:vAlign w:val="center"/>
          </w:tcPr>
          <w:p w:rsidR="00763584" w:rsidRPr="004E392E" w:rsidRDefault="00763584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1.76</w:t>
            </w:r>
          </w:p>
        </w:tc>
        <w:tc>
          <w:tcPr>
            <w:tcW w:w="1276" w:type="dxa"/>
            <w:vAlign w:val="center"/>
          </w:tcPr>
          <w:p w:rsidR="00763584" w:rsidRPr="004E392E" w:rsidRDefault="00763584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1.60</w:t>
            </w:r>
          </w:p>
        </w:tc>
      </w:tr>
      <w:tr w:rsidR="0050431D" w:rsidRPr="004E392E" w:rsidTr="00D30A2C">
        <w:tc>
          <w:tcPr>
            <w:tcW w:w="709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49.87</w:t>
            </w:r>
          </w:p>
        </w:tc>
        <w:tc>
          <w:tcPr>
            <w:tcW w:w="993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20.66</w:t>
            </w:r>
          </w:p>
        </w:tc>
        <w:tc>
          <w:tcPr>
            <w:tcW w:w="850" w:type="dxa"/>
            <w:vAlign w:val="center"/>
          </w:tcPr>
          <w:p w:rsidR="0050431D" w:rsidRPr="00A73B4C" w:rsidRDefault="0050431D" w:rsidP="00DB10A7">
            <w:pPr>
              <w:spacing w:line="280" w:lineRule="exact"/>
              <w:jc w:val="center"/>
              <w:rPr>
                <w:rFonts w:eastAsia="新細明體"/>
                <w:color w:val="000000" w:themeColor="text1"/>
                <w:sz w:val="24"/>
                <w:szCs w:val="24"/>
              </w:rPr>
            </w:pPr>
            <w:r w:rsidRPr="00A73B4C">
              <w:rPr>
                <w:color w:val="000000" w:themeColor="text1"/>
                <w:sz w:val="24"/>
                <w:szCs w:val="24"/>
              </w:rPr>
              <w:t>$29</w:t>
            </w:r>
            <w:r w:rsidRPr="00A73B4C">
              <w:rPr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851" w:type="dxa"/>
            <w:vAlign w:val="center"/>
          </w:tcPr>
          <w:p w:rsidR="0050431D" w:rsidRPr="00A73B4C" w:rsidRDefault="0050431D" w:rsidP="00DB10A7">
            <w:pPr>
              <w:spacing w:line="280" w:lineRule="exact"/>
              <w:jc w:val="center"/>
              <w:rPr>
                <w:rFonts w:eastAsia="新細明體"/>
                <w:color w:val="000000" w:themeColor="text1"/>
                <w:sz w:val="24"/>
                <w:szCs w:val="24"/>
              </w:rPr>
            </w:pPr>
            <w:r w:rsidRPr="00A73B4C">
              <w:rPr>
                <w:color w:val="000000" w:themeColor="text1"/>
                <w:sz w:val="24"/>
                <w:szCs w:val="24"/>
              </w:rPr>
              <w:t>$32</w:t>
            </w:r>
            <w:r w:rsidRPr="00A73B4C">
              <w:rPr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17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2.41</w:t>
            </w:r>
          </w:p>
        </w:tc>
        <w:tc>
          <w:tcPr>
            <w:tcW w:w="1276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1.72</w:t>
            </w:r>
          </w:p>
        </w:tc>
        <w:tc>
          <w:tcPr>
            <w:tcW w:w="1276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1.56</w:t>
            </w:r>
          </w:p>
        </w:tc>
      </w:tr>
      <w:tr w:rsidR="0050431D" w:rsidRPr="004E392E" w:rsidTr="00D30A2C">
        <w:tc>
          <w:tcPr>
            <w:tcW w:w="709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52.33</w:t>
            </w:r>
          </w:p>
        </w:tc>
        <w:tc>
          <w:tcPr>
            <w:tcW w:w="993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22.55</w:t>
            </w:r>
          </w:p>
        </w:tc>
        <w:tc>
          <w:tcPr>
            <w:tcW w:w="850" w:type="dxa"/>
            <w:vAlign w:val="center"/>
          </w:tcPr>
          <w:p w:rsidR="0050431D" w:rsidRPr="00A73B4C" w:rsidRDefault="0050431D" w:rsidP="00DB10A7">
            <w:pPr>
              <w:spacing w:line="280" w:lineRule="exact"/>
              <w:jc w:val="center"/>
              <w:rPr>
                <w:rFonts w:eastAsia="新細明體"/>
                <w:color w:val="000000" w:themeColor="text1"/>
                <w:sz w:val="24"/>
                <w:szCs w:val="24"/>
              </w:rPr>
            </w:pPr>
            <w:r w:rsidRPr="00A73B4C">
              <w:rPr>
                <w:color w:val="000000" w:themeColor="text1"/>
                <w:sz w:val="24"/>
                <w:szCs w:val="24"/>
              </w:rPr>
              <w:t>$29</w:t>
            </w:r>
            <w:r w:rsidRPr="00A73B4C">
              <w:rPr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851" w:type="dxa"/>
            <w:vAlign w:val="center"/>
          </w:tcPr>
          <w:p w:rsidR="0050431D" w:rsidRPr="00A73B4C" w:rsidRDefault="0050431D" w:rsidP="00DB10A7">
            <w:pPr>
              <w:spacing w:line="280" w:lineRule="exact"/>
              <w:jc w:val="center"/>
              <w:rPr>
                <w:rFonts w:eastAsia="新細明體"/>
                <w:color w:val="000000" w:themeColor="text1"/>
                <w:sz w:val="24"/>
                <w:szCs w:val="24"/>
              </w:rPr>
            </w:pPr>
            <w:r w:rsidRPr="00A73B4C">
              <w:rPr>
                <w:color w:val="000000" w:themeColor="text1"/>
                <w:sz w:val="24"/>
                <w:szCs w:val="24"/>
              </w:rPr>
              <w:t>$32</w:t>
            </w:r>
            <w:r w:rsidRPr="00A73B4C">
              <w:rPr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17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2.32</w:t>
            </w:r>
          </w:p>
        </w:tc>
        <w:tc>
          <w:tcPr>
            <w:tcW w:w="1276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1.80</w:t>
            </w:r>
          </w:p>
        </w:tc>
        <w:tc>
          <w:tcPr>
            <w:tcW w:w="1276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1.64</w:t>
            </w:r>
          </w:p>
        </w:tc>
      </w:tr>
      <w:tr w:rsidR="0050431D" w:rsidRPr="004E392E" w:rsidTr="00D30A2C">
        <w:tc>
          <w:tcPr>
            <w:tcW w:w="709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49.67</w:t>
            </w:r>
          </w:p>
        </w:tc>
        <w:tc>
          <w:tcPr>
            <w:tcW w:w="993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24.49</w:t>
            </w:r>
          </w:p>
        </w:tc>
        <w:tc>
          <w:tcPr>
            <w:tcW w:w="850" w:type="dxa"/>
            <w:vAlign w:val="center"/>
          </w:tcPr>
          <w:p w:rsidR="0050431D" w:rsidRPr="00A73B4C" w:rsidRDefault="0050431D" w:rsidP="00DB10A7">
            <w:pPr>
              <w:spacing w:line="280" w:lineRule="exact"/>
              <w:jc w:val="center"/>
              <w:rPr>
                <w:rFonts w:eastAsia="新細明體"/>
                <w:color w:val="000000" w:themeColor="text1"/>
                <w:sz w:val="24"/>
                <w:szCs w:val="24"/>
              </w:rPr>
            </w:pPr>
            <w:r w:rsidRPr="00A73B4C">
              <w:rPr>
                <w:color w:val="000000" w:themeColor="text1"/>
                <w:sz w:val="24"/>
                <w:szCs w:val="24"/>
              </w:rPr>
              <w:t>$29</w:t>
            </w:r>
            <w:r w:rsidRPr="00A73B4C">
              <w:rPr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851" w:type="dxa"/>
            <w:vAlign w:val="center"/>
          </w:tcPr>
          <w:p w:rsidR="0050431D" w:rsidRPr="00A73B4C" w:rsidRDefault="0050431D" w:rsidP="00DB10A7">
            <w:pPr>
              <w:spacing w:line="280" w:lineRule="exact"/>
              <w:jc w:val="center"/>
              <w:rPr>
                <w:rFonts w:eastAsia="新細明體"/>
                <w:color w:val="000000" w:themeColor="text1"/>
                <w:sz w:val="24"/>
                <w:szCs w:val="24"/>
              </w:rPr>
            </w:pPr>
            <w:r w:rsidRPr="00A73B4C">
              <w:rPr>
                <w:color w:val="000000" w:themeColor="text1"/>
                <w:sz w:val="24"/>
                <w:szCs w:val="24"/>
              </w:rPr>
              <w:t>$32</w:t>
            </w:r>
            <w:r w:rsidRPr="00A73B4C">
              <w:rPr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17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2.03</w:t>
            </w:r>
          </w:p>
        </w:tc>
        <w:tc>
          <w:tcPr>
            <w:tcW w:w="1276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1.71</w:t>
            </w:r>
          </w:p>
        </w:tc>
        <w:tc>
          <w:tcPr>
            <w:tcW w:w="1276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1.55</w:t>
            </w:r>
          </w:p>
        </w:tc>
      </w:tr>
      <w:tr w:rsidR="0050431D" w:rsidRPr="004E392E" w:rsidTr="00D30A2C">
        <w:tc>
          <w:tcPr>
            <w:tcW w:w="709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49.20</w:t>
            </w:r>
          </w:p>
        </w:tc>
        <w:tc>
          <w:tcPr>
            <w:tcW w:w="993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24.80</w:t>
            </w:r>
          </w:p>
        </w:tc>
        <w:tc>
          <w:tcPr>
            <w:tcW w:w="850" w:type="dxa"/>
            <w:vAlign w:val="center"/>
          </w:tcPr>
          <w:p w:rsidR="0050431D" w:rsidRPr="00A73B4C" w:rsidRDefault="0050431D" w:rsidP="00DB10A7">
            <w:pPr>
              <w:spacing w:line="280" w:lineRule="exact"/>
              <w:jc w:val="center"/>
              <w:rPr>
                <w:rFonts w:eastAsia="新細明體"/>
                <w:color w:val="000000" w:themeColor="text1"/>
                <w:sz w:val="24"/>
                <w:szCs w:val="24"/>
              </w:rPr>
            </w:pPr>
            <w:r w:rsidRPr="00A73B4C">
              <w:rPr>
                <w:color w:val="000000" w:themeColor="text1"/>
                <w:sz w:val="24"/>
                <w:szCs w:val="24"/>
              </w:rPr>
              <w:t>$29</w:t>
            </w:r>
            <w:r w:rsidRPr="00A73B4C">
              <w:rPr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851" w:type="dxa"/>
            <w:vAlign w:val="center"/>
          </w:tcPr>
          <w:p w:rsidR="0050431D" w:rsidRPr="00A73B4C" w:rsidRDefault="0050431D" w:rsidP="00DB10A7">
            <w:pPr>
              <w:spacing w:line="280" w:lineRule="exact"/>
              <w:jc w:val="center"/>
              <w:rPr>
                <w:rFonts w:eastAsia="新細明體"/>
                <w:color w:val="000000" w:themeColor="text1"/>
                <w:sz w:val="24"/>
                <w:szCs w:val="24"/>
              </w:rPr>
            </w:pPr>
            <w:r w:rsidRPr="00A73B4C">
              <w:rPr>
                <w:color w:val="000000" w:themeColor="text1"/>
                <w:sz w:val="24"/>
                <w:szCs w:val="24"/>
              </w:rPr>
              <w:t>$32</w:t>
            </w:r>
            <w:r w:rsidRPr="00A73B4C">
              <w:rPr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17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1.98</w:t>
            </w:r>
          </w:p>
        </w:tc>
        <w:tc>
          <w:tcPr>
            <w:tcW w:w="1276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1.70</w:t>
            </w:r>
          </w:p>
        </w:tc>
        <w:tc>
          <w:tcPr>
            <w:tcW w:w="1276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1.54</w:t>
            </w:r>
          </w:p>
        </w:tc>
      </w:tr>
      <w:tr w:rsidR="0050431D" w:rsidRPr="004E392E" w:rsidTr="00D30A2C">
        <w:tc>
          <w:tcPr>
            <w:tcW w:w="709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b/>
                <w:bCs/>
                <w:color w:val="000000"/>
                <w:sz w:val="24"/>
                <w:szCs w:val="24"/>
              </w:rPr>
            </w:pPr>
            <w:r w:rsidRPr="004E392E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bCs/>
                <w:color w:val="000000"/>
                <w:sz w:val="24"/>
                <w:szCs w:val="24"/>
              </w:rPr>
            </w:pPr>
            <w:r w:rsidRPr="004E392E">
              <w:rPr>
                <w:bCs/>
                <w:color w:val="000000"/>
                <w:sz w:val="24"/>
                <w:szCs w:val="24"/>
              </w:rPr>
              <w:t>44.90</w:t>
            </w:r>
            <w:r w:rsidRPr="004E392E">
              <w:rPr>
                <w:bCs/>
                <w:color w:val="000000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993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bCs/>
                <w:color w:val="000000"/>
                <w:sz w:val="24"/>
                <w:szCs w:val="24"/>
              </w:rPr>
            </w:pPr>
            <w:r w:rsidRPr="004E392E">
              <w:rPr>
                <w:bCs/>
                <w:color w:val="000000"/>
                <w:sz w:val="24"/>
                <w:szCs w:val="24"/>
              </w:rPr>
              <w:t>22.80</w:t>
            </w:r>
          </w:p>
        </w:tc>
        <w:tc>
          <w:tcPr>
            <w:tcW w:w="850" w:type="dxa"/>
            <w:vAlign w:val="center"/>
          </w:tcPr>
          <w:p w:rsidR="0050431D" w:rsidRPr="00A73B4C" w:rsidRDefault="0050431D" w:rsidP="00DB10A7">
            <w:pPr>
              <w:spacing w:line="280" w:lineRule="exact"/>
              <w:jc w:val="center"/>
              <w:rPr>
                <w:rFonts w:eastAsia="新細明體"/>
                <w:color w:val="000000" w:themeColor="text1"/>
                <w:sz w:val="24"/>
                <w:szCs w:val="24"/>
              </w:rPr>
            </w:pPr>
            <w:r w:rsidRPr="00A73B4C">
              <w:rPr>
                <w:color w:val="000000" w:themeColor="text1"/>
                <w:sz w:val="24"/>
                <w:szCs w:val="24"/>
              </w:rPr>
              <w:t>$29</w:t>
            </w:r>
            <w:r w:rsidRPr="00A73B4C">
              <w:rPr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851" w:type="dxa"/>
            <w:vAlign w:val="center"/>
          </w:tcPr>
          <w:p w:rsidR="0050431D" w:rsidRPr="00A73B4C" w:rsidRDefault="0050431D" w:rsidP="00DB10A7">
            <w:pPr>
              <w:spacing w:line="280" w:lineRule="exact"/>
              <w:jc w:val="center"/>
              <w:rPr>
                <w:rFonts w:eastAsia="新細明體"/>
                <w:color w:val="000000" w:themeColor="text1"/>
                <w:sz w:val="24"/>
                <w:szCs w:val="24"/>
              </w:rPr>
            </w:pPr>
            <w:r w:rsidRPr="00A73B4C">
              <w:rPr>
                <w:color w:val="000000" w:themeColor="text1"/>
                <w:sz w:val="24"/>
                <w:szCs w:val="24"/>
              </w:rPr>
              <w:t>$32</w:t>
            </w:r>
            <w:r w:rsidRPr="00A73B4C">
              <w:rPr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17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bCs/>
                <w:color w:val="000000"/>
                <w:sz w:val="24"/>
                <w:szCs w:val="24"/>
              </w:rPr>
            </w:pPr>
            <w:r w:rsidRPr="004E392E">
              <w:rPr>
                <w:bCs/>
                <w:color w:val="000000"/>
                <w:sz w:val="24"/>
                <w:szCs w:val="24"/>
              </w:rPr>
              <w:t>1.97</w:t>
            </w:r>
          </w:p>
        </w:tc>
        <w:tc>
          <w:tcPr>
            <w:tcW w:w="1276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b/>
                <w:bCs/>
                <w:color w:val="000000"/>
                <w:sz w:val="24"/>
                <w:szCs w:val="24"/>
              </w:rPr>
            </w:pPr>
            <w:r w:rsidRPr="004E392E">
              <w:rPr>
                <w:b/>
                <w:bCs/>
                <w:color w:val="000000"/>
                <w:sz w:val="24"/>
                <w:szCs w:val="24"/>
              </w:rPr>
              <w:t>1.55</w:t>
            </w:r>
          </w:p>
        </w:tc>
        <w:tc>
          <w:tcPr>
            <w:tcW w:w="1276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b/>
                <w:bCs/>
                <w:color w:val="000000"/>
                <w:sz w:val="24"/>
                <w:szCs w:val="24"/>
              </w:rPr>
            </w:pPr>
            <w:r w:rsidRPr="004E392E">
              <w:rPr>
                <w:b/>
                <w:bCs/>
                <w:color w:val="000000"/>
                <w:sz w:val="24"/>
                <w:szCs w:val="24"/>
              </w:rPr>
              <w:t>1.40</w:t>
            </w:r>
          </w:p>
        </w:tc>
      </w:tr>
      <w:tr w:rsidR="0050431D" w:rsidRPr="004E392E" w:rsidTr="00D30A2C">
        <w:tc>
          <w:tcPr>
            <w:tcW w:w="709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bCs/>
                <w:color w:val="000000"/>
                <w:sz w:val="24"/>
                <w:szCs w:val="24"/>
              </w:rPr>
            </w:pPr>
            <w:r w:rsidRPr="004E392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bCs/>
                <w:color w:val="000000"/>
                <w:sz w:val="24"/>
                <w:szCs w:val="24"/>
              </w:rPr>
            </w:pPr>
            <w:r w:rsidRPr="004E392E">
              <w:rPr>
                <w:bCs/>
                <w:color w:val="000000"/>
                <w:sz w:val="24"/>
                <w:szCs w:val="24"/>
              </w:rPr>
              <w:t>44.26</w:t>
            </w:r>
            <w:r w:rsidRPr="004E392E">
              <w:rPr>
                <w:bCs/>
                <w:color w:val="000000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993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bCs/>
                <w:color w:val="000000"/>
                <w:sz w:val="24"/>
                <w:szCs w:val="24"/>
              </w:rPr>
            </w:pPr>
            <w:r w:rsidRPr="004E392E">
              <w:rPr>
                <w:bCs/>
                <w:color w:val="000000"/>
                <w:sz w:val="24"/>
                <w:szCs w:val="24"/>
              </w:rPr>
              <w:t>25.31</w:t>
            </w:r>
          </w:p>
        </w:tc>
        <w:tc>
          <w:tcPr>
            <w:tcW w:w="850" w:type="dxa"/>
            <w:vAlign w:val="center"/>
          </w:tcPr>
          <w:p w:rsidR="0050431D" w:rsidRPr="00A73B4C" w:rsidRDefault="0050431D" w:rsidP="00DB10A7">
            <w:pPr>
              <w:spacing w:line="280" w:lineRule="exact"/>
              <w:jc w:val="center"/>
              <w:rPr>
                <w:rFonts w:eastAsia="新細明體"/>
                <w:color w:val="000000" w:themeColor="text1"/>
                <w:sz w:val="24"/>
                <w:szCs w:val="24"/>
              </w:rPr>
            </w:pPr>
            <w:r w:rsidRPr="00A73B4C">
              <w:rPr>
                <w:color w:val="000000" w:themeColor="text1"/>
                <w:sz w:val="24"/>
                <w:szCs w:val="24"/>
              </w:rPr>
              <w:t>$29</w:t>
            </w:r>
            <w:r w:rsidRPr="00A73B4C">
              <w:rPr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851" w:type="dxa"/>
            <w:vAlign w:val="center"/>
          </w:tcPr>
          <w:p w:rsidR="0050431D" w:rsidRPr="00A73B4C" w:rsidRDefault="0050431D" w:rsidP="00DB10A7">
            <w:pPr>
              <w:spacing w:line="280" w:lineRule="exact"/>
              <w:jc w:val="center"/>
              <w:rPr>
                <w:rFonts w:eastAsia="新細明體"/>
                <w:color w:val="000000" w:themeColor="text1"/>
                <w:sz w:val="24"/>
                <w:szCs w:val="24"/>
              </w:rPr>
            </w:pPr>
            <w:r w:rsidRPr="00A73B4C">
              <w:rPr>
                <w:color w:val="000000" w:themeColor="text1"/>
                <w:sz w:val="24"/>
                <w:szCs w:val="24"/>
              </w:rPr>
              <w:t>$32</w:t>
            </w:r>
            <w:r w:rsidRPr="00A73B4C">
              <w:rPr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17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bCs/>
                <w:color w:val="000000"/>
                <w:sz w:val="24"/>
                <w:szCs w:val="24"/>
              </w:rPr>
            </w:pPr>
            <w:r w:rsidRPr="004E392E">
              <w:rPr>
                <w:bCs/>
                <w:color w:val="000000"/>
                <w:sz w:val="24"/>
                <w:szCs w:val="24"/>
              </w:rPr>
              <w:t>1.75</w:t>
            </w:r>
          </w:p>
        </w:tc>
        <w:tc>
          <w:tcPr>
            <w:tcW w:w="1276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b/>
                <w:bCs/>
                <w:color w:val="000000"/>
                <w:sz w:val="24"/>
                <w:szCs w:val="24"/>
              </w:rPr>
            </w:pPr>
            <w:r w:rsidRPr="004E392E">
              <w:rPr>
                <w:b/>
                <w:bCs/>
                <w:color w:val="000000"/>
                <w:sz w:val="24"/>
                <w:szCs w:val="24"/>
              </w:rPr>
              <w:t>1.53</w:t>
            </w:r>
          </w:p>
        </w:tc>
        <w:tc>
          <w:tcPr>
            <w:tcW w:w="1276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b/>
                <w:bCs/>
                <w:color w:val="000000"/>
                <w:sz w:val="24"/>
                <w:szCs w:val="24"/>
              </w:rPr>
            </w:pPr>
            <w:r w:rsidRPr="004E392E">
              <w:rPr>
                <w:b/>
                <w:bCs/>
                <w:color w:val="000000"/>
                <w:sz w:val="24"/>
                <w:szCs w:val="24"/>
              </w:rPr>
              <w:t>1.38</w:t>
            </w:r>
          </w:p>
        </w:tc>
      </w:tr>
      <w:tr w:rsidR="0050431D" w:rsidRPr="004E392E" w:rsidTr="00D30A2C">
        <w:tc>
          <w:tcPr>
            <w:tcW w:w="709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bCs/>
                <w:color w:val="000000"/>
                <w:sz w:val="24"/>
                <w:szCs w:val="24"/>
              </w:rPr>
            </w:pPr>
            <w:r w:rsidRPr="004E392E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bCs/>
                <w:color w:val="000000"/>
                <w:sz w:val="24"/>
                <w:szCs w:val="24"/>
              </w:rPr>
            </w:pPr>
            <w:r w:rsidRPr="004E392E">
              <w:rPr>
                <w:bCs/>
                <w:color w:val="000000"/>
                <w:sz w:val="24"/>
                <w:szCs w:val="24"/>
              </w:rPr>
              <w:t>39.82</w:t>
            </w:r>
            <w:r w:rsidRPr="004E392E">
              <w:rPr>
                <w:bCs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993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bCs/>
                <w:color w:val="000000"/>
                <w:sz w:val="24"/>
                <w:szCs w:val="24"/>
              </w:rPr>
            </w:pPr>
            <w:r w:rsidRPr="004E392E">
              <w:rPr>
                <w:bCs/>
                <w:color w:val="000000"/>
                <w:sz w:val="24"/>
                <w:szCs w:val="24"/>
              </w:rPr>
              <w:t>24.21</w:t>
            </w:r>
          </w:p>
        </w:tc>
        <w:tc>
          <w:tcPr>
            <w:tcW w:w="850" w:type="dxa"/>
            <w:vAlign w:val="center"/>
          </w:tcPr>
          <w:p w:rsidR="0050431D" w:rsidRPr="00A73B4C" w:rsidRDefault="0050431D" w:rsidP="00DB10A7">
            <w:pPr>
              <w:spacing w:line="280" w:lineRule="exact"/>
              <w:jc w:val="center"/>
              <w:rPr>
                <w:rFonts w:eastAsia="新細明體"/>
                <w:color w:val="000000" w:themeColor="text1"/>
                <w:sz w:val="24"/>
                <w:szCs w:val="24"/>
              </w:rPr>
            </w:pPr>
            <w:r w:rsidRPr="00A73B4C">
              <w:rPr>
                <w:color w:val="000000" w:themeColor="text1"/>
                <w:sz w:val="24"/>
                <w:szCs w:val="24"/>
              </w:rPr>
              <w:t>$29</w:t>
            </w:r>
            <w:r w:rsidRPr="00A73B4C">
              <w:rPr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851" w:type="dxa"/>
            <w:vAlign w:val="center"/>
          </w:tcPr>
          <w:p w:rsidR="0050431D" w:rsidRPr="00A73B4C" w:rsidRDefault="0050431D" w:rsidP="00DB10A7">
            <w:pPr>
              <w:spacing w:line="280" w:lineRule="exact"/>
              <w:jc w:val="center"/>
              <w:rPr>
                <w:rFonts w:eastAsia="新細明體"/>
                <w:color w:val="000000" w:themeColor="text1"/>
                <w:sz w:val="24"/>
                <w:szCs w:val="24"/>
              </w:rPr>
            </w:pPr>
            <w:r w:rsidRPr="00A73B4C">
              <w:rPr>
                <w:color w:val="000000" w:themeColor="text1"/>
                <w:sz w:val="24"/>
                <w:szCs w:val="24"/>
              </w:rPr>
              <w:t>$32</w:t>
            </w:r>
            <w:r w:rsidRPr="00A73B4C">
              <w:rPr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17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bCs/>
                <w:color w:val="000000"/>
                <w:sz w:val="24"/>
                <w:szCs w:val="24"/>
              </w:rPr>
            </w:pPr>
            <w:r w:rsidRPr="004E392E">
              <w:rPr>
                <w:bCs/>
                <w:color w:val="000000"/>
                <w:sz w:val="24"/>
                <w:szCs w:val="24"/>
              </w:rPr>
              <w:t>1.64</w:t>
            </w:r>
          </w:p>
        </w:tc>
        <w:tc>
          <w:tcPr>
            <w:tcW w:w="1276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b/>
                <w:bCs/>
                <w:color w:val="000000"/>
                <w:sz w:val="24"/>
                <w:szCs w:val="24"/>
              </w:rPr>
            </w:pPr>
            <w:r w:rsidRPr="004E392E">
              <w:rPr>
                <w:b/>
                <w:bCs/>
                <w:color w:val="000000"/>
                <w:sz w:val="24"/>
                <w:szCs w:val="24"/>
              </w:rPr>
              <w:t>1.37</w:t>
            </w:r>
          </w:p>
        </w:tc>
        <w:tc>
          <w:tcPr>
            <w:tcW w:w="1276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b/>
                <w:bCs/>
                <w:color w:val="000000"/>
                <w:sz w:val="24"/>
                <w:szCs w:val="24"/>
              </w:rPr>
            </w:pPr>
            <w:r w:rsidRPr="004E392E">
              <w:rPr>
                <w:b/>
                <w:bCs/>
                <w:color w:val="000000"/>
                <w:sz w:val="24"/>
                <w:szCs w:val="24"/>
              </w:rPr>
              <w:t>1.24</w:t>
            </w:r>
          </w:p>
        </w:tc>
      </w:tr>
      <w:tr w:rsidR="0050431D" w:rsidRPr="004E392E" w:rsidTr="00D30A2C">
        <w:tc>
          <w:tcPr>
            <w:tcW w:w="709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38.27</w:t>
            </w:r>
            <w:r w:rsidRPr="004E392E">
              <w:rPr>
                <w:bCs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993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22.42</w:t>
            </w:r>
          </w:p>
        </w:tc>
        <w:tc>
          <w:tcPr>
            <w:tcW w:w="850" w:type="dxa"/>
            <w:vAlign w:val="center"/>
          </w:tcPr>
          <w:p w:rsidR="0050431D" w:rsidRPr="00A73B4C" w:rsidRDefault="0050431D" w:rsidP="00DB10A7">
            <w:pPr>
              <w:spacing w:line="280" w:lineRule="exact"/>
              <w:jc w:val="center"/>
              <w:rPr>
                <w:rFonts w:eastAsia="新細明體"/>
                <w:color w:val="000000" w:themeColor="text1"/>
                <w:sz w:val="24"/>
                <w:szCs w:val="24"/>
              </w:rPr>
            </w:pPr>
            <w:r w:rsidRPr="00A73B4C">
              <w:rPr>
                <w:color w:val="000000" w:themeColor="text1"/>
                <w:sz w:val="24"/>
                <w:szCs w:val="24"/>
              </w:rPr>
              <w:t>$29</w:t>
            </w:r>
            <w:r w:rsidRPr="00A73B4C">
              <w:rPr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851" w:type="dxa"/>
            <w:vAlign w:val="center"/>
          </w:tcPr>
          <w:p w:rsidR="0050431D" w:rsidRPr="00A73B4C" w:rsidRDefault="0050431D" w:rsidP="00DB10A7">
            <w:pPr>
              <w:spacing w:line="280" w:lineRule="exact"/>
              <w:jc w:val="center"/>
              <w:rPr>
                <w:rFonts w:eastAsia="新細明體"/>
                <w:color w:val="000000" w:themeColor="text1"/>
                <w:sz w:val="24"/>
                <w:szCs w:val="24"/>
              </w:rPr>
            </w:pPr>
            <w:r w:rsidRPr="00A73B4C">
              <w:rPr>
                <w:color w:val="000000" w:themeColor="text1"/>
                <w:sz w:val="24"/>
                <w:szCs w:val="24"/>
              </w:rPr>
              <w:t>$32</w:t>
            </w:r>
            <w:r w:rsidRPr="00A73B4C">
              <w:rPr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17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1.71</w:t>
            </w:r>
          </w:p>
        </w:tc>
        <w:tc>
          <w:tcPr>
            <w:tcW w:w="1276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b/>
                <w:color w:val="000000"/>
                <w:sz w:val="24"/>
                <w:szCs w:val="24"/>
              </w:rPr>
            </w:pPr>
            <w:r w:rsidRPr="004E392E">
              <w:rPr>
                <w:b/>
                <w:color w:val="000000"/>
                <w:sz w:val="24"/>
                <w:szCs w:val="24"/>
              </w:rPr>
              <w:t>1.32</w:t>
            </w:r>
          </w:p>
        </w:tc>
        <w:tc>
          <w:tcPr>
            <w:tcW w:w="1276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b/>
                <w:color w:val="000000"/>
                <w:sz w:val="24"/>
                <w:szCs w:val="24"/>
              </w:rPr>
            </w:pPr>
            <w:r w:rsidRPr="004E392E">
              <w:rPr>
                <w:b/>
                <w:color w:val="000000"/>
                <w:sz w:val="24"/>
                <w:szCs w:val="24"/>
              </w:rPr>
              <w:t>1.20</w:t>
            </w:r>
          </w:p>
        </w:tc>
      </w:tr>
      <w:tr w:rsidR="0050431D" w:rsidRPr="004E392E" w:rsidTr="00D30A2C">
        <w:trPr>
          <w:trHeight w:val="381"/>
        </w:trPr>
        <w:tc>
          <w:tcPr>
            <w:tcW w:w="709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37.43</w:t>
            </w:r>
          </w:p>
        </w:tc>
        <w:tc>
          <w:tcPr>
            <w:tcW w:w="993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21.82</w:t>
            </w:r>
          </w:p>
        </w:tc>
        <w:tc>
          <w:tcPr>
            <w:tcW w:w="850" w:type="dxa"/>
            <w:vAlign w:val="center"/>
          </w:tcPr>
          <w:p w:rsidR="0050431D" w:rsidRPr="00A73B4C" w:rsidRDefault="0050431D" w:rsidP="00DB10A7">
            <w:pPr>
              <w:spacing w:line="280" w:lineRule="exact"/>
              <w:jc w:val="center"/>
              <w:rPr>
                <w:rFonts w:eastAsia="新細明體"/>
                <w:color w:val="000000" w:themeColor="text1"/>
                <w:sz w:val="24"/>
                <w:szCs w:val="24"/>
              </w:rPr>
            </w:pPr>
            <w:r w:rsidRPr="00A73B4C">
              <w:rPr>
                <w:color w:val="000000" w:themeColor="text1"/>
                <w:sz w:val="24"/>
                <w:szCs w:val="24"/>
              </w:rPr>
              <w:t>$29</w:t>
            </w:r>
            <w:r w:rsidRPr="00A73B4C">
              <w:rPr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851" w:type="dxa"/>
            <w:vAlign w:val="center"/>
          </w:tcPr>
          <w:p w:rsidR="0050431D" w:rsidRPr="00A73B4C" w:rsidRDefault="0050431D" w:rsidP="00DB10A7">
            <w:pPr>
              <w:spacing w:line="280" w:lineRule="exact"/>
              <w:jc w:val="center"/>
              <w:rPr>
                <w:rFonts w:eastAsia="新細明體"/>
                <w:color w:val="000000" w:themeColor="text1"/>
                <w:sz w:val="24"/>
                <w:szCs w:val="24"/>
              </w:rPr>
            </w:pPr>
            <w:r w:rsidRPr="00A73B4C">
              <w:rPr>
                <w:color w:val="000000" w:themeColor="text1"/>
                <w:sz w:val="24"/>
                <w:szCs w:val="24"/>
              </w:rPr>
              <w:t>$32</w:t>
            </w:r>
            <w:r w:rsidRPr="00A73B4C">
              <w:rPr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17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1.72</w:t>
            </w:r>
          </w:p>
        </w:tc>
        <w:tc>
          <w:tcPr>
            <w:tcW w:w="1276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1.29</w:t>
            </w:r>
          </w:p>
        </w:tc>
        <w:tc>
          <w:tcPr>
            <w:tcW w:w="1276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1.17</w:t>
            </w:r>
          </w:p>
        </w:tc>
      </w:tr>
      <w:tr w:rsidR="0050431D" w:rsidRPr="004E392E" w:rsidTr="00D30A2C">
        <w:tc>
          <w:tcPr>
            <w:tcW w:w="709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36.32</w:t>
            </w:r>
          </w:p>
        </w:tc>
        <w:tc>
          <w:tcPr>
            <w:tcW w:w="993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20.64</w:t>
            </w:r>
          </w:p>
        </w:tc>
        <w:tc>
          <w:tcPr>
            <w:tcW w:w="850" w:type="dxa"/>
            <w:vAlign w:val="center"/>
          </w:tcPr>
          <w:p w:rsidR="0050431D" w:rsidRPr="00A73B4C" w:rsidRDefault="0050431D" w:rsidP="00DB10A7">
            <w:pPr>
              <w:spacing w:line="280" w:lineRule="exact"/>
              <w:jc w:val="center"/>
              <w:rPr>
                <w:rFonts w:eastAsia="新細明體"/>
                <w:color w:val="000000" w:themeColor="text1"/>
                <w:sz w:val="24"/>
                <w:szCs w:val="24"/>
              </w:rPr>
            </w:pPr>
            <w:r w:rsidRPr="00A73B4C">
              <w:rPr>
                <w:color w:val="000000" w:themeColor="text1"/>
                <w:sz w:val="24"/>
                <w:szCs w:val="24"/>
              </w:rPr>
              <w:t>$29</w:t>
            </w:r>
            <w:r w:rsidRPr="00A73B4C">
              <w:rPr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851" w:type="dxa"/>
            <w:vAlign w:val="center"/>
          </w:tcPr>
          <w:p w:rsidR="0050431D" w:rsidRPr="00A73B4C" w:rsidRDefault="0050431D" w:rsidP="00DB10A7">
            <w:pPr>
              <w:spacing w:line="280" w:lineRule="exact"/>
              <w:jc w:val="center"/>
              <w:rPr>
                <w:rFonts w:eastAsia="新細明體"/>
                <w:color w:val="000000" w:themeColor="text1"/>
                <w:sz w:val="24"/>
                <w:szCs w:val="24"/>
              </w:rPr>
            </w:pPr>
            <w:r w:rsidRPr="00A73B4C">
              <w:rPr>
                <w:color w:val="000000" w:themeColor="text1"/>
                <w:sz w:val="24"/>
                <w:szCs w:val="24"/>
              </w:rPr>
              <w:t>$32</w:t>
            </w:r>
            <w:r w:rsidRPr="00A73B4C">
              <w:rPr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17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1.76</w:t>
            </w:r>
          </w:p>
        </w:tc>
        <w:tc>
          <w:tcPr>
            <w:tcW w:w="1276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1.25</w:t>
            </w:r>
          </w:p>
        </w:tc>
        <w:tc>
          <w:tcPr>
            <w:tcW w:w="1276" w:type="dxa"/>
            <w:vAlign w:val="center"/>
          </w:tcPr>
          <w:p w:rsidR="0050431D" w:rsidRPr="004E392E" w:rsidRDefault="0050431D" w:rsidP="00DB10A7">
            <w:pPr>
              <w:spacing w:line="280" w:lineRule="exact"/>
              <w:jc w:val="center"/>
              <w:rPr>
                <w:rFonts w:eastAsia="新細明體"/>
                <w:color w:val="000000"/>
                <w:sz w:val="24"/>
                <w:szCs w:val="24"/>
              </w:rPr>
            </w:pPr>
            <w:r w:rsidRPr="004E392E">
              <w:rPr>
                <w:color w:val="000000"/>
                <w:sz w:val="24"/>
                <w:szCs w:val="24"/>
              </w:rPr>
              <w:t>1.14</w:t>
            </w:r>
          </w:p>
        </w:tc>
      </w:tr>
    </w:tbl>
    <w:p w:rsidR="006160F7" w:rsidRPr="004E392E" w:rsidRDefault="006160F7" w:rsidP="00650A1D">
      <w:pPr>
        <w:spacing w:beforeLines="15" w:line="240" w:lineRule="exact"/>
        <w:ind w:left="542" w:rightChars="-233" w:right="-793" w:hangingChars="246" w:hanging="542"/>
        <w:rPr>
          <w:color w:val="000000"/>
          <w:sz w:val="20"/>
          <w:szCs w:val="24"/>
        </w:rPr>
      </w:pPr>
      <w:r w:rsidRPr="004E392E">
        <w:rPr>
          <w:color w:val="000000"/>
          <w:sz w:val="20"/>
          <w:szCs w:val="24"/>
        </w:rPr>
        <w:t>資料來源：金管會復函</w:t>
      </w:r>
    </w:p>
    <w:p w:rsidR="006160F7" w:rsidRPr="004E392E" w:rsidRDefault="006160F7" w:rsidP="00650A1D">
      <w:pPr>
        <w:spacing w:beforeLines="15" w:line="240" w:lineRule="exact"/>
        <w:ind w:left="630" w:rightChars="-25" w:right="-85" w:hangingChars="286" w:hanging="630"/>
        <w:rPr>
          <w:color w:val="000000"/>
          <w:sz w:val="20"/>
          <w:szCs w:val="24"/>
        </w:rPr>
      </w:pPr>
      <w:r w:rsidRPr="004E392E">
        <w:rPr>
          <w:color w:val="000000"/>
          <w:sz w:val="20"/>
          <w:szCs w:val="24"/>
        </w:rPr>
        <w:t>說明：</w:t>
      </w:r>
      <w:r w:rsidR="005B1D7B" w:rsidRPr="004E392E">
        <w:rPr>
          <w:sz w:val="20"/>
          <w:szCs w:val="24"/>
        </w:rPr>
        <w:t>換股比率：</w:t>
      </w:r>
      <w:r w:rsidR="005B1D7B" w:rsidRPr="004E392E">
        <w:rPr>
          <w:color w:val="000000"/>
          <w:sz w:val="20"/>
          <w:szCs w:val="24"/>
        </w:rPr>
        <w:t>國泰金股價</w:t>
      </w:r>
      <w:r w:rsidR="005B1D7B" w:rsidRPr="004E392E">
        <w:rPr>
          <w:color w:val="000000"/>
          <w:sz w:val="20"/>
          <w:szCs w:val="24"/>
        </w:rPr>
        <w:t>/</w:t>
      </w:r>
      <w:proofErr w:type="gramStart"/>
      <w:r w:rsidR="005B1D7B" w:rsidRPr="004E392E">
        <w:rPr>
          <w:color w:val="000000"/>
          <w:sz w:val="20"/>
          <w:szCs w:val="24"/>
        </w:rPr>
        <w:t>世</w:t>
      </w:r>
      <w:proofErr w:type="gramEnd"/>
      <w:r w:rsidR="005B1D7B" w:rsidRPr="004E392E">
        <w:rPr>
          <w:color w:val="000000"/>
          <w:sz w:val="20"/>
          <w:szCs w:val="24"/>
        </w:rPr>
        <w:t>華銀股價。</w:t>
      </w:r>
      <w:proofErr w:type="gramStart"/>
      <w:r w:rsidR="005B1D7B" w:rsidRPr="004E392E">
        <w:rPr>
          <w:color w:val="000000"/>
          <w:sz w:val="20"/>
          <w:szCs w:val="24"/>
        </w:rPr>
        <w:t>世</w:t>
      </w:r>
      <w:proofErr w:type="gramEnd"/>
      <w:r w:rsidR="005B1D7B" w:rsidRPr="004E392E">
        <w:rPr>
          <w:color w:val="000000"/>
          <w:sz w:val="20"/>
          <w:szCs w:val="24"/>
        </w:rPr>
        <w:t>華銀之股價有三個：</w:t>
      </w:r>
      <w:proofErr w:type="gramStart"/>
      <w:r w:rsidR="005B1D7B" w:rsidRPr="004E392E">
        <w:rPr>
          <w:color w:val="000000"/>
          <w:sz w:val="20"/>
          <w:szCs w:val="24"/>
        </w:rPr>
        <w:t>實際</w:t>
      </w:r>
      <w:r w:rsidR="00C91351">
        <w:rPr>
          <w:rFonts w:hint="eastAsia"/>
          <w:color w:val="000000"/>
          <w:sz w:val="20"/>
          <w:szCs w:val="24"/>
        </w:rPr>
        <w:t>、</w:t>
      </w:r>
      <w:proofErr w:type="gramEnd"/>
      <w:r w:rsidR="005B1D7B" w:rsidRPr="004E392E">
        <w:rPr>
          <w:color w:val="000000"/>
          <w:sz w:val="20"/>
          <w:szCs w:val="24"/>
        </w:rPr>
        <w:t>目標</w:t>
      </w:r>
      <w:r w:rsidR="005B1D7B" w:rsidRPr="004E392E">
        <w:rPr>
          <w:color w:val="000000"/>
          <w:sz w:val="20"/>
          <w:szCs w:val="24"/>
        </w:rPr>
        <w:t>(</w:t>
      </w:r>
      <w:r w:rsidR="005B1D7B" w:rsidRPr="004E392E">
        <w:rPr>
          <w:color w:val="000000"/>
          <w:sz w:val="20"/>
          <w:szCs w:val="24"/>
        </w:rPr>
        <w:t>上限或下限</w:t>
      </w:r>
      <w:r w:rsidR="005B1D7B" w:rsidRPr="004E392E">
        <w:rPr>
          <w:color w:val="000000"/>
          <w:sz w:val="20"/>
          <w:szCs w:val="24"/>
        </w:rPr>
        <w:t>)</w:t>
      </w:r>
      <w:r w:rsidR="005B1D7B" w:rsidRPr="004E392E">
        <w:rPr>
          <w:color w:val="000000"/>
          <w:sz w:val="20"/>
          <w:szCs w:val="24"/>
        </w:rPr>
        <w:t>，各可計算一個</w:t>
      </w:r>
      <w:r w:rsidR="005B1D7B" w:rsidRPr="004E392E">
        <w:rPr>
          <w:sz w:val="20"/>
          <w:szCs w:val="24"/>
        </w:rPr>
        <w:t>換股比率</w:t>
      </w:r>
    </w:p>
    <w:p w:rsidR="005B1D7B" w:rsidRPr="004E392E" w:rsidRDefault="006160F7" w:rsidP="00C37805">
      <w:pPr>
        <w:spacing w:line="240" w:lineRule="exact"/>
        <w:ind w:left="141" w:rightChars="-25" w:right="-85" w:hangingChars="64" w:hanging="141"/>
        <w:rPr>
          <w:sz w:val="20"/>
          <w:szCs w:val="24"/>
        </w:rPr>
      </w:pPr>
      <w:r w:rsidRPr="004E392E">
        <w:rPr>
          <w:color w:val="000000"/>
          <w:sz w:val="20"/>
          <w:szCs w:val="24"/>
        </w:rPr>
        <w:t>a.</w:t>
      </w:r>
      <w:r w:rsidRPr="004E392E">
        <w:rPr>
          <w:sz w:val="20"/>
          <w:szCs w:val="24"/>
        </w:rPr>
        <w:t>摩根大通評估，</w:t>
      </w:r>
      <w:proofErr w:type="gramStart"/>
      <w:r w:rsidRPr="004E392E">
        <w:rPr>
          <w:sz w:val="20"/>
          <w:szCs w:val="24"/>
        </w:rPr>
        <w:t>世</w:t>
      </w:r>
      <w:proofErr w:type="gramEnd"/>
      <w:r w:rsidRPr="004E392E">
        <w:rPr>
          <w:sz w:val="20"/>
          <w:szCs w:val="24"/>
        </w:rPr>
        <w:t>華銀</w:t>
      </w:r>
      <w:proofErr w:type="gramStart"/>
      <w:r w:rsidRPr="004E392E">
        <w:rPr>
          <w:sz w:val="20"/>
          <w:szCs w:val="24"/>
        </w:rPr>
        <w:t>併</w:t>
      </w:r>
      <w:proofErr w:type="gramEnd"/>
      <w:r w:rsidRPr="004E392E">
        <w:rPr>
          <w:sz w:val="20"/>
          <w:szCs w:val="24"/>
        </w:rPr>
        <w:t>購價</w:t>
      </w:r>
      <w:r w:rsidR="005B1D7B" w:rsidRPr="004E392E">
        <w:rPr>
          <w:sz w:val="20"/>
          <w:szCs w:val="24"/>
        </w:rPr>
        <w:t>(</w:t>
      </w:r>
      <w:r w:rsidR="005B1D7B" w:rsidRPr="004E392E">
        <w:rPr>
          <w:sz w:val="20"/>
          <w:szCs w:val="24"/>
        </w:rPr>
        <w:t>目標股價</w:t>
      </w:r>
      <w:r w:rsidR="005B1D7B" w:rsidRPr="004E392E">
        <w:rPr>
          <w:sz w:val="20"/>
          <w:szCs w:val="24"/>
        </w:rPr>
        <w:t>)</w:t>
      </w:r>
      <w:r w:rsidRPr="004E392E">
        <w:rPr>
          <w:sz w:val="20"/>
          <w:szCs w:val="24"/>
        </w:rPr>
        <w:t>之範圍：每股</w:t>
      </w:r>
      <w:r w:rsidRPr="004E392E">
        <w:rPr>
          <w:sz w:val="20"/>
          <w:szCs w:val="24"/>
        </w:rPr>
        <w:t>$29.5</w:t>
      </w:r>
      <w:r w:rsidR="005B1D7B" w:rsidRPr="004E392E">
        <w:rPr>
          <w:sz w:val="20"/>
          <w:szCs w:val="24"/>
        </w:rPr>
        <w:t>~</w:t>
      </w:r>
      <w:r w:rsidRPr="004E392E">
        <w:rPr>
          <w:sz w:val="20"/>
          <w:szCs w:val="24"/>
        </w:rPr>
        <w:t>$32.5</w:t>
      </w:r>
      <w:r w:rsidR="005B1D7B" w:rsidRPr="004E392E">
        <w:rPr>
          <w:sz w:val="20"/>
          <w:szCs w:val="24"/>
        </w:rPr>
        <w:t>，因</w:t>
      </w:r>
      <w:proofErr w:type="gramStart"/>
      <w:r w:rsidRPr="004E392E">
        <w:rPr>
          <w:sz w:val="20"/>
          <w:szCs w:val="24"/>
        </w:rPr>
        <w:t>世</w:t>
      </w:r>
      <w:proofErr w:type="gramEnd"/>
      <w:r w:rsidRPr="004E392E">
        <w:rPr>
          <w:sz w:val="20"/>
          <w:szCs w:val="24"/>
        </w:rPr>
        <w:t>華銀</w:t>
      </w:r>
      <w:r w:rsidR="005B1D7B" w:rsidRPr="004E392E">
        <w:rPr>
          <w:sz w:val="20"/>
          <w:szCs w:val="24"/>
        </w:rPr>
        <w:t>於</w:t>
      </w:r>
      <w:r w:rsidRPr="004E392E">
        <w:rPr>
          <w:sz w:val="20"/>
          <w:szCs w:val="24"/>
        </w:rPr>
        <w:t>91.6</w:t>
      </w:r>
      <w:r w:rsidRPr="004E392E">
        <w:rPr>
          <w:sz w:val="20"/>
          <w:szCs w:val="24"/>
        </w:rPr>
        <w:t>發放現金股利</w:t>
      </w:r>
      <w:r w:rsidRPr="004E392E">
        <w:rPr>
          <w:sz w:val="20"/>
          <w:szCs w:val="24"/>
        </w:rPr>
        <w:t>$0.5</w:t>
      </w:r>
      <w:r w:rsidRPr="004E392E">
        <w:rPr>
          <w:sz w:val="20"/>
          <w:szCs w:val="24"/>
        </w:rPr>
        <w:t>，立本賴明陽會計師</w:t>
      </w:r>
      <w:r w:rsidR="005B1D7B" w:rsidRPr="004E392E">
        <w:rPr>
          <w:sz w:val="20"/>
          <w:szCs w:val="24"/>
        </w:rPr>
        <w:t>於計算</w:t>
      </w:r>
      <w:proofErr w:type="gramStart"/>
      <w:r w:rsidRPr="004E392E">
        <w:rPr>
          <w:sz w:val="20"/>
          <w:szCs w:val="24"/>
        </w:rPr>
        <w:t>併</w:t>
      </w:r>
      <w:proofErr w:type="gramEnd"/>
      <w:r w:rsidRPr="004E392E">
        <w:rPr>
          <w:sz w:val="20"/>
          <w:szCs w:val="24"/>
        </w:rPr>
        <w:t>購價</w:t>
      </w:r>
      <w:r w:rsidR="005B1D7B" w:rsidRPr="004E392E">
        <w:rPr>
          <w:sz w:val="20"/>
          <w:szCs w:val="24"/>
        </w:rPr>
        <w:t>之範圍時，扣除該股利，</w:t>
      </w:r>
      <w:r w:rsidRPr="004E392E">
        <w:rPr>
          <w:sz w:val="20"/>
          <w:szCs w:val="24"/>
        </w:rPr>
        <w:t>成為</w:t>
      </w:r>
      <w:r w:rsidRPr="004E392E">
        <w:rPr>
          <w:sz w:val="20"/>
          <w:szCs w:val="24"/>
        </w:rPr>
        <w:t>$29</w:t>
      </w:r>
      <w:r w:rsidR="005B1D7B" w:rsidRPr="004E392E">
        <w:rPr>
          <w:sz w:val="20"/>
          <w:szCs w:val="24"/>
        </w:rPr>
        <w:t>~</w:t>
      </w:r>
      <w:r w:rsidRPr="004E392E">
        <w:rPr>
          <w:sz w:val="20"/>
          <w:szCs w:val="24"/>
        </w:rPr>
        <w:t>$32</w:t>
      </w:r>
    </w:p>
    <w:p w:rsidR="006160F7" w:rsidRPr="004E392E" w:rsidRDefault="006160F7" w:rsidP="00D30A2C">
      <w:pPr>
        <w:spacing w:line="240" w:lineRule="exact"/>
        <w:ind w:left="141" w:rightChars="-25" w:right="-85" w:hangingChars="64" w:hanging="141"/>
        <w:rPr>
          <w:sz w:val="20"/>
          <w:szCs w:val="24"/>
        </w:rPr>
      </w:pPr>
      <w:r w:rsidRPr="004E392E">
        <w:rPr>
          <w:sz w:val="20"/>
          <w:szCs w:val="24"/>
        </w:rPr>
        <w:t>b.</w:t>
      </w:r>
      <w:proofErr w:type="gramStart"/>
      <w:r w:rsidRPr="004E392E">
        <w:rPr>
          <w:sz w:val="20"/>
          <w:szCs w:val="24"/>
        </w:rPr>
        <w:t>國泰金控之</w:t>
      </w:r>
      <w:proofErr w:type="gramEnd"/>
      <w:r w:rsidRPr="004E392E">
        <w:rPr>
          <w:sz w:val="20"/>
          <w:szCs w:val="24"/>
        </w:rPr>
        <w:t>價格</w:t>
      </w:r>
      <w:r w:rsidRPr="004E392E">
        <w:rPr>
          <w:sz w:val="20"/>
          <w:szCs w:val="24"/>
        </w:rPr>
        <w:t>(</w:t>
      </w:r>
      <w:r w:rsidRPr="004E392E">
        <w:rPr>
          <w:sz w:val="20"/>
          <w:szCs w:val="24"/>
        </w:rPr>
        <w:t>收盤價</w:t>
      </w:r>
      <w:r w:rsidRPr="004E392E">
        <w:rPr>
          <w:sz w:val="20"/>
          <w:szCs w:val="24"/>
        </w:rPr>
        <w:t>)</w:t>
      </w:r>
      <w:r w:rsidR="005B1D7B" w:rsidRPr="004E392E">
        <w:rPr>
          <w:sz w:val="20"/>
          <w:szCs w:val="24"/>
        </w:rPr>
        <w:t>，於</w:t>
      </w:r>
      <w:r w:rsidR="005B1D7B" w:rsidRPr="004E392E">
        <w:rPr>
          <w:sz w:val="20"/>
          <w:szCs w:val="24"/>
        </w:rPr>
        <w:t>97.7.1~97.8.30</w:t>
      </w:r>
      <w:r w:rsidR="005B1D7B" w:rsidRPr="004E392E">
        <w:rPr>
          <w:sz w:val="20"/>
          <w:szCs w:val="24"/>
        </w:rPr>
        <w:t>間</w:t>
      </w:r>
      <w:r w:rsidRPr="004E392E">
        <w:rPr>
          <w:sz w:val="20"/>
          <w:szCs w:val="24"/>
        </w:rPr>
        <w:t>大多低於</w:t>
      </w:r>
      <w:r w:rsidRPr="004E392E">
        <w:rPr>
          <w:sz w:val="20"/>
          <w:szCs w:val="24"/>
        </w:rPr>
        <w:t>$46</w:t>
      </w:r>
      <w:r w:rsidRPr="004E392E">
        <w:rPr>
          <w:sz w:val="20"/>
          <w:szCs w:val="24"/>
        </w:rPr>
        <w:t>，</w:t>
      </w:r>
      <w:r w:rsidR="005B1D7B" w:rsidRPr="004E392E">
        <w:rPr>
          <w:sz w:val="20"/>
          <w:szCs w:val="24"/>
        </w:rPr>
        <w:t>二個月間，價格達到</w:t>
      </w:r>
      <w:r w:rsidR="005B1D7B" w:rsidRPr="004E392E">
        <w:rPr>
          <w:sz w:val="20"/>
          <w:szCs w:val="24"/>
        </w:rPr>
        <w:t>$46</w:t>
      </w:r>
      <w:r w:rsidR="005B1D7B" w:rsidRPr="004E392E">
        <w:rPr>
          <w:sz w:val="20"/>
          <w:szCs w:val="24"/>
        </w:rPr>
        <w:t>者，</w:t>
      </w:r>
      <w:r w:rsidRPr="004E392E">
        <w:rPr>
          <w:sz w:val="20"/>
          <w:szCs w:val="24"/>
        </w:rPr>
        <w:t>僅</w:t>
      </w:r>
      <w:r w:rsidRPr="004E392E">
        <w:rPr>
          <w:sz w:val="20"/>
          <w:szCs w:val="24"/>
        </w:rPr>
        <w:t>5</w:t>
      </w:r>
      <w:r w:rsidRPr="004E392E">
        <w:rPr>
          <w:sz w:val="20"/>
          <w:szCs w:val="24"/>
        </w:rPr>
        <w:t>日</w:t>
      </w:r>
      <w:r w:rsidR="005B1D7B" w:rsidRPr="004E392E">
        <w:rPr>
          <w:sz w:val="20"/>
          <w:szCs w:val="24"/>
        </w:rPr>
        <w:t>(</w:t>
      </w:r>
      <w:r w:rsidRPr="004E392E">
        <w:rPr>
          <w:sz w:val="20"/>
          <w:szCs w:val="24"/>
        </w:rPr>
        <w:t>7.12</w:t>
      </w:r>
      <w:r w:rsidRPr="004E392E">
        <w:rPr>
          <w:sz w:val="20"/>
          <w:szCs w:val="24"/>
        </w:rPr>
        <w:t>之</w:t>
      </w:r>
      <w:r w:rsidR="003C4625" w:rsidRPr="004E392E">
        <w:rPr>
          <w:sz w:val="20"/>
          <w:szCs w:val="24"/>
        </w:rPr>
        <w:t>$</w:t>
      </w:r>
      <w:r w:rsidR="003C4625" w:rsidRPr="003C4625">
        <w:rPr>
          <w:sz w:val="20"/>
          <w:szCs w:val="24"/>
        </w:rPr>
        <w:t>46.2</w:t>
      </w:r>
      <w:r w:rsidRPr="004E392E">
        <w:rPr>
          <w:sz w:val="20"/>
          <w:szCs w:val="24"/>
        </w:rPr>
        <w:t>、</w:t>
      </w:r>
      <w:r w:rsidRPr="004E392E">
        <w:rPr>
          <w:sz w:val="20"/>
          <w:szCs w:val="24"/>
        </w:rPr>
        <w:t>7.15</w:t>
      </w:r>
      <w:r w:rsidRPr="004E392E">
        <w:rPr>
          <w:sz w:val="20"/>
          <w:szCs w:val="24"/>
        </w:rPr>
        <w:t>之</w:t>
      </w:r>
      <w:r w:rsidRPr="004E392E">
        <w:rPr>
          <w:sz w:val="20"/>
          <w:szCs w:val="24"/>
        </w:rPr>
        <w:t>$46</w:t>
      </w:r>
      <w:r w:rsidRPr="004E392E">
        <w:rPr>
          <w:sz w:val="20"/>
          <w:szCs w:val="24"/>
        </w:rPr>
        <w:t>、</w:t>
      </w:r>
      <w:r w:rsidRPr="004E392E">
        <w:rPr>
          <w:sz w:val="20"/>
          <w:szCs w:val="24"/>
        </w:rPr>
        <w:t>8.9</w:t>
      </w:r>
      <w:r w:rsidRPr="004E392E">
        <w:rPr>
          <w:sz w:val="20"/>
          <w:szCs w:val="24"/>
        </w:rPr>
        <w:t>之</w:t>
      </w:r>
      <w:r w:rsidRPr="004E392E">
        <w:rPr>
          <w:sz w:val="20"/>
          <w:szCs w:val="24"/>
        </w:rPr>
        <w:t>$48.6</w:t>
      </w:r>
      <w:r w:rsidRPr="004E392E">
        <w:rPr>
          <w:sz w:val="20"/>
          <w:szCs w:val="24"/>
        </w:rPr>
        <w:t>、</w:t>
      </w:r>
      <w:r w:rsidRPr="004E392E">
        <w:rPr>
          <w:sz w:val="20"/>
          <w:szCs w:val="24"/>
        </w:rPr>
        <w:t>8.12</w:t>
      </w:r>
      <w:r w:rsidRPr="004E392E">
        <w:rPr>
          <w:sz w:val="20"/>
          <w:szCs w:val="24"/>
        </w:rPr>
        <w:t>之</w:t>
      </w:r>
      <w:r w:rsidRPr="004E392E">
        <w:rPr>
          <w:sz w:val="20"/>
          <w:szCs w:val="24"/>
        </w:rPr>
        <w:t>$49.9</w:t>
      </w:r>
      <w:r w:rsidRPr="004E392E">
        <w:rPr>
          <w:sz w:val="20"/>
          <w:szCs w:val="24"/>
        </w:rPr>
        <w:t>及</w:t>
      </w:r>
      <w:r w:rsidRPr="004E392E">
        <w:rPr>
          <w:sz w:val="20"/>
          <w:szCs w:val="24"/>
        </w:rPr>
        <w:t>8.13</w:t>
      </w:r>
      <w:r w:rsidRPr="004E392E">
        <w:rPr>
          <w:sz w:val="20"/>
          <w:szCs w:val="24"/>
        </w:rPr>
        <w:t>之</w:t>
      </w:r>
      <w:r w:rsidRPr="004E392E">
        <w:rPr>
          <w:sz w:val="20"/>
          <w:szCs w:val="24"/>
        </w:rPr>
        <w:t>$46.5</w:t>
      </w:r>
      <w:r w:rsidR="005B1D7B" w:rsidRPr="004E392E">
        <w:rPr>
          <w:sz w:val="20"/>
          <w:szCs w:val="24"/>
        </w:rPr>
        <w:t>)</w:t>
      </w:r>
      <w:r w:rsidRPr="004E392E">
        <w:rPr>
          <w:sz w:val="20"/>
          <w:szCs w:val="24"/>
        </w:rPr>
        <w:t>，</w:t>
      </w:r>
      <w:r w:rsidR="005B1D7B" w:rsidRPr="004E392E">
        <w:rPr>
          <w:sz w:val="20"/>
          <w:szCs w:val="24"/>
        </w:rPr>
        <w:t>該</w:t>
      </w:r>
      <w:r w:rsidRPr="004E392E">
        <w:rPr>
          <w:sz w:val="20"/>
          <w:szCs w:val="24"/>
        </w:rPr>
        <w:t>二</w:t>
      </w:r>
      <w:proofErr w:type="gramStart"/>
      <w:r w:rsidRPr="004E392E">
        <w:rPr>
          <w:sz w:val="20"/>
          <w:szCs w:val="24"/>
        </w:rPr>
        <w:t>個</w:t>
      </w:r>
      <w:proofErr w:type="gramEnd"/>
      <w:r w:rsidRPr="004E392E">
        <w:rPr>
          <w:sz w:val="20"/>
          <w:szCs w:val="24"/>
        </w:rPr>
        <w:t>月中</w:t>
      </w:r>
      <w:r w:rsidR="005B1D7B" w:rsidRPr="004E392E">
        <w:rPr>
          <w:sz w:val="20"/>
          <w:szCs w:val="24"/>
        </w:rPr>
        <w:t>，只有一天的價格比</w:t>
      </w:r>
      <w:r w:rsidR="005B1D7B" w:rsidRPr="004E392E">
        <w:rPr>
          <w:sz w:val="20"/>
          <w:szCs w:val="24"/>
        </w:rPr>
        <w:t>$48.6</w:t>
      </w:r>
      <w:r w:rsidRPr="004E392E">
        <w:rPr>
          <w:sz w:val="20"/>
          <w:szCs w:val="24"/>
        </w:rPr>
        <w:t>高</w:t>
      </w:r>
    </w:p>
    <w:p w:rsidR="006160F7" w:rsidRPr="004E392E" w:rsidRDefault="006160F7" w:rsidP="00D30A2C">
      <w:pPr>
        <w:spacing w:line="240" w:lineRule="exact"/>
        <w:ind w:left="141" w:rightChars="-25" w:right="-85" w:hangingChars="64" w:hanging="141"/>
        <w:rPr>
          <w:sz w:val="20"/>
          <w:szCs w:val="24"/>
        </w:rPr>
      </w:pPr>
      <w:r w:rsidRPr="004E392E">
        <w:rPr>
          <w:sz w:val="20"/>
          <w:szCs w:val="24"/>
        </w:rPr>
        <w:t>c.</w:t>
      </w:r>
      <w:proofErr w:type="gramStart"/>
      <w:r w:rsidRPr="004E392E">
        <w:rPr>
          <w:color w:val="000000"/>
          <w:sz w:val="20"/>
          <w:szCs w:val="24"/>
        </w:rPr>
        <w:t>國泰金控</w:t>
      </w:r>
      <w:r w:rsidR="005B1D7B" w:rsidRPr="00D30A2C">
        <w:rPr>
          <w:sz w:val="20"/>
          <w:szCs w:val="24"/>
        </w:rPr>
        <w:t>於此</w:t>
      </w:r>
      <w:proofErr w:type="gramEnd"/>
      <w:r w:rsidR="005B1D7B" w:rsidRPr="004E392E">
        <w:rPr>
          <w:color w:val="000000"/>
          <w:sz w:val="20"/>
          <w:szCs w:val="24"/>
        </w:rPr>
        <w:t>期間內</w:t>
      </w:r>
      <w:r w:rsidRPr="004E392E">
        <w:rPr>
          <w:sz w:val="20"/>
          <w:szCs w:val="24"/>
        </w:rPr>
        <w:t>買回庫藏股</w:t>
      </w:r>
    </w:p>
    <w:p w:rsidR="00B6338B" w:rsidRDefault="00B6338B" w:rsidP="00650A1D">
      <w:pPr>
        <w:spacing w:afterLines="25"/>
        <w:rPr>
          <w:bCs/>
          <w:sz w:val="28"/>
        </w:rPr>
      </w:pPr>
    </w:p>
    <w:p w:rsidR="00894955" w:rsidRPr="004E392E" w:rsidRDefault="00894955" w:rsidP="00650A1D">
      <w:pPr>
        <w:spacing w:afterLines="25"/>
        <w:rPr>
          <w:bCs/>
          <w:sz w:val="28"/>
        </w:rPr>
      </w:pPr>
      <w:r w:rsidRPr="004E392E">
        <w:rPr>
          <w:bCs/>
          <w:sz w:val="28"/>
        </w:rPr>
        <w:lastRenderedPageBreak/>
        <w:t>表三</w:t>
      </w:r>
      <w:r w:rsidRPr="004E392E">
        <w:rPr>
          <w:bCs/>
          <w:sz w:val="28"/>
        </w:rPr>
        <w:t>-</w:t>
      </w:r>
      <w:r>
        <w:rPr>
          <w:rFonts w:hint="eastAsia"/>
          <w:bCs/>
          <w:sz w:val="28"/>
        </w:rPr>
        <w:t>2</w:t>
      </w:r>
      <w:r w:rsidRPr="004E392E">
        <w:rPr>
          <w:bCs/>
          <w:sz w:val="28"/>
        </w:rPr>
        <w:t>、</w:t>
      </w:r>
      <w:r w:rsidR="00C91351">
        <w:rPr>
          <w:rFonts w:hint="eastAsia"/>
          <w:bCs/>
          <w:sz w:val="28"/>
        </w:rPr>
        <w:t>不同</w:t>
      </w:r>
      <w:r w:rsidRPr="004E392E">
        <w:rPr>
          <w:bCs/>
          <w:sz w:val="28"/>
        </w:rPr>
        <w:t>換股比率</w:t>
      </w:r>
      <w:r w:rsidR="00C91351">
        <w:rPr>
          <w:rFonts w:hint="eastAsia"/>
          <w:bCs/>
          <w:sz w:val="28"/>
        </w:rPr>
        <w:t>之</w:t>
      </w:r>
      <w:r w:rsidRPr="00894955">
        <w:rPr>
          <w:bCs/>
          <w:sz w:val="28"/>
        </w:rPr>
        <w:t>影響</w:t>
      </w:r>
      <w:r w:rsidR="00C91351">
        <w:rPr>
          <w:rFonts w:hint="eastAsia"/>
          <w:bCs/>
          <w:sz w:val="28"/>
        </w:rPr>
        <w:t>：</w:t>
      </w:r>
      <w:r w:rsidRPr="004E392E">
        <w:rPr>
          <w:bCs/>
          <w:sz w:val="28"/>
        </w:rPr>
        <w:t>試算</w:t>
      </w:r>
    </w:p>
    <w:tbl>
      <w:tblPr>
        <w:tblStyle w:val="af8"/>
        <w:tblW w:w="9072" w:type="dxa"/>
        <w:tblInd w:w="108" w:type="dxa"/>
        <w:tblLayout w:type="fixed"/>
        <w:tblLook w:val="04A0"/>
      </w:tblPr>
      <w:tblGrid>
        <w:gridCol w:w="1316"/>
        <w:gridCol w:w="1848"/>
        <w:gridCol w:w="1428"/>
        <w:gridCol w:w="1787"/>
        <w:gridCol w:w="1418"/>
        <w:gridCol w:w="1275"/>
      </w:tblGrid>
      <w:tr w:rsidR="00901045" w:rsidTr="003C3158">
        <w:tc>
          <w:tcPr>
            <w:tcW w:w="1316" w:type="dxa"/>
            <w:vMerge w:val="restart"/>
            <w:vAlign w:val="center"/>
          </w:tcPr>
          <w:p w:rsidR="00901045" w:rsidRPr="003C3158" w:rsidRDefault="00901045" w:rsidP="00650A1D">
            <w:pPr>
              <w:spacing w:beforeLines="50" w:afterLines="25" w:line="320" w:lineRule="exact"/>
              <w:ind w:leftChars="-31" w:left="-105" w:rightChars="-37" w:right="-126"/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3C3158">
              <w:rPr>
                <w:rFonts w:ascii="標楷體" w:hAnsi="標楷體"/>
                <w:bCs/>
                <w:sz w:val="24"/>
                <w:szCs w:val="24"/>
              </w:rPr>
              <w:t>換股比率</w:t>
            </w:r>
          </w:p>
        </w:tc>
        <w:tc>
          <w:tcPr>
            <w:tcW w:w="5063" w:type="dxa"/>
            <w:gridSpan w:val="3"/>
            <w:vAlign w:val="center"/>
          </w:tcPr>
          <w:p w:rsidR="00901045" w:rsidRPr="003C3158" w:rsidRDefault="00901045" w:rsidP="00650A1D">
            <w:pPr>
              <w:spacing w:beforeLines="50" w:afterLines="25"/>
              <w:ind w:rightChars="-37" w:right="-126"/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proofErr w:type="gramStart"/>
            <w:r w:rsidRPr="003C3158">
              <w:rPr>
                <w:rFonts w:ascii="標楷體" w:hAnsi="標楷體"/>
                <w:color w:val="000000"/>
                <w:sz w:val="24"/>
                <w:szCs w:val="24"/>
              </w:rPr>
              <w:t>國泰金</w:t>
            </w:r>
            <w:r w:rsidRPr="003C3158">
              <w:rPr>
                <w:rFonts w:ascii="標楷體" w:hAnsi="標楷體" w:hint="eastAsia"/>
                <w:color w:val="000000"/>
                <w:sz w:val="24"/>
                <w:szCs w:val="24"/>
              </w:rPr>
              <w:t>控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:rsidR="00901045" w:rsidRPr="003C3158" w:rsidRDefault="003C3158" w:rsidP="00650A1D">
            <w:pPr>
              <w:spacing w:beforeLines="50" w:afterLines="25"/>
              <w:ind w:leftChars="-31" w:left="-105" w:rightChars="-37" w:right="-126"/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3C3158">
              <w:rPr>
                <w:rFonts w:ascii="標楷體" w:hAnsi="標楷體"/>
                <w:color w:val="000000"/>
                <w:sz w:val="24"/>
                <w:szCs w:val="24"/>
              </w:rPr>
              <w:t>換股比率影響之試算</w:t>
            </w:r>
            <w:r w:rsidRPr="003C3158">
              <w:rPr>
                <w:rFonts w:ascii="標楷體" w:hAnsi="標楷體" w:hint="eastAsia"/>
                <w:color w:val="000000"/>
                <w:sz w:val="24"/>
                <w:szCs w:val="24"/>
                <w:vertAlign w:val="superscript"/>
              </w:rPr>
              <w:t>C</w:t>
            </w:r>
          </w:p>
        </w:tc>
      </w:tr>
      <w:tr w:rsidR="00901045" w:rsidTr="003C3158">
        <w:tc>
          <w:tcPr>
            <w:tcW w:w="1316" w:type="dxa"/>
            <w:vMerge/>
          </w:tcPr>
          <w:p w:rsidR="00901045" w:rsidRPr="003C3158" w:rsidRDefault="00901045" w:rsidP="00650A1D">
            <w:pPr>
              <w:spacing w:beforeLines="50" w:afterLines="25" w:line="320" w:lineRule="exact"/>
              <w:ind w:rightChars="-37" w:right="-126"/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:rsidR="003C3158" w:rsidRDefault="003C3158" w:rsidP="003C3158">
            <w:pPr>
              <w:spacing w:line="320" w:lineRule="exact"/>
              <w:ind w:leftChars="81" w:left="276"/>
              <w:rPr>
                <w:rFonts w:ascii="標楷體" w:hAnsi="標楷體"/>
                <w:bCs/>
                <w:sz w:val="24"/>
                <w:szCs w:val="24"/>
              </w:rPr>
            </w:pPr>
            <w:r w:rsidRPr="003C3158">
              <w:rPr>
                <w:rFonts w:ascii="標楷體" w:hAnsi="標楷體"/>
                <w:bCs/>
                <w:sz w:val="24"/>
                <w:szCs w:val="24"/>
              </w:rPr>
              <w:t>換股</w:t>
            </w:r>
            <w:r w:rsidR="00901045" w:rsidRPr="003C3158">
              <w:rPr>
                <w:rFonts w:ascii="標楷體" w:hAnsi="標楷體" w:hint="eastAsia"/>
                <w:bCs/>
                <w:sz w:val="24"/>
                <w:szCs w:val="24"/>
              </w:rPr>
              <w:t>應發</w:t>
            </w:r>
          </w:p>
          <w:p w:rsidR="00901045" w:rsidRPr="003C3158" w:rsidRDefault="00901045" w:rsidP="003C3158">
            <w:pPr>
              <w:spacing w:line="320" w:lineRule="exact"/>
              <w:ind w:leftChars="81" w:left="276"/>
              <w:rPr>
                <w:rFonts w:ascii="標楷體" w:hAnsi="標楷體"/>
                <w:bCs/>
                <w:sz w:val="24"/>
                <w:szCs w:val="24"/>
              </w:rPr>
            </w:pPr>
            <w:r w:rsidRPr="003C3158">
              <w:rPr>
                <w:rFonts w:ascii="標楷體" w:hAnsi="標楷體" w:hint="eastAsia"/>
                <w:bCs/>
                <w:sz w:val="24"/>
                <w:szCs w:val="24"/>
              </w:rPr>
              <w:t>行股份數</w:t>
            </w:r>
            <w:r w:rsidRPr="003C3158">
              <w:rPr>
                <w:rFonts w:ascii="標楷體" w:hAnsi="標楷體" w:hint="eastAsia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28" w:type="dxa"/>
            <w:vAlign w:val="center"/>
          </w:tcPr>
          <w:p w:rsidR="00901045" w:rsidRPr="003C3158" w:rsidRDefault="00901045" w:rsidP="00650A1D">
            <w:pPr>
              <w:spacing w:beforeLines="50" w:afterLines="25" w:line="320" w:lineRule="exact"/>
              <w:ind w:leftChars="-31" w:left="-105" w:rightChars="-37" w:right="-126"/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3C3158">
              <w:rPr>
                <w:rFonts w:ascii="標楷體" w:hAnsi="標楷體" w:hint="eastAsia"/>
                <w:bCs/>
                <w:sz w:val="24"/>
                <w:szCs w:val="24"/>
              </w:rPr>
              <w:t>股價</w:t>
            </w:r>
            <w:r w:rsidRPr="003C3158">
              <w:rPr>
                <w:rFonts w:ascii="標楷體" w:hAnsi="標楷體" w:hint="eastAsia"/>
                <w:bCs/>
                <w:sz w:val="20"/>
              </w:rPr>
              <w:t>（元）</w:t>
            </w:r>
            <w:r w:rsidRPr="003C3158">
              <w:rPr>
                <w:rFonts w:ascii="標楷體" w:hAnsi="標楷體" w:hint="eastAsia"/>
                <w:bCs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787" w:type="dxa"/>
            <w:vAlign w:val="center"/>
          </w:tcPr>
          <w:p w:rsidR="00901045" w:rsidRPr="003C3158" w:rsidRDefault="00C91351" w:rsidP="00C91351">
            <w:pPr>
              <w:spacing w:line="320" w:lineRule="exact"/>
              <w:ind w:leftChars="-31" w:left="-105" w:rightChars="-37" w:right="-126"/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sz w:val="24"/>
                <w:szCs w:val="24"/>
              </w:rPr>
              <w:t>總</w:t>
            </w:r>
            <w:r w:rsidR="00901045" w:rsidRPr="003C3158">
              <w:rPr>
                <w:rFonts w:ascii="標楷體" w:hAnsi="標楷體" w:hint="eastAsia"/>
                <w:bCs/>
                <w:sz w:val="24"/>
                <w:szCs w:val="24"/>
              </w:rPr>
              <w:t>市價</w:t>
            </w:r>
            <w:r w:rsidR="00901045" w:rsidRPr="003C3158">
              <w:rPr>
                <w:rFonts w:ascii="標楷體" w:hAnsi="標楷體" w:hint="eastAsia"/>
                <w:bCs/>
                <w:sz w:val="20"/>
              </w:rPr>
              <w:t>（億元）</w:t>
            </w:r>
            <w:r w:rsidR="00901045" w:rsidRPr="003C3158">
              <w:rPr>
                <w:rFonts w:ascii="標楷體" w:hAnsi="標楷體" w:hint="eastAsia"/>
                <w:bCs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18" w:type="dxa"/>
          </w:tcPr>
          <w:p w:rsidR="003C3158" w:rsidRPr="003C3158" w:rsidRDefault="009A3BF5" w:rsidP="00650A1D">
            <w:pPr>
              <w:spacing w:beforeLines="50" w:afterLines="25" w:line="320" w:lineRule="exact"/>
              <w:ind w:leftChars="-31" w:left="-105" w:rightChars="-37" w:right="-126"/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3C3158">
              <w:rPr>
                <w:rFonts w:ascii="標楷體" w:hAnsi="標楷體" w:hint="eastAsia"/>
                <w:bCs/>
                <w:sz w:val="24"/>
                <w:szCs w:val="24"/>
              </w:rPr>
              <w:t>金額</w:t>
            </w:r>
            <w:r w:rsidR="003C3158" w:rsidRPr="003C3158">
              <w:rPr>
                <w:rFonts w:ascii="標楷體" w:hAnsi="標楷體" w:hint="eastAsia"/>
                <w:bCs/>
                <w:sz w:val="20"/>
              </w:rPr>
              <w:t>（億元）</w:t>
            </w:r>
          </w:p>
        </w:tc>
        <w:tc>
          <w:tcPr>
            <w:tcW w:w="1275" w:type="dxa"/>
          </w:tcPr>
          <w:p w:rsidR="00901045" w:rsidRPr="003C3158" w:rsidRDefault="009A3BF5" w:rsidP="00650A1D">
            <w:pPr>
              <w:spacing w:beforeLines="50" w:afterLines="25" w:line="320" w:lineRule="exact"/>
              <w:ind w:rightChars="-37" w:right="-126"/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3C3158">
              <w:rPr>
                <w:rFonts w:ascii="標楷體" w:hAnsi="標楷體"/>
                <w:bCs/>
                <w:sz w:val="24"/>
                <w:szCs w:val="24"/>
              </w:rPr>
              <w:t>百分比</w:t>
            </w:r>
          </w:p>
        </w:tc>
      </w:tr>
      <w:tr w:rsidR="00894955" w:rsidTr="003C3158">
        <w:tc>
          <w:tcPr>
            <w:tcW w:w="1316" w:type="dxa"/>
            <w:vAlign w:val="center"/>
          </w:tcPr>
          <w:p w:rsidR="00894955" w:rsidRPr="00894955" w:rsidRDefault="008E2D49" w:rsidP="00650A1D">
            <w:pPr>
              <w:spacing w:beforeLines="50" w:afterLines="50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  <w:r>
              <w:cr/>
            </w:r>
            <w:r w:rsidR="00D45AA7" w:rsidRPr="00D45AA7">
              <w:rPr>
                <w:rFonts w:hint="eastAsia"/>
                <w:color w:val="000000"/>
                <w:sz w:val="24"/>
                <w:szCs w:val="24"/>
              </w:rPr>
              <w:t>1</w:t>
            </w:r>
            <w:r w:rsidR="00894955" w:rsidRPr="00894955">
              <w:rPr>
                <w:rFonts w:hint="eastAsia"/>
                <w:color w:val="000000"/>
                <w:sz w:val="24"/>
                <w:szCs w:val="24"/>
              </w:rPr>
              <w:t>.6848</w:t>
            </w:r>
          </w:p>
        </w:tc>
        <w:tc>
          <w:tcPr>
            <w:tcW w:w="1848" w:type="dxa"/>
            <w:vAlign w:val="center"/>
          </w:tcPr>
          <w:p w:rsidR="00894955" w:rsidRPr="00894955" w:rsidRDefault="00894955" w:rsidP="003C3158">
            <w:pPr>
              <w:ind w:rightChars="23" w:right="78"/>
              <w:jc w:val="right"/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  <w:r w:rsidRPr="00894955">
              <w:rPr>
                <w:rFonts w:hint="eastAsia"/>
                <w:color w:val="000000"/>
                <w:sz w:val="24"/>
                <w:szCs w:val="24"/>
              </w:rPr>
              <w:t>2,357,290,282</w:t>
            </w:r>
          </w:p>
        </w:tc>
        <w:tc>
          <w:tcPr>
            <w:tcW w:w="1428" w:type="dxa"/>
            <w:vAlign w:val="center"/>
          </w:tcPr>
          <w:p w:rsidR="00894955" w:rsidRPr="00894955" w:rsidRDefault="00894955" w:rsidP="00227B42">
            <w:pPr>
              <w:ind w:rightChars="51" w:right="173"/>
              <w:jc w:val="right"/>
              <w:rPr>
                <w:color w:val="000000"/>
                <w:sz w:val="24"/>
                <w:szCs w:val="24"/>
              </w:rPr>
            </w:pPr>
            <w:r w:rsidRPr="00894955">
              <w:rPr>
                <w:rFonts w:hint="eastAsia"/>
                <w:color w:val="000000"/>
                <w:sz w:val="24"/>
                <w:szCs w:val="24"/>
              </w:rPr>
              <w:t>38.27</w:t>
            </w:r>
          </w:p>
        </w:tc>
        <w:tc>
          <w:tcPr>
            <w:tcW w:w="1787" w:type="dxa"/>
            <w:vAlign w:val="center"/>
          </w:tcPr>
          <w:p w:rsidR="00894955" w:rsidRPr="00894955" w:rsidRDefault="00894955" w:rsidP="00227B42">
            <w:pPr>
              <w:ind w:rightChars="51" w:right="173"/>
              <w:jc w:val="right"/>
              <w:rPr>
                <w:color w:val="000000"/>
                <w:sz w:val="24"/>
                <w:szCs w:val="24"/>
              </w:rPr>
            </w:pPr>
            <w:r w:rsidRPr="00894955">
              <w:rPr>
                <w:rFonts w:hint="eastAsia"/>
                <w:color w:val="000000"/>
                <w:sz w:val="24"/>
                <w:szCs w:val="24"/>
              </w:rPr>
              <w:t>902.13</w:t>
            </w:r>
          </w:p>
        </w:tc>
        <w:tc>
          <w:tcPr>
            <w:tcW w:w="1418" w:type="dxa"/>
            <w:vAlign w:val="center"/>
          </w:tcPr>
          <w:p w:rsidR="00894955" w:rsidRDefault="00B14919" w:rsidP="00B14919">
            <w:pPr>
              <w:jc w:val="center"/>
              <w:rPr>
                <w:bCs/>
                <w:sz w:val="28"/>
                <w:szCs w:val="28"/>
              </w:rPr>
            </w:pPr>
            <w:r w:rsidRPr="00B14919">
              <w:rPr>
                <w:rFonts w:hint="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894955" w:rsidRDefault="00B14919" w:rsidP="00B14919">
            <w:pPr>
              <w:jc w:val="center"/>
              <w:rPr>
                <w:bCs/>
                <w:sz w:val="28"/>
                <w:szCs w:val="28"/>
              </w:rPr>
            </w:pPr>
            <w:r w:rsidRPr="00B14919">
              <w:rPr>
                <w:rFonts w:hint="eastAsia"/>
                <w:color w:val="000000"/>
                <w:sz w:val="24"/>
                <w:szCs w:val="24"/>
              </w:rPr>
              <w:t>-</w:t>
            </w:r>
          </w:p>
        </w:tc>
      </w:tr>
      <w:tr w:rsidR="00B14919" w:rsidTr="003C3158">
        <w:tc>
          <w:tcPr>
            <w:tcW w:w="1316" w:type="dxa"/>
            <w:vAlign w:val="center"/>
          </w:tcPr>
          <w:p w:rsidR="00B14919" w:rsidRPr="00894955" w:rsidRDefault="00B14919" w:rsidP="00650A1D">
            <w:pPr>
              <w:spacing w:beforeLines="50" w:afterLines="50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  <w:r w:rsidRPr="00894955">
              <w:rPr>
                <w:rFonts w:hint="eastAsia"/>
                <w:color w:val="000000"/>
                <w:sz w:val="24"/>
                <w:szCs w:val="24"/>
              </w:rPr>
              <w:t>1.32</w:t>
            </w:r>
          </w:p>
        </w:tc>
        <w:tc>
          <w:tcPr>
            <w:tcW w:w="1848" w:type="dxa"/>
            <w:vAlign w:val="center"/>
          </w:tcPr>
          <w:p w:rsidR="00B14919" w:rsidRPr="00894955" w:rsidRDefault="00B14919" w:rsidP="003C3158">
            <w:pPr>
              <w:ind w:rightChars="23" w:right="78"/>
              <w:jc w:val="right"/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  <w:r w:rsidRPr="00894955">
              <w:rPr>
                <w:rFonts w:hint="eastAsia"/>
                <w:color w:val="000000"/>
                <w:sz w:val="24"/>
                <w:szCs w:val="24"/>
              </w:rPr>
              <w:t>3,008,759,596</w:t>
            </w:r>
          </w:p>
        </w:tc>
        <w:tc>
          <w:tcPr>
            <w:tcW w:w="1428" w:type="dxa"/>
            <w:vAlign w:val="center"/>
          </w:tcPr>
          <w:p w:rsidR="00B14919" w:rsidRPr="00894955" w:rsidRDefault="00B14919" w:rsidP="00227B42">
            <w:pPr>
              <w:ind w:rightChars="51" w:right="173"/>
              <w:jc w:val="right"/>
              <w:rPr>
                <w:color w:val="000000"/>
                <w:sz w:val="24"/>
                <w:szCs w:val="24"/>
              </w:rPr>
            </w:pPr>
            <w:r w:rsidRPr="00894955">
              <w:rPr>
                <w:rFonts w:hint="eastAsia"/>
                <w:color w:val="000000"/>
                <w:sz w:val="24"/>
                <w:szCs w:val="24"/>
              </w:rPr>
              <w:t>38.27</w:t>
            </w:r>
          </w:p>
        </w:tc>
        <w:tc>
          <w:tcPr>
            <w:tcW w:w="1787" w:type="dxa"/>
            <w:vAlign w:val="center"/>
          </w:tcPr>
          <w:p w:rsidR="00B14919" w:rsidRPr="00894955" w:rsidRDefault="00B14919" w:rsidP="00227B42">
            <w:pPr>
              <w:ind w:rightChars="51" w:right="173"/>
              <w:jc w:val="right"/>
              <w:rPr>
                <w:color w:val="000000"/>
                <w:sz w:val="24"/>
                <w:szCs w:val="24"/>
              </w:rPr>
            </w:pPr>
            <w:r w:rsidRPr="00894955">
              <w:rPr>
                <w:rFonts w:hint="eastAsia"/>
                <w:color w:val="000000"/>
                <w:sz w:val="24"/>
                <w:szCs w:val="24"/>
              </w:rPr>
              <w:t>1,151.45</w:t>
            </w:r>
          </w:p>
        </w:tc>
        <w:tc>
          <w:tcPr>
            <w:tcW w:w="1418" w:type="dxa"/>
            <w:vAlign w:val="center"/>
          </w:tcPr>
          <w:p w:rsidR="00B14919" w:rsidRPr="00B14919" w:rsidRDefault="00B14919" w:rsidP="00B14919">
            <w:pPr>
              <w:ind w:rightChars="24" w:right="82"/>
              <w:jc w:val="right"/>
              <w:rPr>
                <w:color w:val="000000"/>
                <w:sz w:val="24"/>
                <w:szCs w:val="24"/>
              </w:rPr>
            </w:pPr>
            <w:r w:rsidRPr="00B14919">
              <w:rPr>
                <w:rFonts w:hint="eastAsia"/>
                <w:color w:val="000000"/>
                <w:sz w:val="24"/>
                <w:szCs w:val="24"/>
              </w:rPr>
              <w:t>249.32</w:t>
            </w:r>
          </w:p>
        </w:tc>
        <w:tc>
          <w:tcPr>
            <w:tcW w:w="1275" w:type="dxa"/>
            <w:vAlign w:val="center"/>
          </w:tcPr>
          <w:p w:rsidR="00B14919" w:rsidRPr="00B14919" w:rsidRDefault="00B14919" w:rsidP="00B14919">
            <w:pPr>
              <w:ind w:rightChars="24" w:right="82"/>
              <w:jc w:val="right"/>
              <w:rPr>
                <w:color w:val="000000"/>
                <w:sz w:val="24"/>
                <w:szCs w:val="24"/>
              </w:rPr>
            </w:pPr>
            <w:r w:rsidRPr="00B14919">
              <w:rPr>
                <w:rFonts w:hint="eastAsia"/>
                <w:color w:val="000000"/>
                <w:sz w:val="24"/>
                <w:szCs w:val="24"/>
              </w:rPr>
              <w:t>27.64%</w:t>
            </w:r>
          </w:p>
        </w:tc>
      </w:tr>
      <w:tr w:rsidR="00B14919" w:rsidTr="003C3158">
        <w:tc>
          <w:tcPr>
            <w:tcW w:w="1316" w:type="dxa"/>
            <w:vAlign w:val="center"/>
          </w:tcPr>
          <w:p w:rsidR="00B14919" w:rsidRPr="00894955" w:rsidRDefault="00B14919" w:rsidP="00650A1D">
            <w:pPr>
              <w:spacing w:beforeLines="50" w:afterLines="50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  <w:r w:rsidRPr="00894955">
              <w:rPr>
                <w:rFonts w:hint="eastAsia"/>
                <w:color w:val="000000"/>
                <w:sz w:val="24"/>
                <w:szCs w:val="24"/>
              </w:rPr>
              <w:t>1.2</w:t>
            </w: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8" w:type="dxa"/>
            <w:vAlign w:val="center"/>
          </w:tcPr>
          <w:p w:rsidR="00B14919" w:rsidRPr="00894955" w:rsidRDefault="00B14919" w:rsidP="003C3158">
            <w:pPr>
              <w:ind w:rightChars="23" w:right="78"/>
              <w:jc w:val="right"/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  <w:r w:rsidRPr="00894955">
              <w:rPr>
                <w:rFonts w:hint="eastAsia"/>
                <w:color w:val="000000"/>
                <w:sz w:val="24"/>
                <w:szCs w:val="24"/>
              </w:rPr>
              <w:t>3,309,635,556</w:t>
            </w:r>
          </w:p>
        </w:tc>
        <w:tc>
          <w:tcPr>
            <w:tcW w:w="1428" w:type="dxa"/>
            <w:vAlign w:val="center"/>
          </w:tcPr>
          <w:p w:rsidR="00B14919" w:rsidRPr="00894955" w:rsidRDefault="00B14919" w:rsidP="00227B42">
            <w:pPr>
              <w:ind w:rightChars="51" w:right="173"/>
              <w:jc w:val="right"/>
              <w:rPr>
                <w:color w:val="000000"/>
                <w:sz w:val="24"/>
                <w:szCs w:val="24"/>
              </w:rPr>
            </w:pPr>
            <w:r w:rsidRPr="00894955">
              <w:rPr>
                <w:rFonts w:hint="eastAsia"/>
                <w:color w:val="000000"/>
                <w:sz w:val="24"/>
                <w:szCs w:val="24"/>
              </w:rPr>
              <w:t>38.27</w:t>
            </w:r>
          </w:p>
        </w:tc>
        <w:tc>
          <w:tcPr>
            <w:tcW w:w="1787" w:type="dxa"/>
            <w:vAlign w:val="center"/>
          </w:tcPr>
          <w:p w:rsidR="00B14919" w:rsidRPr="00894955" w:rsidRDefault="00B14919" w:rsidP="00227B42">
            <w:pPr>
              <w:ind w:rightChars="51" w:right="173"/>
              <w:jc w:val="right"/>
              <w:rPr>
                <w:color w:val="000000"/>
                <w:sz w:val="24"/>
                <w:szCs w:val="24"/>
              </w:rPr>
            </w:pPr>
            <w:r w:rsidRPr="00894955">
              <w:rPr>
                <w:rFonts w:hint="eastAsia"/>
                <w:color w:val="000000"/>
                <w:sz w:val="24"/>
                <w:szCs w:val="24"/>
              </w:rPr>
              <w:t>1,266.60</w:t>
            </w:r>
          </w:p>
        </w:tc>
        <w:tc>
          <w:tcPr>
            <w:tcW w:w="1418" w:type="dxa"/>
            <w:vAlign w:val="center"/>
          </w:tcPr>
          <w:p w:rsidR="00B14919" w:rsidRPr="00B14919" w:rsidRDefault="00B14919" w:rsidP="00B14919">
            <w:pPr>
              <w:ind w:rightChars="24" w:right="82"/>
              <w:jc w:val="right"/>
              <w:rPr>
                <w:color w:val="000000"/>
                <w:sz w:val="24"/>
                <w:szCs w:val="24"/>
              </w:rPr>
            </w:pPr>
            <w:r w:rsidRPr="00B14919">
              <w:rPr>
                <w:rFonts w:hint="eastAsia"/>
                <w:color w:val="000000"/>
                <w:sz w:val="24"/>
                <w:szCs w:val="24"/>
              </w:rPr>
              <w:t>364.46</w:t>
            </w:r>
          </w:p>
        </w:tc>
        <w:tc>
          <w:tcPr>
            <w:tcW w:w="1275" w:type="dxa"/>
            <w:vAlign w:val="center"/>
          </w:tcPr>
          <w:p w:rsidR="00B14919" w:rsidRPr="00B14919" w:rsidRDefault="00B14919" w:rsidP="00B14919">
            <w:pPr>
              <w:ind w:rightChars="24" w:right="82"/>
              <w:jc w:val="right"/>
              <w:rPr>
                <w:color w:val="000000"/>
                <w:sz w:val="24"/>
                <w:szCs w:val="24"/>
              </w:rPr>
            </w:pPr>
            <w:r w:rsidRPr="00B14919">
              <w:rPr>
                <w:rFonts w:hint="eastAsia"/>
                <w:color w:val="000000"/>
                <w:sz w:val="24"/>
                <w:szCs w:val="24"/>
              </w:rPr>
              <w:t>40.40%</w:t>
            </w:r>
          </w:p>
        </w:tc>
      </w:tr>
    </w:tbl>
    <w:p w:rsidR="00227B42" w:rsidRDefault="00894955" w:rsidP="00650A1D">
      <w:pPr>
        <w:spacing w:beforeLines="25" w:line="300" w:lineRule="exact"/>
        <w:ind w:left="537" w:rightChars="-37" w:right="-126" w:hangingChars="244" w:hanging="537"/>
        <w:rPr>
          <w:color w:val="000000"/>
          <w:sz w:val="20"/>
          <w:szCs w:val="24"/>
        </w:rPr>
      </w:pPr>
      <w:r w:rsidRPr="004E392E">
        <w:rPr>
          <w:color w:val="000000"/>
          <w:sz w:val="20"/>
          <w:szCs w:val="24"/>
        </w:rPr>
        <w:t>說明：</w:t>
      </w:r>
      <w:r w:rsidRPr="004E392E">
        <w:rPr>
          <w:sz w:val="20"/>
          <w:szCs w:val="24"/>
        </w:rPr>
        <w:t>換股比率：</w:t>
      </w:r>
      <w:r w:rsidRPr="004E392E">
        <w:rPr>
          <w:color w:val="000000"/>
          <w:sz w:val="20"/>
          <w:szCs w:val="24"/>
        </w:rPr>
        <w:t>國泰金股價</w:t>
      </w:r>
      <w:r w:rsidRPr="004E392E">
        <w:rPr>
          <w:color w:val="000000"/>
          <w:sz w:val="20"/>
          <w:szCs w:val="24"/>
        </w:rPr>
        <w:t>/</w:t>
      </w:r>
      <w:proofErr w:type="gramStart"/>
      <w:r w:rsidRPr="004E392E">
        <w:rPr>
          <w:color w:val="000000"/>
          <w:sz w:val="20"/>
          <w:szCs w:val="24"/>
        </w:rPr>
        <w:t>世</w:t>
      </w:r>
      <w:proofErr w:type="gramEnd"/>
      <w:r w:rsidRPr="004E392E">
        <w:rPr>
          <w:color w:val="000000"/>
          <w:sz w:val="20"/>
          <w:szCs w:val="24"/>
        </w:rPr>
        <w:t>華銀股價。</w:t>
      </w:r>
    </w:p>
    <w:p w:rsidR="00894955" w:rsidRDefault="00227B42" w:rsidP="005D416B">
      <w:pPr>
        <w:spacing w:line="300" w:lineRule="exact"/>
        <w:ind w:left="537" w:rightChars="-37" w:right="-126" w:hangingChars="244" w:hanging="537"/>
        <w:rPr>
          <w:color w:val="000000"/>
          <w:sz w:val="20"/>
          <w:szCs w:val="24"/>
        </w:rPr>
      </w:pPr>
      <w:r w:rsidRPr="004E392E">
        <w:rPr>
          <w:color w:val="000000"/>
          <w:sz w:val="20"/>
          <w:szCs w:val="24"/>
        </w:rPr>
        <w:t>a.</w:t>
      </w:r>
      <w:r w:rsidR="00B14919" w:rsidRPr="00B14919">
        <w:rPr>
          <w:color w:val="000000"/>
          <w:sz w:val="20"/>
          <w:szCs w:val="24"/>
        </w:rPr>
        <w:t>國泰</w:t>
      </w:r>
      <w:proofErr w:type="gramStart"/>
      <w:r w:rsidR="00B14919" w:rsidRPr="00B14919">
        <w:rPr>
          <w:color w:val="000000"/>
          <w:sz w:val="20"/>
          <w:szCs w:val="24"/>
        </w:rPr>
        <w:t>金</w:t>
      </w:r>
      <w:r w:rsidR="00B14919" w:rsidRPr="00B14919">
        <w:rPr>
          <w:rFonts w:hint="eastAsia"/>
          <w:color w:val="000000"/>
          <w:sz w:val="20"/>
          <w:szCs w:val="24"/>
        </w:rPr>
        <w:t>控應</w:t>
      </w:r>
      <w:proofErr w:type="gramEnd"/>
      <w:r w:rsidR="00B14919" w:rsidRPr="00B14919">
        <w:rPr>
          <w:rFonts w:hint="eastAsia"/>
          <w:color w:val="000000"/>
          <w:sz w:val="20"/>
          <w:szCs w:val="24"/>
        </w:rPr>
        <w:t>發行股份數</w:t>
      </w:r>
      <w:r w:rsidR="00C91351">
        <w:rPr>
          <w:rFonts w:hint="eastAsia"/>
          <w:color w:val="000000"/>
          <w:sz w:val="20"/>
          <w:szCs w:val="24"/>
        </w:rPr>
        <w:t>：</w:t>
      </w:r>
      <w:r w:rsidR="00B14919">
        <w:rPr>
          <w:rFonts w:hint="eastAsia"/>
          <w:color w:val="000000"/>
          <w:sz w:val="20"/>
          <w:szCs w:val="24"/>
        </w:rPr>
        <w:t>係以</w:t>
      </w:r>
      <w:r>
        <w:rPr>
          <w:rFonts w:hint="eastAsia"/>
          <w:color w:val="000000"/>
          <w:sz w:val="20"/>
          <w:szCs w:val="24"/>
        </w:rPr>
        <w:t>預計</w:t>
      </w:r>
      <w:r w:rsidR="00B14919">
        <w:rPr>
          <w:rFonts w:hint="eastAsia"/>
          <w:color w:val="000000"/>
          <w:sz w:val="20"/>
          <w:szCs w:val="24"/>
        </w:rPr>
        <w:t>交換</w:t>
      </w:r>
      <w:proofErr w:type="gramStart"/>
      <w:r w:rsidR="00B14919">
        <w:rPr>
          <w:rFonts w:hint="eastAsia"/>
          <w:color w:val="000000"/>
          <w:sz w:val="20"/>
          <w:szCs w:val="24"/>
        </w:rPr>
        <w:t>世</w:t>
      </w:r>
      <w:proofErr w:type="gramEnd"/>
      <w:r w:rsidR="00B14919">
        <w:rPr>
          <w:rFonts w:hint="eastAsia"/>
          <w:color w:val="000000"/>
          <w:sz w:val="20"/>
          <w:szCs w:val="24"/>
        </w:rPr>
        <w:t>華股權</w:t>
      </w:r>
      <w:r>
        <w:rPr>
          <w:rFonts w:hint="eastAsia"/>
          <w:color w:val="000000"/>
          <w:sz w:val="20"/>
          <w:szCs w:val="24"/>
        </w:rPr>
        <w:t>之</w:t>
      </w:r>
      <w:r w:rsidR="00B14919">
        <w:rPr>
          <w:rFonts w:hint="eastAsia"/>
          <w:color w:val="000000"/>
          <w:sz w:val="20"/>
          <w:szCs w:val="24"/>
        </w:rPr>
        <w:t>3,971,562,668</w:t>
      </w:r>
      <w:r w:rsidR="00B14919">
        <w:rPr>
          <w:rFonts w:hint="eastAsia"/>
          <w:color w:val="000000"/>
          <w:sz w:val="20"/>
          <w:szCs w:val="24"/>
        </w:rPr>
        <w:t>股</w:t>
      </w:r>
      <w:r>
        <w:rPr>
          <w:rFonts w:hint="eastAsia"/>
          <w:color w:val="000000"/>
          <w:sz w:val="20"/>
          <w:szCs w:val="24"/>
        </w:rPr>
        <w:t>，除以各</w:t>
      </w:r>
      <w:r w:rsidRPr="00227B42">
        <w:rPr>
          <w:color w:val="000000"/>
          <w:sz w:val="20"/>
          <w:szCs w:val="24"/>
        </w:rPr>
        <w:t>換股比率</w:t>
      </w:r>
      <w:r>
        <w:rPr>
          <w:rFonts w:hint="eastAsia"/>
          <w:color w:val="000000"/>
          <w:sz w:val="20"/>
          <w:szCs w:val="24"/>
        </w:rPr>
        <w:t>計算。</w:t>
      </w:r>
    </w:p>
    <w:p w:rsidR="00227B42" w:rsidRDefault="00227B42" w:rsidP="005D416B">
      <w:pPr>
        <w:spacing w:line="300" w:lineRule="exact"/>
        <w:ind w:leftChars="-1" w:left="138" w:rightChars="-37" w:right="-126" w:hangingChars="64" w:hanging="141"/>
        <w:rPr>
          <w:color w:val="000000"/>
          <w:sz w:val="20"/>
          <w:szCs w:val="24"/>
        </w:rPr>
      </w:pPr>
      <w:r>
        <w:rPr>
          <w:rFonts w:hint="eastAsia"/>
          <w:color w:val="000000"/>
          <w:sz w:val="20"/>
          <w:szCs w:val="24"/>
        </w:rPr>
        <w:t>b.</w:t>
      </w:r>
      <w:proofErr w:type="gramStart"/>
      <w:r w:rsidRPr="00B14919">
        <w:rPr>
          <w:color w:val="000000"/>
          <w:sz w:val="20"/>
          <w:szCs w:val="24"/>
        </w:rPr>
        <w:t>國泰金</w:t>
      </w:r>
      <w:r w:rsidRPr="00B14919">
        <w:rPr>
          <w:rFonts w:hint="eastAsia"/>
          <w:color w:val="000000"/>
          <w:sz w:val="20"/>
          <w:szCs w:val="24"/>
        </w:rPr>
        <w:t>控</w:t>
      </w:r>
      <w:r w:rsidRPr="00227B42">
        <w:rPr>
          <w:rFonts w:hint="eastAsia"/>
          <w:color w:val="000000"/>
          <w:sz w:val="20"/>
          <w:szCs w:val="24"/>
        </w:rPr>
        <w:t>股價</w:t>
      </w:r>
      <w:proofErr w:type="gramEnd"/>
      <w:r>
        <w:rPr>
          <w:rFonts w:hint="eastAsia"/>
          <w:color w:val="000000"/>
          <w:sz w:val="20"/>
          <w:szCs w:val="24"/>
        </w:rPr>
        <w:t>38.27</w:t>
      </w:r>
      <w:r>
        <w:rPr>
          <w:rFonts w:hint="eastAsia"/>
          <w:color w:val="000000"/>
          <w:sz w:val="20"/>
          <w:szCs w:val="24"/>
        </w:rPr>
        <w:t>元，係財政部</w:t>
      </w:r>
      <w:r>
        <w:rPr>
          <w:rFonts w:hint="eastAsia"/>
          <w:color w:val="000000"/>
          <w:sz w:val="20"/>
          <w:szCs w:val="24"/>
        </w:rPr>
        <w:t>91</w:t>
      </w:r>
      <w:r>
        <w:rPr>
          <w:rFonts w:hint="eastAsia"/>
          <w:color w:val="000000"/>
          <w:sz w:val="20"/>
          <w:szCs w:val="24"/>
        </w:rPr>
        <w:t>年</w:t>
      </w:r>
      <w:r>
        <w:rPr>
          <w:rFonts w:hint="eastAsia"/>
          <w:color w:val="000000"/>
          <w:sz w:val="20"/>
          <w:szCs w:val="24"/>
        </w:rPr>
        <w:t>11</w:t>
      </w:r>
      <w:r>
        <w:rPr>
          <w:rFonts w:hint="eastAsia"/>
          <w:color w:val="000000"/>
          <w:sz w:val="20"/>
          <w:szCs w:val="24"/>
        </w:rPr>
        <w:t>月核准前</w:t>
      </w:r>
      <w:r>
        <w:rPr>
          <w:rFonts w:hint="eastAsia"/>
          <w:color w:val="000000"/>
          <w:sz w:val="20"/>
          <w:szCs w:val="24"/>
        </w:rPr>
        <w:t>1</w:t>
      </w:r>
      <w:r>
        <w:rPr>
          <w:rFonts w:hint="eastAsia"/>
          <w:color w:val="000000"/>
          <w:sz w:val="20"/>
          <w:szCs w:val="24"/>
        </w:rPr>
        <w:t>個月（</w:t>
      </w:r>
      <w:r>
        <w:rPr>
          <w:rFonts w:hint="eastAsia"/>
          <w:color w:val="000000"/>
          <w:sz w:val="20"/>
          <w:szCs w:val="24"/>
        </w:rPr>
        <w:t>91</w:t>
      </w:r>
      <w:r>
        <w:rPr>
          <w:rFonts w:hint="eastAsia"/>
          <w:color w:val="000000"/>
          <w:sz w:val="20"/>
          <w:szCs w:val="24"/>
        </w:rPr>
        <w:t>年</w:t>
      </w:r>
      <w:r>
        <w:rPr>
          <w:rFonts w:hint="eastAsia"/>
          <w:color w:val="000000"/>
          <w:sz w:val="20"/>
          <w:szCs w:val="24"/>
        </w:rPr>
        <w:t>10</w:t>
      </w:r>
      <w:r>
        <w:rPr>
          <w:rFonts w:hint="eastAsia"/>
          <w:color w:val="000000"/>
          <w:sz w:val="20"/>
          <w:szCs w:val="24"/>
        </w:rPr>
        <w:t>月）</w:t>
      </w:r>
      <w:proofErr w:type="gramStart"/>
      <w:r w:rsidR="003C3158" w:rsidRPr="00B14919">
        <w:rPr>
          <w:color w:val="000000"/>
          <w:sz w:val="20"/>
          <w:szCs w:val="24"/>
        </w:rPr>
        <w:t>國泰金</w:t>
      </w:r>
      <w:r w:rsidR="003C3158" w:rsidRPr="00B14919">
        <w:rPr>
          <w:rFonts w:hint="eastAsia"/>
          <w:color w:val="000000"/>
          <w:sz w:val="20"/>
          <w:szCs w:val="24"/>
        </w:rPr>
        <w:t>控</w:t>
      </w:r>
      <w:r w:rsidR="003C3158" w:rsidRPr="00227B42">
        <w:rPr>
          <w:rFonts w:hint="eastAsia"/>
          <w:color w:val="000000"/>
          <w:sz w:val="20"/>
          <w:szCs w:val="24"/>
        </w:rPr>
        <w:t>股價</w:t>
      </w:r>
      <w:proofErr w:type="gramEnd"/>
      <w:r>
        <w:rPr>
          <w:rFonts w:hint="eastAsia"/>
          <w:color w:val="000000"/>
          <w:sz w:val="20"/>
          <w:szCs w:val="24"/>
        </w:rPr>
        <w:t>之</w:t>
      </w:r>
      <w:r w:rsidRPr="00227B42">
        <w:rPr>
          <w:rFonts w:hint="eastAsia"/>
          <w:color w:val="000000"/>
          <w:sz w:val="20"/>
          <w:szCs w:val="24"/>
        </w:rPr>
        <w:t>月平均收盤價</w:t>
      </w:r>
      <w:r>
        <w:rPr>
          <w:rFonts w:hint="eastAsia"/>
          <w:color w:val="000000"/>
          <w:sz w:val="20"/>
          <w:szCs w:val="24"/>
        </w:rPr>
        <w:t>。</w:t>
      </w:r>
      <w:r w:rsidRPr="00227B42">
        <w:rPr>
          <w:rFonts w:hint="eastAsia"/>
          <w:color w:val="000000"/>
          <w:sz w:val="20"/>
          <w:szCs w:val="24"/>
        </w:rPr>
        <w:t>總市價</w:t>
      </w:r>
      <w:r>
        <w:rPr>
          <w:rFonts w:hint="eastAsia"/>
          <w:color w:val="000000"/>
          <w:sz w:val="20"/>
          <w:szCs w:val="24"/>
        </w:rPr>
        <w:t>，係</w:t>
      </w:r>
      <w:r w:rsidRPr="00227B42">
        <w:rPr>
          <w:rFonts w:hint="eastAsia"/>
          <w:color w:val="000000"/>
          <w:sz w:val="20"/>
          <w:szCs w:val="24"/>
        </w:rPr>
        <w:t>應發行股份數乘以股價</w:t>
      </w:r>
      <w:r>
        <w:rPr>
          <w:rFonts w:hint="eastAsia"/>
          <w:color w:val="000000"/>
          <w:sz w:val="20"/>
          <w:szCs w:val="24"/>
        </w:rPr>
        <w:t>。</w:t>
      </w:r>
    </w:p>
    <w:p w:rsidR="003C3158" w:rsidRPr="00227B42" w:rsidRDefault="003C3158" w:rsidP="005D416B">
      <w:pPr>
        <w:spacing w:line="300" w:lineRule="exact"/>
        <w:ind w:leftChars="-1" w:left="138" w:rightChars="-37" w:right="-126" w:hangingChars="64" w:hanging="141"/>
        <w:rPr>
          <w:color w:val="000000"/>
          <w:sz w:val="20"/>
          <w:szCs w:val="24"/>
        </w:rPr>
      </w:pPr>
      <w:r>
        <w:rPr>
          <w:rFonts w:hint="eastAsia"/>
          <w:color w:val="000000"/>
          <w:sz w:val="20"/>
          <w:szCs w:val="24"/>
        </w:rPr>
        <w:t>c.</w:t>
      </w:r>
      <w:r w:rsidRPr="003C3158">
        <w:rPr>
          <w:color w:val="000000"/>
          <w:sz w:val="20"/>
          <w:szCs w:val="24"/>
        </w:rPr>
        <w:t>換股比率</w:t>
      </w:r>
      <w:r w:rsidR="00C91351">
        <w:rPr>
          <w:rFonts w:hint="eastAsia"/>
          <w:color w:val="000000"/>
          <w:sz w:val="20"/>
          <w:szCs w:val="24"/>
        </w:rPr>
        <w:t>之</w:t>
      </w:r>
      <w:r w:rsidRPr="003C3158">
        <w:rPr>
          <w:color w:val="000000"/>
          <w:sz w:val="20"/>
          <w:szCs w:val="24"/>
        </w:rPr>
        <w:t>影響</w:t>
      </w:r>
      <w:r w:rsidR="00C91351">
        <w:rPr>
          <w:rFonts w:hint="eastAsia"/>
          <w:color w:val="000000"/>
          <w:sz w:val="20"/>
          <w:szCs w:val="24"/>
        </w:rPr>
        <w:t>：本</w:t>
      </w:r>
      <w:proofErr w:type="gramStart"/>
      <w:r w:rsidR="00C91351">
        <w:rPr>
          <w:rFonts w:hint="eastAsia"/>
          <w:color w:val="000000"/>
          <w:sz w:val="20"/>
          <w:szCs w:val="24"/>
        </w:rPr>
        <w:t>數字係</w:t>
      </w:r>
      <w:r w:rsidRPr="003C3158">
        <w:rPr>
          <w:color w:val="000000"/>
          <w:sz w:val="20"/>
          <w:szCs w:val="24"/>
        </w:rPr>
        <w:t>試算</w:t>
      </w:r>
      <w:proofErr w:type="gramEnd"/>
      <w:r>
        <w:rPr>
          <w:rFonts w:hint="eastAsia"/>
          <w:color w:val="000000"/>
          <w:sz w:val="20"/>
          <w:szCs w:val="24"/>
        </w:rPr>
        <w:t>，係將各換股比率所估算之</w:t>
      </w:r>
      <w:r w:rsidRPr="003C3158">
        <w:rPr>
          <w:rFonts w:hint="eastAsia"/>
          <w:color w:val="000000"/>
          <w:sz w:val="20"/>
          <w:szCs w:val="24"/>
        </w:rPr>
        <w:t>估計發行市價金額</w:t>
      </w:r>
      <w:r>
        <w:rPr>
          <w:rFonts w:hint="eastAsia"/>
          <w:color w:val="000000"/>
          <w:sz w:val="20"/>
          <w:szCs w:val="24"/>
        </w:rPr>
        <w:t>，分別與</w:t>
      </w:r>
      <w:r w:rsidR="00396E94">
        <w:rPr>
          <w:rFonts w:hint="eastAsia"/>
          <w:color w:val="000000"/>
          <w:sz w:val="20"/>
          <w:szCs w:val="24"/>
        </w:rPr>
        <w:t>換股比率為</w:t>
      </w:r>
      <w:r w:rsidR="00396E94">
        <w:rPr>
          <w:rFonts w:hint="eastAsia"/>
          <w:color w:val="000000"/>
          <w:sz w:val="20"/>
          <w:szCs w:val="24"/>
        </w:rPr>
        <w:t>1.6848</w:t>
      </w:r>
      <w:r w:rsidR="00396E94">
        <w:rPr>
          <w:rFonts w:hint="eastAsia"/>
          <w:color w:val="000000"/>
          <w:sz w:val="20"/>
          <w:szCs w:val="24"/>
        </w:rPr>
        <w:t>所</w:t>
      </w:r>
      <w:r w:rsidR="00396E94" w:rsidRPr="00396E94">
        <w:rPr>
          <w:rFonts w:hint="eastAsia"/>
          <w:color w:val="000000"/>
          <w:sz w:val="20"/>
          <w:szCs w:val="24"/>
        </w:rPr>
        <w:t>估計發行市價金額</w:t>
      </w:r>
      <w:r w:rsidR="00396E94" w:rsidRPr="00396E94">
        <w:rPr>
          <w:rFonts w:hint="eastAsia"/>
          <w:color w:val="000000"/>
          <w:sz w:val="20"/>
          <w:szCs w:val="24"/>
        </w:rPr>
        <w:t>902.13</w:t>
      </w:r>
      <w:r w:rsidR="00396E94">
        <w:rPr>
          <w:rFonts w:hint="eastAsia"/>
          <w:color w:val="000000"/>
          <w:sz w:val="20"/>
          <w:szCs w:val="24"/>
        </w:rPr>
        <w:t>億元比較，計算其差額及差額相對於</w:t>
      </w:r>
      <w:r w:rsidR="00396E94" w:rsidRPr="00396E94">
        <w:rPr>
          <w:rFonts w:hint="eastAsia"/>
          <w:color w:val="000000"/>
          <w:sz w:val="20"/>
          <w:szCs w:val="24"/>
        </w:rPr>
        <w:t>902.13</w:t>
      </w:r>
      <w:r w:rsidR="00396E94">
        <w:rPr>
          <w:rFonts w:hint="eastAsia"/>
          <w:color w:val="000000"/>
          <w:sz w:val="20"/>
          <w:szCs w:val="24"/>
        </w:rPr>
        <w:t>億元之百分比。</w:t>
      </w:r>
    </w:p>
    <w:p w:rsidR="00227B42" w:rsidRPr="00227B42" w:rsidRDefault="00227B42" w:rsidP="00650A1D">
      <w:pPr>
        <w:spacing w:beforeLines="50" w:afterLines="25" w:line="320" w:lineRule="exact"/>
        <w:ind w:left="537" w:rightChars="-37" w:right="-126" w:hangingChars="244" w:hanging="537"/>
        <w:rPr>
          <w:color w:val="000000"/>
          <w:sz w:val="20"/>
          <w:szCs w:val="24"/>
        </w:rPr>
      </w:pPr>
    </w:p>
    <w:p w:rsidR="00894955" w:rsidRDefault="00894955" w:rsidP="00650A1D">
      <w:pPr>
        <w:spacing w:beforeLines="50" w:afterLines="25" w:line="320" w:lineRule="exact"/>
        <w:ind w:left="732" w:rightChars="-37" w:right="-126" w:hangingChars="244" w:hanging="732"/>
        <w:rPr>
          <w:bCs/>
          <w:sz w:val="28"/>
          <w:szCs w:val="28"/>
        </w:rPr>
      </w:pPr>
    </w:p>
    <w:p w:rsidR="008B790C" w:rsidRPr="004E392E" w:rsidRDefault="00323D34" w:rsidP="00650A1D">
      <w:pPr>
        <w:pStyle w:val="ad"/>
        <w:spacing w:afterLines="50"/>
        <w:ind w:leftChars="-8" w:left="1017" w:hangingChars="307" w:hanging="1044"/>
        <w:rPr>
          <w:rFonts w:ascii="Times New Roman"/>
          <w:noProof/>
        </w:rPr>
      </w:pPr>
      <w:r w:rsidRPr="004E392E">
        <w:rPr>
          <w:rFonts w:ascii="Times New Roman"/>
          <w:noProof/>
        </w:rPr>
        <w:br w:type="page"/>
      </w:r>
      <w:r w:rsidR="008B790C" w:rsidRPr="004E392E">
        <w:rPr>
          <w:rFonts w:ascii="Times New Roman"/>
          <w:noProof/>
        </w:rPr>
        <w:lastRenderedPageBreak/>
        <w:t>圖</w:t>
      </w:r>
      <w:r w:rsidR="008B790C" w:rsidRPr="004E392E">
        <w:rPr>
          <w:rFonts w:ascii="Times New Roman"/>
          <w:noProof/>
        </w:rPr>
        <w:t>1</w:t>
      </w:r>
      <w:r w:rsidR="005B1D7B" w:rsidRPr="004E392E">
        <w:rPr>
          <w:rFonts w:ascii="Times New Roman"/>
          <w:noProof/>
        </w:rPr>
        <w:t>-1</w:t>
      </w:r>
      <w:r w:rsidR="008B790C" w:rsidRPr="004E392E">
        <w:rPr>
          <w:rFonts w:ascii="Times New Roman"/>
          <w:noProof/>
        </w:rPr>
        <w:t>：國泰金及世華</w:t>
      </w:r>
      <w:r w:rsidR="005B1D7B" w:rsidRPr="004E392E">
        <w:rPr>
          <w:rFonts w:ascii="Times New Roman"/>
          <w:noProof/>
        </w:rPr>
        <w:t>之股票價格</w:t>
      </w:r>
      <w:r w:rsidR="005B1D7B" w:rsidRPr="004E392E">
        <w:rPr>
          <w:rFonts w:ascii="Times New Roman"/>
          <w:noProof/>
        </w:rPr>
        <w:t>(</w:t>
      </w:r>
      <w:r w:rsidR="005B1D7B" w:rsidRPr="004E392E">
        <w:rPr>
          <w:rFonts w:ascii="Times New Roman"/>
          <w:noProof/>
        </w:rPr>
        <w:t>月平均</w:t>
      </w:r>
      <w:r w:rsidR="005B1D7B" w:rsidRPr="004E392E">
        <w:rPr>
          <w:rFonts w:ascii="Times New Roman"/>
          <w:noProof/>
        </w:rPr>
        <w:t>)</w:t>
      </w:r>
      <w:r w:rsidR="005B1D7B" w:rsidRPr="004E392E">
        <w:rPr>
          <w:rFonts w:ascii="Times New Roman"/>
          <w:noProof/>
        </w:rPr>
        <w:t>：</w:t>
      </w:r>
      <w:r w:rsidR="008B790C" w:rsidRPr="004E392E">
        <w:rPr>
          <w:rFonts w:ascii="Times New Roman"/>
          <w:noProof/>
        </w:rPr>
        <w:t>91</w:t>
      </w:r>
      <w:r w:rsidR="008B790C" w:rsidRPr="004E392E">
        <w:rPr>
          <w:rFonts w:ascii="Times New Roman"/>
          <w:noProof/>
        </w:rPr>
        <w:t>年</w:t>
      </w:r>
      <w:r w:rsidR="005B1D7B" w:rsidRPr="004E392E">
        <w:rPr>
          <w:rFonts w:ascii="Times New Roman"/>
          <w:noProof/>
        </w:rPr>
        <w:t>各月份</w:t>
      </w:r>
    </w:p>
    <w:p w:rsidR="000C38D2" w:rsidRPr="004E392E" w:rsidRDefault="003D7083" w:rsidP="008B790C">
      <w:pPr>
        <w:pStyle w:val="ad"/>
        <w:spacing w:line="240" w:lineRule="exact"/>
        <w:ind w:leftChars="-8" w:left="1017" w:hangingChars="307" w:hanging="1044"/>
        <w:rPr>
          <w:rFonts w:ascii="Times New Roman"/>
          <w:noProof/>
        </w:rPr>
      </w:pPr>
      <w:r>
        <w:rPr>
          <w:rFonts w:asci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59.95pt;margin-top:-4.1pt;width:75.6pt;height:28.35pt;z-index:251652096;mso-width-relative:margin;mso-height-relative:margin" stroked="f">
            <v:textbox>
              <w:txbxContent>
                <w:p w:rsidR="003C3158" w:rsidRPr="00B91503" w:rsidRDefault="00594E57" w:rsidP="008B790C">
                  <w:pPr>
                    <w:spacing w:line="240" w:lineRule="exac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單位：</w:t>
                  </w:r>
                  <w:r w:rsidR="003C3158" w:rsidRPr="00B91503">
                    <w:rPr>
                      <w:rFonts w:hint="eastAsia"/>
                      <w:sz w:val="22"/>
                      <w:szCs w:val="22"/>
                    </w:rPr>
                    <w:t>元</w:t>
                  </w:r>
                </w:p>
              </w:txbxContent>
            </v:textbox>
          </v:shape>
        </w:pict>
      </w:r>
    </w:p>
    <w:p w:rsidR="000C38D2" w:rsidRPr="004E392E" w:rsidRDefault="003D7083" w:rsidP="00650A1D">
      <w:pPr>
        <w:pStyle w:val="ad"/>
        <w:spacing w:afterLines="50"/>
        <w:ind w:leftChars="-8" w:left="1017" w:hangingChars="307" w:hanging="1044"/>
        <w:rPr>
          <w:rFonts w:ascii="Times New Roman"/>
          <w:noProof/>
          <w:sz w:val="20"/>
        </w:rPr>
      </w:pPr>
      <w:r w:rsidRPr="003D7083">
        <w:rPr>
          <w:rFonts w:ascii="Times New Roman"/>
          <w:noProof/>
        </w:rPr>
        <w:pict>
          <v:shape id="_x0000_s1031" type="#_x0000_t202" style="position:absolute;left:0;text-align:left;margin-left:442pt;margin-top:232.45pt;width:42.5pt;height:24.35pt;z-index:251653120;mso-width-relative:margin;mso-height-relative:margin" stroked="f">
            <v:textbox style="mso-next-textbox:#_x0000_s1031">
              <w:txbxContent>
                <w:p w:rsidR="003C3158" w:rsidRPr="004D6CC8" w:rsidRDefault="003C3158" w:rsidP="00323D34">
                  <w:pPr>
                    <w:spacing w:line="300" w:lineRule="exact"/>
                    <w:rPr>
                      <w:spacing w:val="-20"/>
                      <w:sz w:val="20"/>
                    </w:rPr>
                  </w:pPr>
                  <w:r>
                    <w:rPr>
                      <w:rFonts w:hint="eastAsia"/>
                      <w:spacing w:val="-20"/>
                      <w:sz w:val="20"/>
                    </w:rPr>
                    <w:t>月</w:t>
                  </w:r>
                </w:p>
              </w:txbxContent>
            </v:textbox>
          </v:shape>
        </w:pict>
      </w:r>
      <w:r w:rsidR="00FA19B6" w:rsidRPr="004E392E">
        <w:rPr>
          <w:rFonts w:ascii="Times New Roman"/>
          <w:noProof/>
          <w:sz w:val="20"/>
        </w:rPr>
        <w:drawing>
          <wp:inline distT="0" distB="0" distL="0" distR="0">
            <wp:extent cx="5715000" cy="3505200"/>
            <wp:effectExtent l="0" t="0" r="0" b="0"/>
            <wp:docPr id="1" name="圖表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C38D2" w:rsidRPr="004E392E" w:rsidRDefault="003D7083" w:rsidP="00650A1D">
      <w:pPr>
        <w:pStyle w:val="ad"/>
        <w:spacing w:afterLines="100"/>
        <w:ind w:leftChars="-8" w:left="649" w:hangingChars="307" w:hanging="676"/>
        <w:rPr>
          <w:rFonts w:ascii="Times New Roman"/>
          <w:noProof/>
        </w:rPr>
      </w:pPr>
      <w:r w:rsidRPr="003D7083">
        <w:rPr>
          <w:rFonts w:ascii="Times New Roman"/>
          <w:bCs/>
          <w:noProof/>
          <w:sz w:val="20"/>
        </w:rPr>
        <w:pict>
          <v:shape id="_x0000_s1056" type="#_x0000_t202" style="position:absolute;left:0;text-align:left;margin-left:383.95pt;margin-top:24.5pt;width:75.6pt;height:28.35pt;z-index:251662336;mso-width-relative:margin;mso-height-relative:margin" stroked="f">
            <v:textbox>
              <w:txbxContent>
                <w:p w:rsidR="00594E57" w:rsidRPr="00B91503" w:rsidRDefault="00594E57" w:rsidP="00594E57">
                  <w:pPr>
                    <w:spacing w:line="240" w:lineRule="exac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單位：</w:t>
                  </w:r>
                  <w:r w:rsidRPr="00B91503">
                    <w:rPr>
                      <w:rFonts w:hint="eastAsia"/>
                      <w:sz w:val="22"/>
                      <w:szCs w:val="22"/>
                    </w:rPr>
                    <w:t>元</w:t>
                  </w:r>
                </w:p>
              </w:txbxContent>
            </v:textbox>
          </v:shape>
        </w:pict>
      </w:r>
      <w:r w:rsidR="00514149">
        <w:rPr>
          <w:rFonts w:ascii="Times New Roman"/>
          <w:bCs/>
          <w:noProof/>
          <w:sz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-111125</wp:posOffset>
            </wp:positionH>
            <wp:positionV relativeFrom="paragraph">
              <wp:posOffset>711200</wp:posOffset>
            </wp:positionV>
            <wp:extent cx="5673725" cy="3086100"/>
            <wp:effectExtent l="0" t="0" r="0" b="0"/>
            <wp:wrapTight wrapText="bothSides">
              <wp:wrapPolygon edited="0">
                <wp:start x="363" y="533"/>
                <wp:lineTo x="363" y="20533"/>
                <wp:lineTo x="21467" y="20533"/>
                <wp:lineTo x="21540" y="19867"/>
                <wp:lineTo x="21540" y="2667"/>
                <wp:lineTo x="21467" y="667"/>
                <wp:lineTo x="21467" y="533"/>
                <wp:lineTo x="363" y="533"/>
              </wp:wrapPolygon>
            </wp:wrapTight>
            <wp:docPr id="32" name="圖表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表 6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 l="-2443" t="-2853" r="-1018" b="-4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72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7083">
        <w:rPr>
          <w:rFonts w:ascii="Times New Roman"/>
          <w:bCs/>
          <w:noProof/>
          <w:sz w:val="20"/>
        </w:rPr>
        <w:pict>
          <v:group id="_x0000_s1043" style="position:absolute;left:0;text-align:left;margin-left:6.65pt;margin-top:24.5pt;width:471.35pt;height:315.75pt;z-index:251655168;mso-position-horizontal-relative:text;mso-position-vertical-relative:text" coordorigin="1878,3330" coordsize="9442,6042">
            <v:shape id="_x0000_s1044" type="#_x0000_t202" style="position:absolute;left:1878;top:3330;width:567;height:587;mso-width-relative:margin;mso-height-relative:margin" stroked="f">
              <v:textbox style="mso-next-textbox:#_x0000_s1044">
                <w:txbxContent>
                  <w:p w:rsidR="003C3158" w:rsidRPr="00594E57" w:rsidRDefault="003C3158" w:rsidP="00594E57">
                    <w:pPr>
                      <w:rPr>
                        <w:szCs w:val="22"/>
                      </w:rPr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5" type="#_x0000_t32" style="position:absolute;left:2445;top:8612;width:4050;height:0" o:connectortype="straight">
              <v:stroke startarrow="block" endarrow="block"/>
            </v:shape>
            <v:shape id="_x0000_s1046" type="#_x0000_t32" style="position:absolute;left:6495;top:8612;width:3975;height:1" o:connectortype="straight">
              <v:stroke startarrow="block" endarrow="block"/>
            </v:shape>
            <v:shape id="_x0000_s1047" type="#_x0000_t202" style="position:absolute;left:3648;top:8761;width:1237;height:611;mso-height-percent:200;mso-height-percent:200;mso-width-relative:margin;mso-height-relative:margin" strokecolor="white">
              <v:textbox style="mso-next-textbox:#_x0000_s1047">
                <w:txbxContent>
                  <w:p w:rsidR="003C3158" w:rsidRPr="009174A5" w:rsidRDefault="003C3158" w:rsidP="000C38D2">
                    <w:pPr>
                      <w:rPr>
                        <w:sz w:val="22"/>
                        <w:szCs w:val="22"/>
                      </w:rPr>
                    </w:pPr>
                    <w:r w:rsidRPr="009174A5">
                      <w:rPr>
                        <w:rFonts w:hint="eastAsia"/>
                        <w:sz w:val="22"/>
                        <w:szCs w:val="22"/>
                      </w:rPr>
                      <w:t>91</w:t>
                    </w:r>
                    <w:r w:rsidRPr="009174A5">
                      <w:rPr>
                        <w:rFonts w:hint="eastAsia"/>
                        <w:sz w:val="22"/>
                        <w:szCs w:val="22"/>
                      </w:rPr>
                      <w:t>年</w:t>
                    </w:r>
                    <w:r w:rsidRPr="009174A5">
                      <w:rPr>
                        <w:rFonts w:hint="eastAsia"/>
                        <w:sz w:val="22"/>
                        <w:szCs w:val="22"/>
                      </w:rPr>
                      <w:t>7</w:t>
                    </w:r>
                    <w:r w:rsidRPr="009174A5">
                      <w:rPr>
                        <w:rFonts w:hint="eastAsia"/>
                        <w:sz w:val="22"/>
                        <w:szCs w:val="22"/>
                      </w:rPr>
                      <w:t>月</w:t>
                    </w:r>
                  </w:p>
                </w:txbxContent>
              </v:textbox>
            </v:shape>
            <v:shape id="_x0000_s1048" type="#_x0000_t202" style="position:absolute;left:7718;top:8761;width:1237;height:591;mso-height-percent:200;mso-height-percent:200;mso-width-relative:margin;mso-height-relative:margin" strokecolor="white">
              <v:textbox style="mso-next-textbox:#_x0000_s1048">
                <w:txbxContent>
                  <w:p w:rsidR="003C3158" w:rsidRPr="009174A5" w:rsidRDefault="003C3158" w:rsidP="000C38D2">
                    <w:pPr>
                      <w:rPr>
                        <w:sz w:val="22"/>
                        <w:szCs w:val="22"/>
                      </w:rPr>
                    </w:pPr>
                    <w:r w:rsidRPr="009174A5">
                      <w:rPr>
                        <w:rFonts w:hint="eastAsia"/>
                        <w:sz w:val="22"/>
                        <w:szCs w:val="22"/>
                      </w:rPr>
                      <w:t>91</w:t>
                    </w:r>
                    <w:r w:rsidRPr="009174A5">
                      <w:rPr>
                        <w:rFonts w:hint="eastAsia"/>
                        <w:sz w:val="22"/>
                        <w:szCs w:val="22"/>
                      </w:rPr>
                      <w:t>年</w:t>
                    </w:r>
                    <w:r>
                      <w:rPr>
                        <w:rFonts w:hint="eastAsia"/>
                        <w:sz w:val="22"/>
                        <w:szCs w:val="22"/>
                      </w:rPr>
                      <w:t>8</w:t>
                    </w:r>
                    <w:r w:rsidRPr="009174A5">
                      <w:rPr>
                        <w:rFonts w:hint="eastAsia"/>
                        <w:sz w:val="22"/>
                        <w:szCs w:val="22"/>
                      </w:rPr>
                      <w:t>月</w:t>
                    </w:r>
                  </w:p>
                </w:txbxContent>
              </v:textbox>
            </v:shape>
            <v:shape id="_x0000_s1049" type="#_x0000_t202" style="position:absolute;left:10470;top:7560;width:850;height:929;mso-width-relative:margin;mso-height-relative:margin" stroked="f">
              <v:textbox style="mso-next-textbox:#_x0000_s1049">
                <w:txbxContent>
                  <w:p w:rsidR="003C3158" w:rsidRPr="00F728FD" w:rsidRDefault="003C3158" w:rsidP="000C38D2">
                    <w:pPr>
                      <w:spacing w:line="440" w:lineRule="exact"/>
                      <w:rPr>
                        <w:spacing w:val="-20"/>
                        <w:sz w:val="21"/>
                        <w:szCs w:val="21"/>
                      </w:rPr>
                    </w:pPr>
                    <w:r w:rsidRPr="00F728FD">
                      <w:rPr>
                        <w:rFonts w:hint="eastAsia"/>
                        <w:spacing w:val="-20"/>
                        <w:sz w:val="21"/>
                        <w:szCs w:val="21"/>
                      </w:rPr>
                      <w:t>日</w:t>
                    </w:r>
                  </w:p>
                </w:txbxContent>
              </v:textbox>
            </v:shape>
          </v:group>
        </w:pict>
      </w:r>
      <w:r w:rsidR="00FF6A12" w:rsidRPr="004E392E">
        <w:rPr>
          <w:rFonts w:ascii="Times New Roman"/>
          <w:noProof/>
        </w:rPr>
        <w:t>圖</w:t>
      </w:r>
      <w:r w:rsidR="005B1D7B" w:rsidRPr="004E392E">
        <w:rPr>
          <w:rFonts w:ascii="Times New Roman"/>
          <w:noProof/>
        </w:rPr>
        <w:t>1-</w:t>
      </w:r>
      <w:r w:rsidR="00FF6A12" w:rsidRPr="004E392E">
        <w:rPr>
          <w:rFonts w:ascii="Times New Roman"/>
          <w:noProof/>
        </w:rPr>
        <w:t>2</w:t>
      </w:r>
      <w:r w:rsidR="00FF6A12" w:rsidRPr="004E392E">
        <w:rPr>
          <w:rFonts w:ascii="Times New Roman"/>
          <w:noProof/>
        </w:rPr>
        <w:t>：國泰金及世華</w:t>
      </w:r>
      <w:r w:rsidR="005B1D7B" w:rsidRPr="004E392E">
        <w:rPr>
          <w:rFonts w:ascii="Times New Roman"/>
          <w:noProof/>
        </w:rPr>
        <w:t>之股票價格</w:t>
      </w:r>
      <w:r w:rsidR="005B1D7B" w:rsidRPr="004E392E">
        <w:rPr>
          <w:rFonts w:ascii="Times New Roman"/>
          <w:noProof/>
        </w:rPr>
        <w:t>(</w:t>
      </w:r>
      <w:r w:rsidR="005B1D7B" w:rsidRPr="004E392E">
        <w:rPr>
          <w:rFonts w:ascii="Times New Roman"/>
          <w:noProof/>
        </w:rPr>
        <w:t>收盤價</w:t>
      </w:r>
      <w:r w:rsidR="005B1D7B" w:rsidRPr="004E392E">
        <w:rPr>
          <w:rFonts w:ascii="Times New Roman"/>
          <w:noProof/>
        </w:rPr>
        <w:t>)</w:t>
      </w:r>
      <w:r w:rsidR="005B1D7B" w:rsidRPr="004E392E">
        <w:rPr>
          <w:rFonts w:ascii="Times New Roman"/>
          <w:noProof/>
        </w:rPr>
        <w:t>：</w:t>
      </w:r>
      <w:r w:rsidR="00FF6A12" w:rsidRPr="004E392E">
        <w:rPr>
          <w:rFonts w:ascii="Times New Roman"/>
          <w:noProof/>
        </w:rPr>
        <w:t>91</w:t>
      </w:r>
      <w:r w:rsidR="005B1D7B" w:rsidRPr="004E392E">
        <w:rPr>
          <w:rFonts w:ascii="Times New Roman"/>
          <w:noProof/>
        </w:rPr>
        <w:t>.7</w:t>
      </w:r>
      <w:r w:rsidR="005B1D7B" w:rsidRPr="004E392E">
        <w:rPr>
          <w:rFonts w:ascii="Times New Roman"/>
          <w:noProof/>
        </w:rPr>
        <w:t>、</w:t>
      </w:r>
      <w:r w:rsidR="00FF6A12" w:rsidRPr="004E392E">
        <w:rPr>
          <w:rFonts w:ascii="Times New Roman"/>
          <w:noProof/>
        </w:rPr>
        <w:t>8</w:t>
      </w:r>
      <w:r w:rsidR="005B1D7B" w:rsidRPr="004E392E">
        <w:rPr>
          <w:rFonts w:ascii="Times New Roman"/>
          <w:noProof/>
        </w:rPr>
        <w:t>二月各交易日</w:t>
      </w:r>
      <w:r>
        <w:rPr>
          <w:rFonts w:ascii="Times New Roman"/>
          <w:noProof/>
        </w:rPr>
        <w:pict>
          <v:shape id="_x0000_s1042" type="#_x0000_t202" style="position:absolute;left:0;text-align:left;margin-left:431.25pt;margin-top:230.25pt;width:42.5pt;height:46.45pt;z-index:251654144;mso-position-horizontal-relative:text;mso-position-vertical-relative:text;mso-width-relative:margin;mso-height-relative:margin" stroked="f">
            <v:textbox style="mso-next-textbox:#_x0000_s1042">
              <w:txbxContent>
                <w:p w:rsidR="003C3158" w:rsidRPr="004D6CC8" w:rsidRDefault="003C3158" w:rsidP="000C38D2">
                  <w:pPr>
                    <w:spacing w:line="440" w:lineRule="exact"/>
                    <w:rPr>
                      <w:spacing w:val="-20"/>
                      <w:sz w:val="20"/>
                    </w:rPr>
                  </w:pPr>
                  <w:r w:rsidRPr="004D6CC8">
                    <w:rPr>
                      <w:rFonts w:hint="eastAsia"/>
                      <w:spacing w:val="-20"/>
                      <w:sz w:val="20"/>
                    </w:rPr>
                    <w:t>日</w:t>
                  </w:r>
                </w:p>
              </w:txbxContent>
            </v:textbox>
          </v:shape>
        </w:pict>
      </w:r>
    </w:p>
    <w:p w:rsidR="000C38D2" w:rsidRPr="004E392E" w:rsidRDefault="000C38D2" w:rsidP="00E34209">
      <w:pPr>
        <w:pStyle w:val="ad"/>
        <w:ind w:leftChars="-8" w:left="649" w:hangingChars="307" w:hanging="676"/>
        <w:rPr>
          <w:rFonts w:ascii="Times New Roman"/>
          <w:bCs/>
          <w:sz w:val="20"/>
        </w:rPr>
      </w:pPr>
    </w:p>
    <w:p w:rsidR="001B2044" w:rsidRPr="004E392E" w:rsidRDefault="001B2044" w:rsidP="00650A1D">
      <w:pPr>
        <w:pStyle w:val="ad"/>
        <w:spacing w:beforeLines="50"/>
        <w:ind w:leftChars="-8" w:left="1017" w:rightChars="-233" w:right="-793" w:hangingChars="307" w:hanging="1044"/>
        <w:rPr>
          <w:rFonts w:ascii="Times New Roman"/>
          <w:noProof/>
        </w:rPr>
      </w:pPr>
      <w:r w:rsidRPr="004E392E">
        <w:rPr>
          <w:rFonts w:ascii="Times New Roman"/>
          <w:noProof/>
        </w:rPr>
        <w:lastRenderedPageBreak/>
        <w:t>圖</w:t>
      </w:r>
      <w:r w:rsidR="005B1D7B" w:rsidRPr="004E392E">
        <w:rPr>
          <w:rFonts w:ascii="Times New Roman"/>
          <w:noProof/>
        </w:rPr>
        <w:t>2</w:t>
      </w:r>
      <w:r w:rsidRPr="004E392E">
        <w:rPr>
          <w:rFonts w:ascii="Times New Roman"/>
          <w:noProof/>
        </w:rPr>
        <w:t>：世華</w:t>
      </w:r>
      <w:r w:rsidR="005B1D7B" w:rsidRPr="004E392E">
        <w:rPr>
          <w:rFonts w:ascii="Times New Roman"/>
          <w:noProof/>
        </w:rPr>
        <w:t>各年計提打銷之呆帳金額及年末備抵呆帳餘額：</w:t>
      </w:r>
      <w:r w:rsidRPr="004E392E">
        <w:rPr>
          <w:rFonts w:ascii="Times New Roman"/>
          <w:noProof/>
        </w:rPr>
        <w:t>88</w:t>
      </w:r>
      <w:r w:rsidR="005B1D7B" w:rsidRPr="004E392E">
        <w:rPr>
          <w:rFonts w:ascii="Times New Roman"/>
          <w:noProof/>
        </w:rPr>
        <w:t>-</w:t>
      </w:r>
      <w:r w:rsidRPr="004E392E">
        <w:rPr>
          <w:rFonts w:ascii="Times New Roman"/>
          <w:noProof/>
        </w:rPr>
        <w:t>91</w:t>
      </w:r>
      <w:r w:rsidR="005B1D7B" w:rsidRPr="004E392E">
        <w:rPr>
          <w:rFonts w:ascii="Times New Roman"/>
          <w:noProof/>
        </w:rPr>
        <w:t>.9</w:t>
      </w:r>
    </w:p>
    <w:p w:rsidR="000C38D2" w:rsidRPr="004E392E" w:rsidRDefault="003D7083" w:rsidP="00C14FF4">
      <w:pPr>
        <w:pStyle w:val="ad"/>
        <w:spacing w:line="240" w:lineRule="exact"/>
        <w:ind w:leftChars="-8" w:left="649" w:hangingChars="307" w:hanging="676"/>
        <w:rPr>
          <w:rFonts w:ascii="Times New Roman"/>
          <w:noProof/>
          <w:sz w:val="20"/>
        </w:rPr>
      </w:pPr>
      <w:r>
        <w:rPr>
          <w:rFonts w:ascii="Times New Roman"/>
          <w:noProof/>
          <w:sz w:val="20"/>
        </w:rPr>
        <w:pict>
          <v:shape id="_x0000_s1051" type="#_x0000_t202" style="position:absolute;left:0;text-align:left;margin-left:-3.85pt;margin-top:5.1pt;width:43.85pt;height:25.55pt;z-index:251656192;mso-width-relative:margin;mso-height-relative:margin" strokecolor="white">
            <v:textbox>
              <w:txbxContent>
                <w:p w:rsidR="003C3158" w:rsidRPr="00A45721" w:rsidRDefault="003C3158">
                  <w:pPr>
                    <w:rPr>
                      <w:sz w:val="21"/>
                      <w:szCs w:val="21"/>
                    </w:rPr>
                  </w:pPr>
                  <w:r w:rsidRPr="00A45721">
                    <w:rPr>
                      <w:rFonts w:hint="eastAsia"/>
                      <w:sz w:val="21"/>
                      <w:szCs w:val="21"/>
                    </w:rPr>
                    <w:t>億元</w:t>
                  </w:r>
                </w:p>
              </w:txbxContent>
            </v:textbox>
          </v:shape>
        </w:pict>
      </w:r>
    </w:p>
    <w:p w:rsidR="001B2044" w:rsidRPr="004E392E" w:rsidRDefault="00FA19B6" w:rsidP="00C14FF4">
      <w:pPr>
        <w:pStyle w:val="ad"/>
        <w:ind w:leftChars="-8" w:left="1017" w:hangingChars="307" w:hanging="1044"/>
        <w:rPr>
          <w:rFonts w:ascii="Times New Roman"/>
          <w:noProof/>
          <w:sz w:val="20"/>
        </w:rPr>
      </w:pPr>
      <w:r w:rsidRPr="004E392E">
        <w:rPr>
          <w:rFonts w:ascii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-101600</wp:posOffset>
            </wp:positionH>
            <wp:positionV relativeFrom="paragraph">
              <wp:posOffset>236855</wp:posOffset>
            </wp:positionV>
            <wp:extent cx="5711190" cy="3244215"/>
            <wp:effectExtent l="0" t="0" r="0" b="0"/>
            <wp:wrapTight wrapText="bothSides">
              <wp:wrapPolygon edited="0">
                <wp:start x="432" y="127"/>
                <wp:lineTo x="432" y="19533"/>
                <wp:lineTo x="21254" y="19533"/>
                <wp:lineTo x="21254" y="127"/>
                <wp:lineTo x="432" y="127"/>
              </wp:wrapPolygon>
            </wp:wrapTight>
            <wp:docPr id="31" name="圖表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表 6"/>
                    <pic:cNvPicPr>
                      <a:picLocks noChangeArrowheads="1"/>
                    </pic:cNvPicPr>
                  </pic:nvPicPr>
                  <pic:blipFill>
                    <a:blip r:embed="rId10" cstate="print"/>
                    <a:srcRect l="-2824" t="-1003" r="-2205" b="-10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190" cy="324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392E" w:rsidRDefault="003D7083" w:rsidP="00650A1D">
      <w:pPr>
        <w:pStyle w:val="ad"/>
        <w:spacing w:beforeLines="50"/>
        <w:ind w:leftChars="-8" w:left="710" w:hangingChars="307" w:hanging="737"/>
        <w:rPr>
          <w:rFonts w:ascii="Times New Roman"/>
          <w:noProof/>
          <w:color w:val="FF0000"/>
        </w:rPr>
      </w:pPr>
      <w:r w:rsidRPr="003D7083">
        <w:rPr>
          <w:rFonts w:ascii="Times New Roman"/>
          <w:noProof/>
          <w:sz w:val="22"/>
          <w:szCs w:val="22"/>
        </w:rPr>
        <w:pict>
          <v:shape id="_x0000_s1053" type="#_x0000_t202" style="position:absolute;left:0;text-align:left;margin-left:12.25pt;margin-top:-22.45pt;width:441.75pt;height:40.5pt;z-index:251658240;mso-width-relative:margin;mso-height-relative:margin" strokecolor="white">
            <v:textbox>
              <w:txbxContent>
                <w:p w:rsidR="003C3158" w:rsidRDefault="003C3158" w:rsidP="00E34209">
                  <w:pPr>
                    <w:spacing w:line="280" w:lineRule="exact"/>
                    <w:ind w:left="461" w:hangingChars="192" w:hanging="461"/>
                    <w:rPr>
                      <w:noProof/>
                      <w:sz w:val="22"/>
                      <w:szCs w:val="22"/>
                    </w:rPr>
                  </w:pPr>
                  <w:r>
                    <w:rPr>
                      <w:rFonts w:hint="eastAsia"/>
                      <w:noProof/>
                      <w:sz w:val="22"/>
                      <w:szCs w:val="22"/>
                    </w:rPr>
                    <w:t>資料來源：各年財務報表，惟</w:t>
                  </w:r>
                  <w:r w:rsidRPr="00453A44">
                    <w:rPr>
                      <w:rFonts w:hint="eastAsia"/>
                      <w:noProof/>
                      <w:sz w:val="22"/>
                      <w:szCs w:val="22"/>
                    </w:rPr>
                    <w:t>88</w:t>
                  </w:r>
                  <w:r w:rsidRPr="00453A44">
                    <w:rPr>
                      <w:rFonts w:hint="eastAsia"/>
                      <w:noProof/>
                      <w:sz w:val="22"/>
                      <w:szCs w:val="22"/>
                    </w:rPr>
                    <w:t>年打銷呆帳金額</w:t>
                  </w:r>
                  <w:r>
                    <w:rPr>
                      <w:rFonts w:hint="eastAsia"/>
                      <w:noProof/>
                      <w:sz w:val="22"/>
                      <w:szCs w:val="22"/>
                    </w:rPr>
                    <w:t>(</w:t>
                  </w:r>
                  <w:r>
                    <w:rPr>
                      <w:rFonts w:hint="eastAsia"/>
                      <w:noProof/>
                      <w:sz w:val="22"/>
                      <w:szCs w:val="22"/>
                    </w:rPr>
                    <w:t>因</w:t>
                  </w:r>
                  <w:r w:rsidRPr="00453A44">
                    <w:rPr>
                      <w:rFonts w:hint="eastAsia"/>
                      <w:noProof/>
                      <w:sz w:val="22"/>
                      <w:szCs w:val="22"/>
                    </w:rPr>
                    <w:t>財務報表</w:t>
                  </w:r>
                  <w:r>
                    <w:rPr>
                      <w:rFonts w:hint="eastAsia"/>
                      <w:noProof/>
                      <w:sz w:val="22"/>
                      <w:szCs w:val="22"/>
                    </w:rPr>
                    <w:t>內容未予明載</w:t>
                  </w:r>
                  <w:r>
                    <w:rPr>
                      <w:rFonts w:hint="eastAsia"/>
                      <w:noProof/>
                      <w:sz w:val="22"/>
                      <w:szCs w:val="22"/>
                    </w:rPr>
                    <w:t>)</w:t>
                  </w:r>
                  <w:r>
                    <w:rPr>
                      <w:rFonts w:hint="eastAsia"/>
                      <w:noProof/>
                      <w:sz w:val="22"/>
                      <w:szCs w:val="22"/>
                    </w:rPr>
                    <w:t>，以</w:t>
                  </w:r>
                  <w:r w:rsidRPr="00453A44">
                    <w:rPr>
                      <w:rFonts w:hint="eastAsia"/>
                      <w:noProof/>
                      <w:sz w:val="22"/>
                      <w:szCs w:val="22"/>
                    </w:rPr>
                    <w:t>財務報表</w:t>
                  </w:r>
                  <w:r>
                    <w:rPr>
                      <w:rFonts w:hint="eastAsia"/>
                      <w:noProof/>
                      <w:sz w:val="22"/>
                      <w:szCs w:val="22"/>
                    </w:rPr>
                    <w:t>揭露之相關科目</w:t>
                  </w:r>
                  <w:r w:rsidRPr="00453A44">
                    <w:rPr>
                      <w:rFonts w:hint="eastAsia"/>
                      <w:noProof/>
                      <w:sz w:val="22"/>
                      <w:szCs w:val="22"/>
                    </w:rPr>
                    <w:t>推算</w:t>
                  </w:r>
                </w:p>
              </w:txbxContent>
            </v:textbox>
          </v:shape>
        </w:pict>
      </w:r>
    </w:p>
    <w:p w:rsidR="001B2044" w:rsidRPr="00D457D0" w:rsidRDefault="003D7083" w:rsidP="00650A1D">
      <w:pPr>
        <w:pStyle w:val="ad"/>
        <w:spacing w:beforeLines="50"/>
        <w:ind w:leftChars="-8" w:left="649" w:hangingChars="307" w:hanging="676"/>
        <w:rPr>
          <w:rFonts w:ascii="Times New Roman"/>
          <w:noProof/>
          <w:color w:val="000000" w:themeColor="text1"/>
        </w:rPr>
      </w:pPr>
      <w:r w:rsidRPr="003D7083">
        <w:rPr>
          <w:rFonts w:ascii="Times New Roman"/>
          <w:noProof/>
          <w:sz w:val="20"/>
        </w:rPr>
        <w:pict>
          <v:shape id="_x0000_s1052" type="#_x0000_t202" style="position:absolute;left:0;text-align:left;margin-left:-5.35pt;margin-top:33.3pt;width:43.85pt;height:25.55pt;z-index:251657216;mso-width-relative:margin;mso-height-relative:margin" strokecolor="white">
            <v:textbox>
              <w:txbxContent>
                <w:p w:rsidR="003C3158" w:rsidRPr="001B2044" w:rsidRDefault="003C3158" w:rsidP="009549AE">
                  <w:pPr>
                    <w:rPr>
                      <w:sz w:val="22"/>
                      <w:szCs w:val="22"/>
                    </w:rPr>
                  </w:pPr>
                  <w:r w:rsidRPr="001B2044">
                    <w:rPr>
                      <w:rFonts w:hint="eastAsia"/>
                      <w:sz w:val="22"/>
                      <w:szCs w:val="22"/>
                    </w:rPr>
                    <w:t>億元</w:t>
                  </w:r>
                </w:p>
              </w:txbxContent>
            </v:textbox>
          </v:shape>
        </w:pict>
      </w:r>
      <w:r w:rsidR="001B2044" w:rsidRPr="00D457D0">
        <w:rPr>
          <w:rFonts w:ascii="Times New Roman"/>
          <w:noProof/>
          <w:color w:val="000000" w:themeColor="text1"/>
        </w:rPr>
        <w:t>圖</w:t>
      </w:r>
      <w:r w:rsidR="0040752C">
        <w:rPr>
          <w:rFonts w:ascii="Times New Roman" w:hint="eastAsia"/>
          <w:noProof/>
          <w:color w:val="000000" w:themeColor="text1"/>
        </w:rPr>
        <w:t>3</w:t>
      </w:r>
      <w:r w:rsidR="001B2044" w:rsidRPr="00D457D0">
        <w:rPr>
          <w:rFonts w:ascii="Times New Roman"/>
          <w:noProof/>
          <w:color w:val="000000" w:themeColor="text1"/>
        </w:rPr>
        <w:t>：世華</w:t>
      </w:r>
      <w:r w:rsidR="00D10724" w:rsidRPr="00D457D0">
        <w:rPr>
          <w:rFonts w:ascii="Times New Roman"/>
          <w:noProof/>
          <w:color w:val="000000" w:themeColor="text1"/>
        </w:rPr>
        <w:t>打銷及提列呆帳情形：</w:t>
      </w:r>
      <w:r w:rsidR="001B2044" w:rsidRPr="00D457D0">
        <w:rPr>
          <w:rFonts w:ascii="Times New Roman"/>
          <w:noProof/>
          <w:color w:val="000000" w:themeColor="text1"/>
        </w:rPr>
        <w:t>8</w:t>
      </w:r>
      <w:r w:rsidR="009549AE" w:rsidRPr="00D457D0">
        <w:rPr>
          <w:rFonts w:ascii="Times New Roman"/>
          <w:noProof/>
          <w:color w:val="000000" w:themeColor="text1"/>
        </w:rPr>
        <w:t>9</w:t>
      </w:r>
      <w:r w:rsidR="00D10724" w:rsidRPr="00D457D0">
        <w:rPr>
          <w:rFonts w:ascii="Times New Roman"/>
          <w:noProof/>
          <w:color w:val="000000" w:themeColor="text1"/>
        </w:rPr>
        <w:t>-</w:t>
      </w:r>
      <w:r w:rsidR="001B2044" w:rsidRPr="00D457D0">
        <w:rPr>
          <w:rFonts w:ascii="Times New Roman"/>
          <w:noProof/>
          <w:color w:val="000000" w:themeColor="text1"/>
        </w:rPr>
        <w:t>91</w:t>
      </w:r>
      <w:r w:rsidR="001B2044" w:rsidRPr="00D457D0">
        <w:rPr>
          <w:rFonts w:ascii="Times New Roman"/>
          <w:noProof/>
          <w:color w:val="000000" w:themeColor="text1"/>
        </w:rPr>
        <w:t>年</w:t>
      </w:r>
      <w:r w:rsidR="009549AE" w:rsidRPr="00D457D0">
        <w:rPr>
          <w:rFonts w:ascii="Times New Roman"/>
          <w:noProof/>
          <w:color w:val="000000" w:themeColor="text1"/>
        </w:rPr>
        <w:t>第</w:t>
      </w:r>
      <w:r w:rsidR="009549AE" w:rsidRPr="00D457D0">
        <w:rPr>
          <w:rFonts w:ascii="Times New Roman"/>
          <w:noProof/>
          <w:color w:val="000000" w:themeColor="text1"/>
        </w:rPr>
        <w:t>3</w:t>
      </w:r>
      <w:r w:rsidR="009549AE" w:rsidRPr="00D457D0">
        <w:rPr>
          <w:rFonts w:ascii="Times New Roman"/>
          <w:noProof/>
          <w:color w:val="000000" w:themeColor="text1"/>
        </w:rPr>
        <w:t>季各季</w:t>
      </w:r>
    </w:p>
    <w:p w:rsidR="001B2044" w:rsidRPr="004E392E" w:rsidRDefault="00FA19B6" w:rsidP="00913BC0">
      <w:pPr>
        <w:pStyle w:val="ad"/>
        <w:ind w:leftChars="-8" w:left="1017" w:hangingChars="307" w:hanging="1044"/>
        <w:rPr>
          <w:rFonts w:ascii="Times New Roman"/>
          <w:noProof/>
          <w:sz w:val="20"/>
        </w:rPr>
      </w:pPr>
      <w:r w:rsidRPr="004E392E">
        <w:rPr>
          <w:rFonts w:ascii="Times New Roman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-120650</wp:posOffset>
            </wp:positionH>
            <wp:positionV relativeFrom="paragraph">
              <wp:posOffset>311785</wp:posOffset>
            </wp:positionV>
            <wp:extent cx="5838825" cy="3743325"/>
            <wp:effectExtent l="0" t="0" r="0" b="0"/>
            <wp:wrapTight wrapText="bothSides">
              <wp:wrapPolygon edited="0">
                <wp:start x="423" y="220"/>
                <wp:lineTo x="423" y="20006"/>
                <wp:lineTo x="21001" y="20006"/>
                <wp:lineTo x="21001" y="220"/>
                <wp:lineTo x="423" y="220"/>
              </wp:wrapPolygon>
            </wp:wrapTight>
            <wp:docPr id="33" name="圖表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表 2"/>
                    <pic:cNvPicPr>
                      <a:picLocks noChangeArrowheads="1"/>
                    </pic:cNvPicPr>
                  </pic:nvPicPr>
                  <pic:blipFill>
                    <a:blip r:embed="rId11" cstate="print"/>
                    <a:srcRect l="-2858" t="-1004" r="-3416" b="-8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B2044" w:rsidRPr="004E392E" w:rsidSect="0049199B">
      <w:footerReference w:type="default" r:id="rId12"/>
      <w:type w:val="continuous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1EC" w:rsidRDefault="002841EC" w:rsidP="00D12E67">
      <w:r>
        <w:separator/>
      </w:r>
    </w:p>
  </w:endnote>
  <w:endnote w:type="continuationSeparator" w:id="0">
    <w:p w:rsidR="002841EC" w:rsidRDefault="002841EC" w:rsidP="00D12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58" w:rsidRDefault="003D7083">
    <w:pPr>
      <w:pStyle w:val="af0"/>
      <w:framePr w:wrap="around" w:vAnchor="text" w:hAnchor="margin" w:xAlign="center" w:y="1"/>
      <w:rPr>
        <w:rStyle w:val="a8"/>
        <w:sz w:val="24"/>
      </w:rPr>
    </w:pPr>
    <w:r>
      <w:rPr>
        <w:rStyle w:val="a8"/>
        <w:sz w:val="24"/>
      </w:rPr>
      <w:fldChar w:fldCharType="begin"/>
    </w:r>
    <w:r w:rsidR="003C3158">
      <w:rPr>
        <w:rStyle w:val="a8"/>
        <w:sz w:val="24"/>
      </w:rPr>
      <w:instrText xml:space="preserve">PAGE  </w:instrText>
    </w:r>
    <w:r>
      <w:rPr>
        <w:rStyle w:val="a8"/>
        <w:sz w:val="24"/>
      </w:rPr>
      <w:fldChar w:fldCharType="separate"/>
    </w:r>
    <w:r w:rsidR="00650A1D">
      <w:rPr>
        <w:rStyle w:val="a8"/>
        <w:noProof/>
        <w:sz w:val="24"/>
      </w:rPr>
      <w:t>4</w:t>
    </w:r>
    <w:r>
      <w:rPr>
        <w:rStyle w:val="a8"/>
        <w:sz w:val="24"/>
      </w:rPr>
      <w:fldChar w:fldCharType="end"/>
    </w:r>
  </w:p>
  <w:p w:rsidR="003C3158" w:rsidRDefault="003C3158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1EC" w:rsidRDefault="002841EC" w:rsidP="00D12E67">
      <w:r>
        <w:separator/>
      </w:r>
    </w:p>
  </w:footnote>
  <w:footnote w:type="continuationSeparator" w:id="0">
    <w:p w:rsidR="002841EC" w:rsidRDefault="002841EC" w:rsidP="00D12E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39A4C72A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690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690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  <w:lang w:val="en-US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5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4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2">
    <w:nsid w:val="1526106E"/>
    <w:multiLevelType w:val="hybridMultilevel"/>
    <w:tmpl w:val="8528ED6E"/>
    <w:lvl w:ilvl="0" w:tplc="00F4D0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6F26AA8"/>
    <w:multiLevelType w:val="hybridMultilevel"/>
    <w:tmpl w:val="8BB423AE"/>
    <w:lvl w:ilvl="0" w:tplc="A4A60E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8924F5E"/>
    <w:multiLevelType w:val="hybridMultilevel"/>
    <w:tmpl w:val="6C9AD2A4"/>
    <w:lvl w:ilvl="0" w:tplc="03C865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"/>
  </w:num>
  <w:num w:numId="34">
    <w:abstractNumId w:val="5"/>
  </w:num>
  <w:num w:numId="35">
    <w:abstractNumId w:val="4"/>
  </w:num>
  <w:num w:numId="36">
    <w:abstractNumId w:val="2"/>
  </w:num>
  <w:num w:numId="37">
    <w:abstractNumId w:val="1"/>
  </w:num>
  <w:num w:numId="38">
    <w:abstractNumId w:val="1"/>
  </w:num>
  <w:num w:numId="39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53261A"/>
    <w:rsid w:val="00000CC0"/>
    <w:rsid w:val="00001351"/>
    <w:rsid w:val="000013E0"/>
    <w:rsid w:val="0000365F"/>
    <w:rsid w:val="00004B69"/>
    <w:rsid w:val="0000515E"/>
    <w:rsid w:val="00015424"/>
    <w:rsid w:val="00043326"/>
    <w:rsid w:val="00043C0C"/>
    <w:rsid w:val="0004727A"/>
    <w:rsid w:val="000477D0"/>
    <w:rsid w:val="00060662"/>
    <w:rsid w:val="0006125E"/>
    <w:rsid w:val="00064619"/>
    <w:rsid w:val="0006575A"/>
    <w:rsid w:val="000702EC"/>
    <w:rsid w:val="00076F2B"/>
    <w:rsid w:val="00082B33"/>
    <w:rsid w:val="000969DE"/>
    <w:rsid w:val="000A0101"/>
    <w:rsid w:val="000A56CC"/>
    <w:rsid w:val="000B5019"/>
    <w:rsid w:val="000B62E5"/>
    <w:rsid w:val="000B67FA"/>
    <w:rsid w:val="000C0137"/>
    <w:rsid w:val="000C133F"/>
    <w:rsid w:val="000C27B1"/>
    <w:rsid w:val="000C2CAA"/>
    <w:rsid w:val="000C331E"/>
    <w:rsid w:val="000C38D2"/>
    <w:rsid w:val="000C40CA"/>
    <w:rsid w:val="000C7311"/>
    <w:rsid w:val="000D24DE"/>
    <w:rsid w:val="000D409A"/>
    <w:rsid w:val="000E14E8"/>
    <w:rsid w:val="000E3821"/>
    <w:rsid w:val="000E41F6"/>
    <w:rsid w:val="000E676C"/>
    <w:rsid w:val="001072CF"/>
    <w:rsid w:val="0011295D"/>
    <w:rsid w:val="00115173"/>
    <w:rsid w:val="001209B5"/>
    <w:rsid w:val="00123A26"/>
    <w:rsid w:val="00124C9D"/>
    <w:rsid w:val="00126BCE"/>
    <w:rsid w:val="00127DC7"/>
    <w:rsid w:val="0013106D"/>
    <w:rsid w:val="00140AEE"/>
    <w:rsid w:val="001421BC"/>
    <w:rsid w:val="00152341"/>
    <w:rsid w:val="001532BC"/>
    <w:rsid w:val="001547A1"/>
    <w:rsid w:val="00155E3C"/>
    <w:rsid w:val="00155EC7"/>
    <w:rsid w:val="00161B93"/>
    <w:rsid w:val="00163611"/>
    <w:rsid w:val="00163A51"/>
    <w:rsid w:val="0016472A"/>
    <w:rsid w:val="00166E7D"/>
    <w:rsid w:val="00167BA5"/>
    <w:rsid w:val="00171625"/>
    <w:rsid w:val="00171CC7"/>
    <w:rsid w:val="0017276E"/>
    <w:rsid w:val="00176583"/>
    <w:rsid w:val="00181DAC"/>
    <w:rsid w:val="001838FB"/>
    <w:rsid w:val="00185035"/>
    <w:rsid w:val="001911E8"/>
    <w:rsid w:val="00194274"/>
    <w:rsid w:val="001A1CAE"/>
    <w:rsid w:val="001B2044"/>
    <w:rsid w:val="001B3D6F"/>
    <w:rsid w:val="001C1700"/>
    <w:rsid w:val="001C4257"/>
    <w:rsid w:val="001C679C"/>
    <w:rsid w:val="001D0C2E"/>
    <w:rsid w:val="001D1402"/>
    <w:rsid w:val="001D3F37"/>
    <w:rsid w:val="001D458B"/>
    <w:rsid w:val="001D533F"/>
    <w:rsid w:val="001E7029"/>
    <w:rsid w:val="001F03EB"/>
    <w:rsid w:val="00200E72"/>
    <w:rsid w:val="00201AAA"/>
    <w:rsid w:val="002040CE"/>
    <w:rsid w:val="00205268"/>
    <w:rsid w:val="0020718C"/>
    <w:rsid w:val="00212010"/>
    <w:rsid w:val="00212C39"/>
    <w:rsid w:val="0021413E"/>
    <w:rsid w:val="0021450A"/>
    <w:rsid w:val="002173E9"/>
    <w:rsid w:val="0022048F"/>
    <w:rsid w:val="002214BC"/>
    <w:rsid w:val="002249F2"/>
    <w:rsid w:val="002258F9"/>
    <w:rsid w:val="00227B42"/>
    <w:rsid w:val="00231336"/>
    <w:rsid w:val="0023140E"/>
    <w:rsid w:val="00233F40"/>
    <w:rsid w:val="0023461A"/>
    <w:rsid w:val="00234BD6"/>
    <w:rsid w:val="00242A14"/>
    <w:rsid w:val="00253D6C"/>
    <w:rsid w:val="002574F1"/>
    <w:rsid w:val="00257F6C"/>
    <w:rsid w:val="002610BE"/>
    <w:rsid w:val="00261902"/>
    <w:rsid w:val="00264CA3"/>
    <w:rsid w:val="00265530"/>
    <w:rsid w:val="00265A9E"/>
    <w:rsid w:val="0026622B"/>
    <w:rsid w:val="00275F34"/>
    <w:rsid w:val="00275F3F"/>
    <w:rsid w:val="002833FC"/>
    <w:rsid w:val="002841EC"/>
    <w:rsid w:val="00286D07"/>
    <w:rsid w:val="002921FD"/>
    <w:rsid w:val="00293406"/>
    <w:rsid w:val="00295205"/>
    <w:rsid w:val="002A3656"/>
    <w:rsid w:val="002A4A4D"/>
    <w:rsid w:val="002A5409"/>
    <w:rsid w:val="002A7DAF"/>
    <w:rsid w:val="002B2DA7"/>
    <w:rsid w:val="002B308D"/>
    <w:rsid w:val="002C01E2"/>
    <w:rsid w:val="002C182D"/>
    <w:rsid w:val="002C37CB"/>
    <w:rsid w:val="002C7F38"/>
    <w:rsid w:val="002D3EFA"/>
    <w:rsid w:val="002D6935"/>
    <w:rsid w:val="002D766E"/>
    <w:rsid w:val="002E308F"/>
    <w:rsid w:val="002E5169"/>
    <w:rsid w:val="002F29A5"/>
    <w:rsid w:val="002F4DF1"/>
    <w:rsid w:val="003002F2"/>
    <w:rsid w:val="00301A1D"/>
    <w:rsid w:val="0030560F"/>
    <w:rsid w:val="00307FA2"/>
    <w:rsid w:val="00312C92"/>
    <w:rsid w:val="00313FD3"/>
    <w:rsid w:val="0031599F"/>
    <w:rsid w:val="00322A31"/>
    <w:rsid w:val="00323D34"/>
    <w:rsid w:val="00323E6D"/>
    <w:rsid w:val="00324441"/>
    <w:rsid w:val="003265DC"/>
    <w:rsid w:val="00327268"/>
    <w:rsid w:val="00331C3C"/>
    <w:rsid w:val="00334965"/>
    <w:rsid w:val="00335557"/>
    <w:rsid w:val="00340AB5"/>
    <w:rsid w:val="00341436"/>
    <w:rsid w:val="003428A2"/>
    <w:rsid w:val="0034462F"/>
    <w:rsid w:val="00351C74"/>
    <w:rsid w:val="00352555"/>
    <w:rsid w:val="00352F3F"/>
    <w:rsid w:val="00360011"/>
    <w:rsid w:val="00366E1A"/>
    <w:rsid w:val="00370C5F"/>
    <w:rsid w:val="00375F27"/>
    <w:rsid w:val="0037642C"/>
    <w:rsid w:val="00377B47"/>
    <w:rsid w:val="00377E9E"/>
    <w:rsid w:val="00381507"/>
    <w:rsid w:val="00382812"/>
    <w:rsid w:val="00384B36"/>
    <w:rsid w:val="00385406"/>
    <w:rsid w:val="00387AEE"/>
    <w:rsid w:val="00390F53"/>
    <w:rsid w:val="00396B9E"/>
    <w:rsid w:val="00396E94"/>
    <w:rsid w:val="003976FA"/>
    <w:rsid w:val="003A1AE8"/>
    <w:rsid w:val="003A20EA"/>
    <w:rsid w:val="003B0607"/>
    <w:rsid w:val="003B18E7"/>
    <w:rsid w:val="003B589A"/>
    <w:rsid w:val="003B61AD"/>
    <w:rsid w:val="003C0B96"/>
    <w:rsid w:val="003C3158"/>
    <w:rsid w:val="003C4625"/>
    <w:rsid w:val="003C5B39"/>
    <w:rsid w:val="003D10C4"/>
    <w:rsid w:val="003D7083"/>
    <w:rsid w:val="003D739B"/>
    <w:rsid w:val="003E24CF"/>
    <w:rsid w:val="003F1C57"/>
    <w:rsid w:val="00400E4F"/>
    <w:rsid w:val="00405808"/>
    <w:rsid w:val="0040636E"/>
    <w:rsid w:val="0040752C"/>
    <w:rsid w:val="00414950"/>
    <w:rsid w:val="00420ACD"/>
    <w:rsid w:val="00421021"/>
    <w:rsid w:val="00421DED"/>
    <w:rsid w:val="00431CCF"/>
    <w:rsid w:val="00432AB7"/>
    <w:rsid w:val="00437F02"/>
    <w:rsid w:val="004402C5"/>
    <w:rsid w:val="00441A63"/>
    <w:rsid w:val="00443B9A"/>
    <w:rsid w:val="004465EE"/>
    <w:rsid w:val="00447430"/>
    <w:rsid w:val="0045062D"/>
    <w:rsid w:val="0045375C"/>
    <w:rsid w:val="00453A44"/>
    <w:rsid w:val="004540BC"/>
    <w:rsid w:val="00454D26"/>
    <w:rsid w:val="00457F05"/>
    <w:rsid w:val="004617C2"/>
    <w:rsid w:val="004654FC"/>
    <w:rsid w:val="00467D7A"/>
    <w:rsid w:val="0047130D"/>
    <w:rsid w:val="00473786"/>
    <w:rsid w:val="00480CDE"/>
    <w:rsid w:val="00480E75"/>
    <w:rsid w:val="00484A96"/>
    <w:rsid w:val="00485FE3"/>
    <w:rsid w:val="0048637B"/>
    <w:rsid w:val="00487595"/>
    <w:rsid w:val="0049199B"/>
    <w:rsid w:val="004923D5"/>
    <w:rsid w:val="004A12EB"/>
    <w:rsid w:val="004A5C45"/>
    <w:rsid w:val="004A7149"/>
    <w:rsid w:val="004B3065"/>
    <w:rsid w:val="004B3A74"/>
    <w:rsid w:val="004B7579"/>
    <w:rsid w:val="004C10B7"/>
    <w:rsid w:val="004C52F6"/>
    <w:rsid w:val="004C57B3"/>
    <w:rsid w:val="004D6CC8"/>
    <w:rsid w:val="004E153F"/>
    <w:rsid w:val="004E392E"/>
    <w:rsid w:val="004E452A"/>
    <w:rsid w:val="004F2635"/>
    <w:rsid w:val="004F2B5A"/>
    <w:rsid w:val="004F3641"/>
    <w:rsid w:val="004F3819"/>
    <w:rsid w:val="00500E06"/>
    <w:rsid w:val="00501BEC"/>
    <w:rsid w:val="00503728"/>
    <w:rsid w:val="0050431D"/>
    <w:rsid w:val="0050454A"/>
    <w:rsid w:val="005121E5"/>
    <w:rsid w:val="00514149"/>
    <w:rsid w:val="005159D6"/>
    <w:rsid w:val="00515CA2"/>
    <w:rsid w:val="0051662D"/>
    <w:rsid w:val="00516EBC"/>
    <w:rsid w:val="00522C4F"/>
    <w:rsid w:val="0053063B"/>
    <w:rsid w:val="0053261A"/>
    <w:rsid w:val="00532CF4"/>
    <w:rsid w:val="00535528"/>
    <w:rsid w:val="00536358"/>
    <w:rsid w:val="00551DDA"/>
    <w:rsid w:val="00552703"/>
    <w:rsid w:val="005532AE"/>
    <w:rsid w:val="005542B6"/>
    <w:rsid w:val="00557352"/>
    <w:rsid w:val="005600C8"/>
    <w:rsid w:val="0056170F"/>
    <w:rsid w:val="005619DD"/>
    <w:rsid w:val="00563F8B"/>
    <w:rsid w:val="00566BC2"/>
    <w:rsid w:val="005719F6"/>
    <w:rsid w:val="005724AF"/>
    <w:rsid w:val="00581CCC"/>
    <w:rsid w:val="00581E25"/>
    <w:rsid w:val="00581F20"/>
    <w:rsid w:val="00582A4A"/>
    <w:rsid w:val="00583C9F"/>
    <w:rsid w:val="00584754"/>
    <w:rsid w:val="00591C9B"/>
    <w:rsid w:val="00594E57"/>
    <w:rsid w:val="005A0F9C"/>
    <w:rsid w:val="005A57B1"/>
    <w:rsid w:val="005A66A3"/>
    <w:rsid w:val="005A6F91"/>
    <w:rsid w:val="005B1698"/>
    <w:rsid w:val="005B1D7B"/>
    <w:rsid w:val="005B407F"/>
    <w:rsid w:val="005B42A5"/>
    <w:rsid w:val="005B4A1B"/>
    <w:rsid w:val="005B53AB"/>
    <w:rsid w:val="005C219F"/>
    <w:rsid w:val="005C25E0"/>
    <w:rsid w:val="005C38A0"/>
    <w:rsid w:val="005C65D5"/>
    <w:rsid w:val="005D1638"/>
    <w:rsid w:val="005D3C85"/>
    <w:rsid w:val="005D416B"/>
    <w:rsid w:val="005E3A76"/>
    <w:rsid w:val="005F1FAC"/>
    <w:rsid w:val="005F3170"/>
    <w:rsid w:val="00600263"/>
    <w:rsid w:val="006047A2"/>
    <w:rsid w:val="00605852"/>
    <w:rsid w:val="00605E42"/>
    <w:rsid w:val="00611B0B"/>
    <w:rsid w:val="006125C7"/>
    <w:rsid w:val="006146ED"/>
    <w:rsid w:val="006160F7"/>
    <w:rsid w:val="00617B51"/>
    <w:rsid w:val="006205EF"/>
    <w:rsid w:val="006303E4"/>
    <w:rsid w:val="00635D0B"/>
    <w:rsid w:val="00644C7E"/>
    <w:rsid w:val="00645EAC"/>
    <w:rsid w:val="00650A1D"/>
    <w:rsid w:val="0065331B"/>
    <w:rsid w:val="0065553B"/>
    <w:rsid w:val="00655791"/>
    <w:rsid w:val="00660121"/>
    <w:rsid w:val="006601EE"/>
    <w:rsid w:val="0066224E"/>
    <w:rsid w:val="00682CBD"/>
    <w:rsid w:val="006844E1"/>
    <w:rsid w:val="00686880"/>
    <w:rsid w:val="006870EA"/>
    <w:rsid w:val="00693EA4"/>
    <w:rsid w:val="00697973"/>
    <w:rsid w:val="006A2DA3"/>
    <w:rsid w:val="006A5171"/>
    <w:rsid w:val="006A6B78"/>
    <w:rsid w:val="006A6C14"/>
    <w:rsid w:val="006B3D4E"/>
    <w:rsid w:val="006B444F"/>
    <w:rsid w:val="006B5FA2"/>
    <w:rsid w:val="006B63DA"/>
    <w:rsid w:val="006B691E"/>
    <w:rsid w:val="006C634D"/>
    <w:rsid w:val="006C69C4"/>
    <w:rsid w:val="006C73F1"/>
    <w:rsid w:val="006D0DEE"/>
    <w:rsid w:val="006D3E30"/>
    <w:rsid w:val="006D4278"/>
    <w:rsid w:val="006D484C"/>
    <w:rsid w:val="006D7820"/>
    <w:rsid w:val="006E0473"/>
    <w:rsid w:val="006E4398"/>
    <w:rsid w:val="006E48BE"/>
    <w:rsid w:val="006E6BB7"/>
    <w:rsid w:val="006F0D32"/>
    <w:rsid w:val="006F5CCE"/>
    <w:rsid w:val="006F76A3"/>
    <w:rsid w:val="00710F83"/>
    <w:rsid w:val="0071225F"/>
    <w:rsid w:val="00712577"/>
    <w:rsid w:val="00712B53"/>
    <w:rsid w:val="00716397"/>
    <w:rsid w:val="00717919"/>
    <w:rsid w:val="00720E65"/>
    <w:rsid w:val="00723BB2"/>
    <w:rsid w:val="00723F14"/>
    <w:rsid w:val="00725472"/>
    <w:rsid w:val="00727A7A"/>
    <w:rsid w:val="007347AB"/>
    <w:rsid w:val="007348B6"/>
    <w:rsid w:val="00737A29"/>
    <w:rsid w:val="00741C41"/>
    <w:rsid w:val="007429DF"/>
    <w:rsid w:val="0074537F"/>
    <w:rsid w:val="00746399"/>
    <w:rsid w:val="0075105C"/>
    <w:rsid w:val="0075357F"/>
    <w:rsid w:val="0075367F"/>
    <w:rsid w:val="00757EC5"/>
    <w:rsid w:val="00762A2A"/>
    <w:rsid w:val="00763584"/>
    <w:rsid w:val="007647F6"/>
    <w:rsid w:val="007715D8"/>
    <w:rsid w:val="007766DB"/>
    <w:rsid w:val="00777018"/>
    <w:rsid w:val="00783E6C"/>
    <w:rsid w:val="00787CF3"/>
    <w:rsid w:val="00791830"/>
    <w:rsid w:val="00793532"/>
    <w:rsid w:val="007949EF"/>
    <w:rsid w:val="007A323F"/>
    <w:rsid w:val="007A743F"/>
    <w:rsid w:val="007B03DD"/>
    <w:rsid w:val="007B3683"/>
    <w:rsid w:val="007B403B"/>
    <w:rsid w:val="007C03F4"/>
    <w:rsid w:val="007C2488"/>
    <w:rsid w:val="007C345F"/>
    <w:rsid w:val="007C389E"/>
    <w:rsid w:val="007C564F"/>
    <w:rsid w:val="007C5E3B"/>
    <w:rsid w:val="007C6C84"/>
    <w:rsid w:val="007C6FE0"/>
    <w:rsid w:val="007C7988"/>
    <w:rsid w:val="007D036D"/>
    <w:rsid w:val="007D0FCB"/>
    <w:rsid w:val="007D19A0"/>
    <w:rsid w:val="007D2C42"/>
    <w:rsid w:val="007D2ED4"/>
    <w:rsid w:val="007D6CF2"/>
    <w:rsid w:val="007E0078"/>
    <w:rsid w:val="007E2698"/>
    <w:rsid w:val="007E377B"/>
    <w:rsid w:val="007E770C"/>
    <w:rsid w:val="007F0886"/>
    <w:rsid w:val="007F0FA4"/>
    <w:rsid w:val="007F1F54"/>
    <w:rsid w:val="00803CBD"/>
    <w:rsid w:val="00811128"/>
    <w:rsid w:val="008118EE"/>
    <w:rsid w:val="0081625B"/>
    <w:rsid w:val="008221D6"/>
    <w:rsid w:val="00823299"/>
    <w:rsid w:val="00824DEA"/>
    <w:rsid w:val="0082765D"/>
    <w:rsid w:val="008277B2"/>
    <w:rsid w:val="008317D9"/>
    <w:rsid w:val="00832A11"/>
    <w:rsid w:val="008348CD"/>
    <w:rsid w:val="0083538B"/>
    <w:rsid w:val="0083790B"/>
    <w:rsid w:val="008413A9"/>
    <w:rsid w:val="00841D23"/>
    <w:rsid w:val="00842F52"/>
    <w:rsid w:val="008450F0"/>
    <w:rsid w:val="008506D0"/>
    <w:rsid w:val="0085264C"/>
    <w:rsid w:val="008705AB"/>
    <w:rsid w:val="008762A1"/>
    <w:rsid w:val="00881D92"/>
    <w:rsid w:val="00881E15"/>
    <w:rsid w:val="00882933"/>
    <w:rsid w:val="008856E8"/>
    <w:rsid w:val="00886071"/>
    <w:rsid w:val="00892042"/>
    <w:rsid w:val="00894955"/>
    <w:rsid w:val="00894E12"/>
    <w:rsid w:val="008A475A"/>
    <w:rsid w:val="008B40CB"/>
    <w:rsid w:val="008B60D8"/>
    <w:rsid w:val="008B790C"/>
    <w:rsid w:val="008B7C2B"/>
    <w:rsid w:val="008C6697"/>
    <w:rsid w:val="008D297F"/>
    <w:rsid w:val="008D4D7B"/>
    <w:rsid w:val="008E01DA"/>
    <w:rsid w:val="008E1B20"/>
    <w:rsid w:val="008E2D49"/>
    <w:rsid w:val="008E325E"/>
    <w:rsid w:val="008E3A3D"/>
    <w:rsid w:val="008E73CD"/>
    <w:rsid w:val="008F0B68"/>
    <w:rsid w:val="008F1463"/>
    <w:rsid w:val="008F1E4E"/>
    <w:rsid w:val="008F40B7"/>
    <w:rsid w:val="008F4789"/>
    <w:rsid w:val="008F51BC"/>
    <w:rsid w:val="008F6DFD"/>
    <w:rsid w:val="0090030C"/>
    <w:rsid w:val="00901045"/>
    <w:rsid w:val="00905D2F"/>
    <w:rsid w:val="0090711B"/>
    <w:rsid w:val="00912BFA"/>
    <w:rsid w:val="00913BC0"/>
    <w:rsid w:val="00914BBF"/>
    <w:rsid w:val="00915E98"/>
    <w:rsid w:val="00917033"/>
    <w:rsid w:val="009174A5"/>
    <w:rsid w:val="00917B0A"/>
    <w:rsid w:val="0092545E"/>
    <w:rsid w:val="00932370"/>
    <w:rsid w:val="00937D30"/>
    <w:rsid w:val="00937F2F"/>
    <w:rsid w:val="00941CCC"/>
    <w:rsid w:val="009443D7"/>
    <w:rsid w:val="00947291"/>
    <w:rsid w:val="00950774"/>
    <w:rsid w:val="009515BD"/>
    <w:rsid w:val="009549AE"/>
    <w:rsid w:val="009651CD"/>
    <w:rsid w:val="00971ADF"/>
    <w:rsid w:val="00972E40"/>
    <w:rsid w:val="009748DE"/>
    <w:rsid w:val="00975550"/>
    <w:rsid w:val="00980890"/>
    <w:rsid w:val="009808F1"/>
    <w:rsid w:val="00980F3F"/>
    <w:rsid w:val="0098249C"/>
    <w:rsid w:val="00983AD8"/>
    <w:rsid w:val="009858B0"/>
    <w:rsid w:val="0098668D"/>
    <w:rsid w:val="009A1446"/>
    <w:rsid w:val="009A3BF5"/>
    <w:rsid w:val="009B15AE"/>
    <w:rsid w:val="009B15D3"/>
    <w:rsid w:val="009B2C5C"/>
    <w:rsid w:val="009B31DE"/>
    <w:rsid w:val="009B395A"/>
    <w:rsid w:val="009B4052"/>
    <w:rsid w:val="009C32A7"/>
    <w:rsid w:val="009C396C"/>
    <w:rsid w:val="009D11E9"/>
    <w:rsid w:val="009D4488"/>
    <w:rsid w:val="009D6E11"/>
    <w:rsid w:val="009E220B"/>
    <w:rsid w:val="009E65B0"/>
    <w:rsid w:val="009F20FF"/>
    <w:rsid w:val="009F2A85"/>
    <w:rsid w:val="009F39FA"/>
    <w:rsid w:val="00A01559"/>
    <w:rsid w:val="00A02C84"/>
    <w:rsid w:val="00A04FEE"/>
    <w:rsid w:val="00A06249"/>
    <w:rsid w:val="00A06385"/>
    <w:rsid w:val="00A1054B"/>
    <w:rsid w:val="00A20EA3"/>
    <w:rsid w:val="00A23F0F"/>
    <w:rsid w:val="00A354D8"/>
    <w:rsid w:val="00A36F08"/>
    <w:rsid w:val="00A413DF"/>
    <w:rsid w:val="00A43E21"/>
    <w:rsid w:val="00A4559E"/>
    <w:rsid w:val="00A45721"/>
    <w:rsid w:val="00A458AB"/>
    <w:rsid w:val="00A5030E"/>
    <w:rsid w:val="00A50EDE"/>
    <w:rsid w:val="00A56B90"/>
    <w:rsid w:val="00A6187F"/>
    <w:rsid w:val="00A61D6A"/>
    <w:rsid w:val="00A62D81"/>
    <w:rsid w:val="00A644ED"/>
    <w:rsid w:val="00A6468D"/>
    <w:rsid w:val="00A6643B"/>
    <w:rsid w:val="00A66BF5"/>
    <w:rsid w:val="00A674A5"/>
    <w:rsid w:val="00A73B4C"/>
    <w:rsid w:val="00A75BE2"/>
    <w:rsid w:val="00A8086A"/>
    <w:rsid w:val="00A81513"/>
    <w:rsid w:val="00A843DB"/>
    <w:rsid w:val="00A84E70"/>
    <w:rsid w:val="00A9481B"/>
    <w:rsid w:val="00A94927"/>
    <w:rsid w:val="00A94CD4"/>
    <w:rsid w:val="00A9656E"/>
    <w:rsid w:val="00AA112B"/>
    <w:rsid w:val="00AA4E61"/>
    <w:rsid w:val="00AC3840"/>
    <w:rsid w:val="00AC5BD7"/>
    <w:rsid w:val="00AD1216"/>
    <w:rsid w:val="00AD6173"/>
    <w:rsid w:val="00AD656C"/>
    <w:rsid w:val="00AD7B2A"/>
    <w:rsid w:val="00AE6472"/>
    <w:rsid w:val="00AF26DC"/>
    <w:rsid w:val="00AF5EAA"/>
    <w:rsid w:val="00B037F5"/>
    <w:rsid w:val="00B0557A"/>
    <w:rsid w:val="00B07143"/>
    <w:rsid w:val="00B12C11"/>
    <w:rsid w:val="00B14919"/>
    <w:rsid w:val="00B17357"/>
    <w:rsid w:val="00B27CD5"/>
    <w:rsid w:val="00B341F2"/>
    <w:rsid w:val="00B36A98"/>
    <w:rsid w:val="00B464BA"/>
    <w:rsid w:val="00B5287A"/>
    <w:rsid w:val="00B52DC2"/>
    <w:rsid w:val="00B56E73"/>
    <w:rsid w:val="00B57D20"/>
    <w:rsid w:val="00B60159"/>
    <w:rsid w:val="00B61FA8"/>
    <w:rsid w:val="00B62941"/>
    <w:rsid w:val="00B62F22"/>
    <w:rsid w:val="00B6338B"/>
    <w:rsid w:val="00B70A06"/>
    <w:rsid w:val="00B72490"/>
    <w:rsid w:val="00B736B6"/>
    <w:rsid w:val="00B77F0B"/>
    <w:rsid w:val="00B8430D"/>
    <w:rsid w:val="00B87872"/>
    <w:rsid w:val="00B87E42"/>
    <w:rsid w:val="00B91503"/>
    <w:rsid w:val="00B91D91"/>
    <w:rsid w:val="00BB2388"/>
    <w:rsid w:val="00BB2F62"/>
    <w:rsid w:val="00BC22A5"/>
    <w:rsid w:val="00BC5FB8"/>
    <w:rsid w:val="00BD42A6"/>
    <w:rsid w:val="00BD6562"/>
    <w:rsid w:val="00BD7B6B"/>
    <w:rsid w:val="00BE0B3D"/>
    <w:rsid w:val="00BE0C7E"/>
    <w:rsid w:val="00BE3821"/>
    <w:rsid w:val="00BE5B88"/>
    <w:rsid w:val="00BF3F34"/>
    <w:rsid w:val="00BF40F9"/>
    <w:rsid w:val="00BF4B0D"/>
    <w:rsid w:val="00BF671D"/>
    <w:rsid w:val="00C01D40"/>
    <w:rsid w:val="00C0384B"/>
    <w:rsid w:val="00C13B1A"/>
    <w:rsid w:val="00C14FF4"/>
    <w:rsid w:val="00C277F1"/>
    <w:rsid w:val="00C3082B"/>
    <w:rsid w:val="00C319B1"/>
    <w:rsid w:val="00C37805"/>
    <w:rsid w:val="00C42621"/>
    <w:rsid w:val="00C46776"/>
    <w:rsid w:val="00C51572"/>
    <w:rsid w:val="00C51EB6"/>
    <w:rsid w:val="00C55362"/>
    <w:rsid w:val="00C57E1E"/>
    <w:rsid w:val="00C57F65"/>
    <w:rsid w:val="00C61038"/>
    <w:rsid w:val="00C616E2"/>
    <w:rsid w:val="00C71FE4"/>
    <w:rsid w:val="00C7457D"/>
    <w:rsid w:val="00C87D01"/>
    <w:rsid w:val="00C90B08"/>
    <w:rsid w:val="00C91351"/>
    <w:rsid w:val="00C91CFD"/>
    <w:rsid w:val="00C91E07"/>
    <w:rsid w:val="00C97F6B"/>
    <w:rsid w:val="00CA1FB1"/>
    <w:rsid w:val="00CA2055"/>
    <w:rsid w:val="00CA25A3"/>
    <w:rsid w:val="00CB1D18"/>
    <w:rsid w:val="00CB28B3"/>
    <w:rsid w:val="00CB3BFF"/>
    <w:rsid w:val="00CB5CBB"/>
    <w:rsid w:val="00CB695E"/>
    <w:rsid w:val="00CC0FBC"/>
    <w:rsid w:val="00CC4B2C"/>
    <w:rsid w:val="00CC4D15"/>
    <w:rsid w:val="00CC6AAF"/>
    <w:rsid w:val="00CD1446"/>
    <w:rsid w:val="00CD48A7"/>
    <w:rsid w:val="00CD5205"/>
    <w:rsid w:val="00CE1D02"/>
    <w:rsid w:val="00CE2E49"/>
    <w:rsid w:val="00CE2F97"/>
    <w:rsid w:val="00CE7FC7"/>
    <w:rsid w:val="00CF1965"/>
    <w:rsid w:val="00CF25C1"/>
    <w:rsid w:val="00CF30E0"/>
    <w:rsid w:val="00D038B7"/>
    <w:rsid w:val="00D10724"/>
    <w:rsid w:val="00D10DDA"/>
    <w:rsid w:val="00D12E67"/>
    <w:rsid w:val="00D130BB"/>
    <w:rsid w:val="00D16380"/>
    <w:rsid w:val="00D22338"/>
    <w:rsid w:val="00D267E0"/>
    <w:rsid w:val="00D30A2C"/>
    <w:rsid w:val="00D30E00"/>
    <w:rsid w:val="00D30EF6"/>
    <w:rsid w:val="00D331A1"/>
    <w:rsid w:val="00D37394"/>
    <w:rsid w:val="00D40C2B"/>
    <w:rsid w:val="00D42F86"/>
    <w:rsid w:val="00D457D0"/>
    <w:rsid w:val="00D4581C"/>
    <w:rsid w:val="00D45AA7"/>
    <w:rsid w:val="00D45FD3"/>
    <w:rsid w:val="00D52C4A"/>
    <w:rsid w:val="00D53954"/>
    <w:rsid w:val="00D551E1"/>
    <w:rsid w:val="00D60CC2"/>
    <w:rsid w:val="00D60F6A"/>
    <w:rsid w:val="00D65A01"/>
    <w:rsid w:val="00D71871"/>
    <w:rsid w:val="00D818DF"/>
    <w:rsid w:val="00D93622"/>
    <w:rsid w:val="00D93C07"/>
    <w:rsid w:val="00D9588B"/>
    <w:rsid w:val="00D9637C"/>
    <w:rsid w:val="00DA4DE9"/>
    <w:rsid w:val="00DA7D2A"/>
    <w:rsid w:val="00DB10A7"/>
    <w:rsid w:val="00DB199D"/>
    <w:rsid w:val="00DB4564"/>
    <w:rsid w:val="00DB4E42"/>
    <w:rsid w:val="00DB4E58"/>
    <w:rsid w:val="00DD022F"/>
    <w:rsid w:val="00DD0314"/>
    <w:rsid w:val="00DD18D9"/>
    <w:rsid w:val="00DD35E3"/>
    <w:rsid w:val="00DD66E0"/>
    <w:rsid w:val="00DF215C"/>
    <w:rsid w:val="00DF2A82"/>
    <w:rsid w:val="00E00BED"/>
    <w:rsid w:val="00E01164"/>
    <w:rsid w:val="00E01B61"/>
    <w:rsid w:val="00E022E4"/>
    <w:rsid w:val="00E02608"/>
    <w:rsid w:val="00E03FBB"/>
    <w:rsid w:val="00E108F9"/>
    <w:rsid w:val="00E110CC"/>
    <w:rsid w:val="00E11EEC"/>
    <w:rsid w:val="00E12F0F"/>
    <w:rsid w:val="00E15384"/>
    <w:rsid w:val="00E179B2"/>
    <w:rsid w:val="00E17B1D"/>
    <w:rsid w:val="00E21D79"/>
    <w:rsid w:val="00E31483"/>
    <w:rsid w:val="00E31B8F"/>
    <w:rsid w:val="00E32B06"/>
    <w:rsid w:val="00E33AE6"/>
    <w:rsid w:val="00E34209"/>
    <w:rsid w:val="00E3609A"/>
    <w:rsid w:val="00E37443"/>
    <w:rsid w:val="00E44436"/>
    <w:rsid w:val="00E470CE"/>
    <w:rsid w:val="00E51BB1"/>
    <w:rsid w:val="00E5248B"/>
    <w:rsid w:val="00E528C1"/>
    <w:rsid w:val="00E52CCC"/>
    <w:rsid w:val="00E5523B"/>
    <w:rsid w:val="00E554F5"/>
    <w:rsid w:val="00E6210A"/>
    <w:rsid w:val="00E651FD"/>
    <w:rsid w:val="00E6769F"/>
    <w:rsid w:val="00E679CA"/>
    <w:rsid w:val="00E67A67"/>
    <w:rsid w:val="00E75A9E"/>
    <w:rsid w:val="00E763A4"/>
    <w:rsid w:val="00E765DB"/>
    <w:rsid w:val="00E77625"/>
    <w:rsid w:val="00E952F5"/>
    <w:rsid w:val="00E96CC9"/>
    <w:rsid w:val="00EA0940"/>
    <w:rsid w:val="00EA122C"/>
    <w:rsid w:val="00EA50EB"/>
    <w:rsid w:val="00EA74AA"/>
    <w:rsid w:val="00EB0054"/>
    <w:rsid w:val="00EB6787"/>
    <w:rsid w:val="00EB7EEA"/>
    <w:rsid w:val="00EC0C5B"/>
    <w:rsid w:val="00EC2CB5"/>
    <w:rsid w:val="00EC6BE8"/>
    <w:rsid w:val="00ED524C"/>
    <w:rsid w:val="00ED787B"/>
    <w:rsid w:val="00ED7880"/>
    <w:rsid w:val="00EE066B"/>
    <w:rsid w:val="00EE3FE9"/>
    <w:rsid w:val="00EE4C76"/>
    <w:rsid w:val="00EE4E35"/>
    <w:rsid w:val="00EE59E9"/>
    <w:rsid w:val="00EF27F8"/>
    <w:rsid w:val="00EF389F"/>
    <w:rsid w:val="00EF5C03"/>
    <w:rsid w:val="00EF678C"/>
    <w:rsid w:val="00F0018D"/>
    <w:rsid w:val="00F03940"/>
    <w:rsid w:val="00F048E9"/>
    <w:rsid w:val="00F06713"/>
    <w:rsid w:val="00F102C9"/>
    <w:rsid w:val="00F12A43"/>
    <w:rsid w:val="00F14F53"/>
    <w:rsid w:val="00F16E50"/>
    <w:rsid w:val="00F171FF"/>
    <w:rsid w:val="00F17554"/>
    <w:rsid w:val="00F23DD0"/>
    <w:rsid w:val="00F3577D"/>
    <w:rsid w:val="00F35A11"/>
    <w:rsid w:val="00F3738A"/>
    <w:rsid w:val="00F4166F"/>
    <w:rsid w:val="00F45D88"/>
    <w:rsid w:val="00F47038"/>
    <w:rsid w:val="00F47157"/>
    <w:rsid w:val="00F55DC0"/>
    <w:rsid w:val="00F566FB"/>
    <w:rsid w:val="00F57DD5"/>
    <w:rsid w:val="00F60C3D"/>
    <w:rsid w:val="00F70E47"/>
    <w:rsid w:val="00F7262C"/>
    <w:rsid w:val="00F728FD"/>
    <w:rsid w:val="00F73440"/>
    <w:rsid w:val="00F7689D"/>
    <w:rsid w:val="00F77C80"/>
    <w:rsid w:val="00F808D5"/>
    <w:rsid w:val="00F83F05"/>
    <w:rsid w:val="00F849C1"/>
    <w:rsid w:val="00F8583B"/>
    <w:rsid w:val="00F87AFB"/>
    <w:rsid w:val="00F91E68"/>
    <w:rsid w:val="00F922C2"/>
    <w:rsid w:val="00F92CF3"/>
    <w:rsid w:val="00F948FF"/>
    <w:rsid w:val="00F9725B"/>
    <w:rsid w:val="00FA156B"/>
    <w:rsid w:val="00FA19B6"/>
    <w:rsid w:val="00FA24A9"/>
    <w:rsid w:val="00FA55EA"/>
    <w:rsid w:val="00FA61CD"/>
    <w:rsid w:val="00FB10F0"/>
    <w:rsid w:val="00FB1A08"/>
    <w:rsid w:val="00FB1D45"/>
    <w:rsid w:val="00FB360C"/>
    <w:rsid w:val="00FB37E1"/>
    <w:rsid w:val="00FB64A5"/>
    <w:rsid w:val="00FB68FA"/>
    <w:rsid w:val="00FD26A8"/>
    <w:rsid w:val="00FD2CF9"/>
    <w:rsid w:val="00FD5776"/>
    <w:rsid w:val="00FE43D3"/>
    <w:rsid w:val="00FF6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  <o:rules v:ext="edit">
        <o:r id="V:Rule3" type="connector" idref="#_x0000_s1046"/>
        <o:r id="V:Rule4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9199B"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1"/>
    <w:link w:val="10"/>
    <w:qFormat/>
    <w:rsid w:val="0049199B"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1"/>
    <w:link w:val="20"/>
    <w:qFormat/>
    <w:rsid w:val="0049199B"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1"/>
    <w:link w:val="30"/>
    <w:qFormat/>
    <w:rsid w:val="0049199B"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1"/>
    <w:link w:val="40"/>
    <w:qFormat/>
    <w:rsid w:val="0049199B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link w:val="50"/>
    <w:qFormat/>
    <w:rsid w:val="0049199B"/>
    <w:pPr>
      <w:numPr>
        <w:ilvl w:val="4"/>
        <w:numId w:val="1"/>
      </w:numPr>
      <w:kinsoku w:val="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link w:val="60"/>
    <w:qFormat/>
    <w:rsid w:val="0049199B"/>
    <w:pPr>
      <w:numPr>
        <w:ilvl w:val="5"/>
        <w:numId w:val="1"/>
      </w:numPr>
      <w:tabs>
        <w:tab w:val="left" w:pos="2094"/>
      </w:tabs>
      <w:kinsoku w:val="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link w:val="70"/>
    <w:qFormat/>
    <w:rsid w:val="0049199B"/>
    <w:pPr>
      <w:numPr>
        <w:ilvl w:val="6"/>
        <w:numId w:val="1"/>
      </w:numPr>
      <w:kinsoku w:val="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link w:val="80"/>
    <w:qFormat/>
    <w:rsid w:val="0049199B"/>
    <w:pPr>
      <w:numPr>
        <w:ilvl w:val="7"/>
        <w:numId w:val="1"/>
      </w:numPr>
      <w:kinsoku w:val="0"/>
      <w:ind w:leftChars="700" w:left="800" w:hangingChars="100" w:hanging="10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semiHidden/>
    <w:rsid w:val="0049199B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6">
    <w:name w:val="endnote text"/>
    <w:basedOn w:val="a1"/>
    <w:link w:val="a7"/>
    <w:uiPriority w:val="99"/>
    <w:semiHidden/>
    <w:rsid w:val="0049199B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1">
    <w:name w:val="toc 5"/>
    <w:basedOn w:val="a1"/>
    <w:next w:val="a1"/>
    <w:autoRedefine/>
    <w:semiHidden/>
    <w:rsid w:val="0049199B"/>
    <w:pPr>
      <w:ind w:leftChars="400" w:left="600" w:rightChars="200" w:right="200" w:hangingChars="200" w:hanging="200"/>
    </w:pPr>
    <w:rPr>
      <w:rFonts w:ascii="標楷體"/>
    </w:rPr>
  </w:style>
  <w:style w:type="character" w:styleId="a8">
    <w:name w:val="page number"/>
    <w:basedOn w:val="a2"/>
    <w:semiHidden/>
    <w:rsid w:val="0049199B"/>
    <w:rPr>
      <w:rFonts w:ascii="標楷體" w:eastAsia="標楷體"/>
      <w:sz w:val="20"/>
    </w:rPr>
  </w:style>
  <w:style w:type="paragraph" w:styleId="61">
    <w:name w:val="toc 6"/>
    <w:basedOn w:val="a1"/>
    <w:next w:val="a1"/>
    <w:autoRedefine/>
    <w:semiHidden/>
    <w:rsid w:val="0049199B"/>
    <w:pPr>
      <w:ind w:leftChars="500" w:left="500"/>
    </w:pPr>
    <w:rPr>
      <w:rFonts w:ascii="標楷體"/>
    </w:rPr>
  </w:style>
  <w:style w:type="paragraph" w:customStyle="1" w:styleId="11">
    <w:name w:val="段落樣式1"/>
    <w:basedOn w:val="a1"/>
    <w:rsid w:val="0049199B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1">
    <w:name w:val="段落樣式2"/>
    <w:basedOn w:val="a1"/>
    <w:rsid w:val="0049199B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2">
    <w:name w:val="toc 1"/>
    <w:basedOn w:val="a1"/>
    <w:next w:val="a1"/>
    <w:autoRedefine/>
    <w:semiHidden/>
    <w:rsid w:val="0049199B"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2">
    <w:name w:val="toc 2"/>
    <w:basedOn w:val="a1"/>
    <w:next w:val="a1"/>
    <w:autoRedefine/>
    <w:semiHidden/>
    <w:rsid w:val="0049199B"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1">
    <w:name w:val="toc 3"/>
    <w:basedOn w:val="a1"/>
    <w:next w:val="a1"/>
    <w:autoRedefine/>
    <w:semiHidden/>
    <w:rsid w:val="0049199B"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1">
    <w:name w:val="toc 4"/>
    <w:basedOn w:val="a1"/>
    <w:next w:val="a1"/>
    <w:autoRedefine/>
    <w:semiHidden/>
    <w:rsid w:val="0049199B"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1">
    <w:name w:val="toc 7"/>
    <w:basedOn w:val="a1"/>
    <w:next w:val="a1"/>
    <w:autoRedefine/>
    <w:semiHidden/>
    <w:rsid w:val="0049199B"/>
    <w:pPr>
      <w:ind w:leftChars="600" w:left="800" w:hangingChars="200" w:hanging="200"/>
    </w:pPr>
    <w:rPr>
      <w:rFonts w:ascii="標楷體"/>
    </w:rPr>
  </w:style>
  <w:style w:type="paragraph" w:styleId="81">
    <w:name w:val="toc 8"/>
    <w:basedOn w:val="a1"/>
    <w:next w:val="a1"/>
    <w:autoRedefine/>
    <w:semiHidden/>
    <w:rsid w:val="0049199B"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1"/>
    <w:next w:val="a1"/>
    <w:autoRedefine/>
    <w:semiHidden/>
    <w:rsid w:val="0049199B"/>
    <w:pPr>
      <w:ind w:leftChars="1600" w:left="3840"/>
    </w:pPr>
  </w:style>
  <w:style w:type="paragraph" w:styleId="a9">
    <w:name w:val="header"/>
    <w:basedOn w:val="a1"/>
    <w:link w:val="aa"/>
    <w:uiPriority w:val="99"/>
    <w:semiHidden/>
    <w:rsid w:val="0049199B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rsid w:val="0049199B"/>
    <w:pPr>
      <w:ind w:leftChars="400" w:left="400"/>
    </w:pPr>
  </w:style>
  <w:style w:type="character" w:styleId="ab">
    <w:name w:val="Hyperlink"/>
    <w:basedOn w:val="a2"/>
    <w:semiHidden/>
    <w:rsid w:val="0049199B"/>
    <w:rPr>
      <w:color w:val="0000FF"/>
      <w:u w:val="single"/>
    </w:rPr>
  </w:style>
  <w:style w:type="paragraph" w:customStyle="1" w:styleId="ac">
    <w:name w:val="簽名日期"/>
    <w:basedOn w:val="a1"/>
    <w:rsid w:val="0049199B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rsid w:val="0049199B"/>
    <w:pPr>
      <w:ind w:leftChars="200" w:left="200" w:firstLineChars="0" w:firstLine="0"/>
    </w:pPr>
  </w:style>
  <w:style w:type="paragraph" w:customStyle="1" w:styleId="ad">
    <w:name w:val="附件"/>
    <w:basedOn w:val="a6"/>
    <w:rsid w:val="0049199B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rsid w:val="0049199B"/>
    <w:pPr>
      <w:ind w:leftChars="500" w:left="500"/>
    </w:pPr>
  </w:style>
  <w:style w:type="paragraph" w:customStyle="1" w:styleId="52">
    <w:name w:val="段落樣式5"/>
    <w:basedOn w:val="42"/>
    <w:rsid w:val="0049199B"/>
    <w:pPr>
      <w:ind w:leftChars="600" w:left="600"/>
    </w:pPr>
  </w:style>
  <w:style w:type="paragraph" w:customStyle="1" w:styleId="62">
    <w:name w:val="段落樣式6"/>
    <w:basedOn w:val="52"/>
    <w:rsid w:val="0049199B"/>
    <w:pPr>
      <w:ind w:leftChars="700" w:left="700"/>
    </w:pPr>
  </w:style>
  <w:style w:type="paragraph" w:customStyle="1" w:styleId="72">
    <w:name w:val="段落樣式7"/>
    <w:basedOn w:val="62"/>
    <w:rsid w:val="0049199B"/>
  </w:style>
  <w:style w:type="paragraph" w:customStyle="1" w:styleId="82">
    <w:name w:val="段落樣式8"/>
    <w:basedOn w:val="72"/>
    <w:rsid w:val="0049199B"/>
    <w:pPr>
      <w:ind w:leftChars="800" w:left="800"/>
    </w:pPr>
  </w:style>
  <w:style w:type="paragraph" w:customStyle="1" w:styleId="a0">
    <w:name w:val="表樣式"/>
    <w:basedOn w:val="a1"/>
    <w:next w:val="a1"/>
    <w:rsid w:val="0049199B"/>
    <w:pPr>
      <w:numPr>
        <w:numId w:val="2"/>
      </w:numPr>
      <w:jc w:val="both"/>
    </w:pPr>
    <w:rPr>
      <w:rFonts w:ascii="標楷體"/>
      <w:kern w:val="0"/>
    </w:rPr>
  </w:style>
  <w:style w:type="paragraph" w:styleId="ae">
    <w:name w:val="Body Text Indent"/>
    <w:basedOn w:val="a1"/>
    <w:semiHidden/>
    <w:rsid w:val="0049199B"/>
    <w:pPr>
      <w:ind w:left="698" w:hangingChars="200" w:hanging="698"/>
    </w:pPr>
  </w:style>
  <w:style w:type="paragraph" w:customStyle="1" w:styleId="af">
    <w:name w:val="調查報告"/>
    <w:basedOn w:val="a6"/>
    <w:rsid w:val="0049199B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paragraph" w:styleId="HTML">
    <w:name w:val="HTML Preformatted"/>
    <w:basedOn w:val="a1"/>
    <w:link w:val="HTML0"/>
    <w:uiPriority w:val="99"/>
    <w:semiHidden/>
    <w:unhideWhenUsed/>
    <w:rsid w:val="009D11E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  <w:sz w:val="24"/>
      <w:szCs w:val="24"/>
    </w:rPr>
  </w:style>
  <w:style w:type="paragraph" w:customStyle="1" w:styleId="a">
    <w:name w:val="圖樣式"/>
    <w:basedOn w:val="a1"/>
    <w:next w:val="a1"/>
    <w:rsid w:val="0049199B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f0">
    <w:name w:val="footer"/>
    <w:basedOn w:val="a1"/>
    <w:link w:val="af1"/>
    <w:uiPriority w:val="99"/>
    <w:rsid w:val="0049199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2">
    <w:name w:val="table of figures"/>
    <w:basedOn w:val="a1"/>
    <w:next w:val="a1"/>
    <w:semiHidden/>
    <w:rsid w:val="0049199B"/>
    <w:pPr>
      <w:ind w:left="400" w:hangingChars="400" w:hanging="400"/>
    </w:pPr>
  </w:style>
  <w:style w:type="character" w:customStyle="1" w:styleId="HTML0">
    <w:name w:val="HTML 預設格式 字元"/>
    <w:basedOn w:val="a2"/>
    <w:link w:val="HTML"/>
    <w:uiPriority w:val="99"/>
    <w:semiHidden/>
    <w:rsid w:val="009D11E9"/>
    <w:rPr>
      <w:rFonts w:ascii="細明體" w:eastAsia="細明體" w:hAnsi="細明體" w:cs="細明體"/>
      <w:color w:val="000000"/>
      <w:sz w:val="24"/>
      <w:szCs w:val="24"/>
    </w:rPr>
  </w:style>
  <w:style w:type="paragraph" w:styleId="af3">
    <w:name w:val="Balloon Text"/>
    <w:basedOn w:val="a1"/>
    <w:link w:val="af4"/>
    <w:uiPriority w:val="99"/>
    <w:semiHidden/>
    <w:unhideWhenUsed/>
    <w:rsid w:val="00EF389F"/>
    <w:rPr>
      <w:rFonts w:ascii="Cambria" w:eastAsia="新細明體" w:hAnsi="Cambria"/>
      <w:sz w:val="18"/>
      <w:szCs w:val="18"/>
    </w:rPr>
  </w:style>
  <w:style w:type="character" w:customStyle="1" w:styleId="af4">
    <w:name w:val="註解方塊文字 字元"/>
    <w:basedOn w:val="a2"/>
    <w:link w:val="af3"/>
    <w:uiPriority w:val="99"/>
    <w:semiHidden/>
    <w:rsid w:val="00EF389F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標題 2 字元"/>
    <w:basedOn w:val="a2"/>
    <w:link w:val="2"/>
    <w:rsid w:val="00D30EF6"/>
    <w:rPr>
      <w:rFonts w:ascii="標楷體" w:eastAsia="標楷體" w:hAnsi="Arial"/>
      <w:bCs/>
      <w:sz w:val="32"/>
      <w:szCs w:val="48"/>
    </w:rPr>
  </w:style>
  <w:style w:type="paragraph" w:styleId="af5">
    <w:name w:val="footnote text"/>
    <w:basedOn w:val="a1"/>
    <w:link w:val="af6"/>
    <w:uiPriority w:val="99"/>
    <w:semiHidden/>
    <w:unhideWhenUsed/>
    <w:rsid w:val="007A323F"/>
    <w:pPr>
      <w:snapToGrid w:val="0"/>
    </w:pPr>
    <w:rPr>
      <w:sz w:val="20"/>
    </w:rPr>
  </w:style>
  <w:style w:type="character" w:customStyle="1" w:styleId="af6">
    <w:name w:val="註腳文字 字元"/>
    <w:basedOn w:val="a2"/>
    <w:link w:val="af5"/>
    <w:uiPriority w:val="99"/>
    <w:semiHidden/>
    <w:rsid w:val="007A323F"/>
    <w:rPr>
      <w:rFonts w:eastAsia="標楷體"/>
      <w:kern w:val="2"/>
    </w:rPr>
  </w:style>
  <w:style w:type="character" w:styleId="af7">
    <w:name w:val="footnote reference"/>
    <w:basedOn w:val="a2"/>
    <w:uiPriority w:val="99"/>
    <w:semiHidden/>
    <w:unhideWhenUsed/>
    <w:rsid w:val="007A323F"/>
    <w:rPr>
      <w:vertAlign w:val="superscript"/>
    </w:rPr>
  </w:style>
  <w:style w:type="table" w:styleId="af8">
    <w:name w:val="Table Grid"/>
    <w:basedOn w:val="a3"/>
    <w:uiPriority w:val="59"/>
    <w:rsid w:val="00AF26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basedOn w:val="a2"/>
    <w:link w:val="1"/>
    <w:rsid w:val="006160F7"/>
    <w:rPr>
      <w:rFonts w:ascii="標楷體" w:eastAsia="標楷體" w:hAnsi="Arial"/>
      <w:bCs/>
      <w:sz w:val="32"/>
      <w:szCs w:val="52"/>
    </w:rPr>
  </w:style>
  <w:style w:type="character" w:customStyle="1" w:styleId="30">
    <w:name w:val="標題 3 字元"/>
    <w:basedOn w:val="a2"/>
    <w:link w:val="3"/>
    <w:rsid w:val="006160F7"/>
    <w:rPr>
      <w:rFonts w:ascii="標楷體" w:eastAsia="標楷體" w:hAnsi="Arial"/>
      <w:bCs/>
      <w:sz w:val="32"/>
      <w:szCs w:val="36"/>
    </w:rPr>
  </w:style>
  <w:style w:type="character" w:customStyle="1" w:styleId="40">
    <w:name w:val="標題 4 字元"/>
    <w:basedOn w:val="a2"/>
    <w:link w:val="4"/>
    <w:rsid w:val="006160F7"/>
    <w:rPr>
      <w:rFonts w:ascii="標楷體" w:eastAsia="標楷體" w:hAnsi="Arial"/>
      <w:kern w:val="2"/>
      <w:sz w:val="32"/>
      <w:szCs w:val="36"/>
    </w:rPr>
  </w:style>
  <w:style w:type="character" w:customStyle="1" w:styleId="50">
    <w:name w:val="標題 5 字元"/>
    <w:basedOn w:val="a2"/>
    <w:link w:val="5"/>
    <w:rsid w:val="006160F7"/>
    <w:rPr>
      <w:rFonts w:ascii="標楷體" w:eastAsia="標楷體" w:hAnsi="Arial"/>
      <w:bCs/>
      <w:kern w:val="2"/>
      <w:sz w:val="32"/>
      <w:szCs w:val="36"/>
    </w:rPr>
  </w:style>
  <w:style w:type="character" w:customStyle="1" w:styleId="60">
    <w:name w:val="標題 6 字元"/>
    <w:basedOn w:val="a2"/>
    <w:link w:val="6"/>
    <w:rsid w:val="006160F7"/>
    <w:rPr>
      <w:rFonts w:ascii="標楷體" w:eastAsia="標楷體" w:hAnsi="Arial"/>
      <w:kern w:val="2"/>
      <w:sz w:val="32"/>
      <w:szCs w:val="36"/>
    </w:rPr>
  </w:style>
  <w:style w:type="character" w:customStyle="1" w:styleId="70">
    <w:name w:val="標題 7 字元"/>
    <w:basedOn w:val="a2"/>
    <w:link w:val="7"/>
    <w:rsid w:val="006160F7"/>
    <w:rPr>
      <w:rFonts w:ascii="標楷體" w:eastAsia="標楷體" w:hAnsi="Arial"/>
      <w:bCs/>
      <w:kern w:val="2"/>
      <w:sz w:val="32"/>
      <w:szCs w:val="36"/>
    </w:rPr>
  </w:style>
  <w:style w:type="character" w:customStyle="1" w:styleId="80">
    <w:name w:val="標題 8 字元"/>
    <w:basedOn w:val="a2"/>
    <w:link w:val="8"/>
    <w:rsid w:val="006160F7"/>
    <w:rPr>
      <w:rFonts w:ascii="標楷體" w:eastAsia="標楷體" w:hAnsi="Arial"/>
      <w:kern w:val="2"/>
      <w:sz w:val="32"/>
      <w:szCs w:val="36"/>
    </w:rPr>
  </w:style>
  <w:style w:type="character" w:customStyle="1" w:styleId="a7">
    <w:name w:val="章節附註文字 字元"/>
    <w:basedOn w:val="a2"/>
    <w:link w:val="a6"/>
    <w:uiPriority w:val="99"/>
    <w:semiHidden/>
    <w:rsid w:val="006160F7"/>
    <w:rPr>
      <w:rFonts w:ascii="標楷體" w:eastAsia="標楷體"/>
      <w:snapToGrid w:val="0"/>
      <w:spacing w:val="10"/>
      <w:kern w:val="2"/>
      <w:sz w:val="32"/>
    </w:rPr>
  </w:style>
  <w:style w:type="character" w:customStyle="1" w:styleId="aa">
    <w:name w:val="頁首 字元"/>
    <w:basedOn w:val="a2"/>
    <w:link w:val="a9"/>
    <w:uiPriority w:val="99"/>
    <w:semiHidden/>
    <w:rsid w:val="006160F7"/>
    <w:rPr>
      <w:rFonts w:eastAsia="標楷體"/>
      <w:kern w:val="2"/>
    </w:rPr>
  </w:style>
  <w:style w:type="character" w:customStyle="1" w:styleId="af1">
    <w:name w:val="頁尾 字元"/>
    <w:basedOn w:val="a2"/>
    <w:link w:val="af0"/>
    <w:uiPriority w:val="99"/>
    <w:rsid w:val="006160F7"/>
    <w:rPr>
      <w:rFonts w:eastAsia="標楷體"/>
      <w:kern w:val="2"/>
    </w:rPr>
  </w:style>
  <w:style w:type="paragraph" w:customStyle="1" w:styleId="Default">
    <w:name w:val="Default"/>
    <w:rsid w:val="006160F7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customStyle="1" w:styleId="23">
    <w:name w:val="一般文字+2"/>
    <w:basedOn w:val="Default"/>
    <w:next w:val="Default"/>
    <w:uiPriority w:val="99"/>
    <w:rsid w:val="006160F7"/>
    <w:rPr>
      <w:rFonts w:cs="Times New Roman"/>
      <w:color w:val="auto"/>
    </w:rPr>
  </w:style>
  <w:style w:type="paragraph" w:styleId="af9">
    <w:name w:val="List Paragraph"/>
    <w:basedOn w:val="a1"/>
    <w:uiPriority w:val="34"/>
    <w:qFormat/>
    <w:rsid w:val="006160F7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6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893\Application%20Data\Microsoft\Templates\&#27243;&#24335;&#35519;&#26597;&#34920;&#21934;\C030&#35519;&#26597;&#22577;&#21578;&#26684;&#24335;&#39636;&#20363;(&#27243;&#24335;)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lwu\Desktop\Documents\Investigation\Finished%20IV\101\2&#27425;&#37329;&#25913;-&#22283;&#27888;&#37329;&#20341;&#19990;&#33775;\10107&#20877;&#20462;&#35519;&#26597;&#22577;&#21578;\1010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TW"/>
  <c:chart>
    <c:plotArea>
      <c:layout>
        <c:manualLayout>
          <c:layoutTarget val="inner"/>
          <c:xMode val="edge"/>
          <c:yMode val="edge"/>
          <c:x val="9.9363517060367473E-2"/>
          <c:y val="4.3926883026862006E-2"/>
          <c:w val="0.90063646245407825"/>
          <c:h val="0.75807534443951796"/>
        </c:manualLayout>
      </c:layout>
      <c:lineChart>
        <c:grouping val="standard"/>
        <c:ser>
          <c:idx val="1"/>
          <c:order val="0"/>
          <c:tx>
            <c:v>國泰金</c:v>
          </c:tx>
          <c:spPr>
            <a:ln>
              <a:solidFill>
                <a:srgbClr val="0070C0"/>
              </a:solidFill>
            </a:ln>
          </c:spPr>
          <c:marker>
            <c:symbol val="diamond"/>
            <c:size val="7"/>
            <c:spPr>
              <a:solidFill>
                <a:schemeClr val="accent1"/>
              </a:solidFill>
              <a:ln>
                <a:solidFill>
                  <a:srgbClr val="0070C0"/>
                </a:solidFill>
              </a:ln>
            </c:spPr>
          </c:marker>
          <c:dLbls>
            <c:dLbl>
              <c:idx val="0"/>
              <c:layout>
                <c:manualLayout>
                  <c:x val="-3.1088078673782143E-2"/>
                  <c:y val="-3.3755266785105556E-2"/>
                </c:manualLayout>
              </c:layout>
              <c:showVal val="1"/>
            </c:dLbl>
            <c:dLbl>
              <c:idx val="1"/>
              <c:layout>
                <c:manualLayout>
                  <c:x val="-3.9723656083165956E-2"/>
                  <c:y val="3.9381144582623408E-2"/>
                </c:manualLayout>
              </c:layout>
              <c:showVal val="1"/>
            </c:dLbl>
            <c:dLbl>
              <c:idx val="2"/>
              <c:layout>
                <c:manualLayout>
                  <c:x val="-3.1088078673782119E-2"/>
                  <c:y val="-4.2194083481381893E-2"/>
                </c:manualLayout>
              </c:layout>
              <c:showVal val="1"/>
            </c:dLbl>
            <c:dLbl>
              <c:idx val="3"/>
              <c:layout>
                <c:manualLayout>
                  <c:x val="-2.9360963191905239E-2"/>
                  <c:y val="4.7819961278899432E-2"/>
                </c:manualLayout>
              </c:layout>
              <c:showVal val="1"/>
            </c:dLbl>
            <c:dLbl>
              <c:idx val="4"/>
              <c:layout>
                <c:manualLayout>
                  <c:x val="-3.7996540601289236E-2"/>
                  <c:y val="-2.8129388987587847E-2"/>
                </c:manualLayout>
              </c:layout>
              <c:showVal val="1"/>
            </c:dLbl>
            <c:dLbl>
              <c:idx val="5"/>
              <c:layout>
                <c:manualLayout>
                  <c:x val="-4.1450771565042704E-2"/>
                  <c:y val="3.9380923091371152E-2"/>
                </c:manualLayout>
              </c:layout>
              <c:showVal val="1"/>
            </c:dLbl>
            <c:dLbl>
              <c:idx val="6"/>
              <c:layout>
                <c:manualLayout>
                  <c:x val="-2.9360963191905176E-2"/>
                  <c:y val="-4.7819961278899432E-2"/>
                </c:manualLayout>
              </c:layout>
              <c:showVal val="1"/>
            </c:dLbl>
            <c:dLbl>
              <c:idx val="7"/>
              <c:layout>
                <c:manualLayout>
                  <c:x val="-3.7996540601289236E-2"/>
                  <c:y val="4.7819961278899432E-2"/>
                </c:manualLayout>
              </c:layout>
              <c:showVal val="1"/>
            </c:dLbl>
            <c:dLbl>
              <c:idx val="8"/>
              <c:layout>
                <c:manualLayout>
                  <c:x val="-3.7996540601289236E-2"/>
                  <c:y val="-3.3755266785105556E-2"/>
                </c:manualLayout>
              </c:layout>
              <c:showVal val="1"/>
            </c:dLbl>
            <c:dLbl>
              <c:idx val="9"/>
              <c:layout>
                <c:manualLayout>
                  <c:x val="-2.7633847710028973E-2"/>
                  <c:y val="3.6568205683864513E-2"/>
                </c:manualLayout>
              </c:layout>
              <c:showVal val="1"/>
            </c:dLbl>
            <c:dLbl>
              <c:idx val="10"/>
              <c:layout>
                <c:manualLayout>
                  <c:x val="-3.1088078673782042E-2"/>
                  <c:y val="-2.5316450088829111E-2"/>
                </c:manualLayout>
              </c:layout>
              <c:showVal val="1"/>
            </c:dLbl>
            <c:dLbl>
              <c:idx val="11"/>
              <c:layout>
                <c:manualLayout>
                  <c:x val="-2.0725385782521442E-2"/>
                  <c:y val="5.3445839076416916E-2"/>
                </c:manualLayout>
              </c:layout>
              <c:showVal val="1"/>
            </c:dLbl>
            <c:dLbl>
              <c:idx val="12"/>
              <c:layout>
                <c:manualLayout>
                  <c:x val="-3.1088078673782042E-2"/>
                  <c:y val="-3.3755266785105612E-2"/>
                </c:manualLayout>
              </c:layout>
              <c:showVal val="1"/>
            </c:dLbl>
            <c:dLbl>
              <c:idx val="13"/>
              <c:layout>
                <c:manualLayout>
                  <c:x val="-2.9360963191905239E-2"/>
                  <c:y val="3.0942327886346852E-2"/>
                </c:manualLayout>
              </c:layout>
              <c:showVal val="1"/>
            </c:dLbl>
            <c:dLbl>
              <c:idx val="14"/>
              <c:layout>
                <c:manualLayout>
                  <c:x val="-3.2815194155658811E-2"/>
                  <c:y val="-3.0942327886346852E-2"/>
                </c:manualLayout>
              </c:layout>
              <c:showVal val="1"/>
            </c:dLbl>
            <c:dLbl>
              <c:idx val="15"/>
              <c:layout>
                <c:manualLayout>
                  <c:x val="-2.9360963191905239E-2"/>
                  <c:y val="3.0942327886346852E-2"/>
                </c:manualLayout>
              </c:layout>
              <c:showVal val="1"/>
            </c:dLbl>
            <c:dLbl>
              <c:idx val="16"/>
              <c:layout>
                <c:manualLayout>
                  <c:x val="-3.2815194155658811E-2"/>
                  <c:y val="-3.3755266785105612E-2"/>
                </c:manualLayout>
              </c:layout>
              <c:showVal val="1"/>
            </c:dLbl>
            <c:dLbl>
              <c:idx val="17"/>
              <c:layout>
                <c:manualLayout>
                  <c:x val="-2.5906732228151742E-2"/>
                  <c:y val="3.3755266785105556E-2"/>
                </c:manualLayout>
              </c:layout>
              <c:showVal val="1"/>
            </c:dLbl>
            <c:dLbl>
              <c:idx val="18"/>
              <c:layout>
                <c:manualLayout>
                  <c:x val="-3.6269425119412411E-2"/>
                  <c:y val="-3.3755266785105612E-2"/>
                </c:manualLayout>
              </c:layout>
              <c:showVal val="1"/>
            </c:dLbl>
            <c:dLbl>
              <c:idx val="19"/>
              <c:layout>
                <c:manualLayout>
                  <c:x val="-2.9360963191905239E-2"/>
                  <c:y val="3.3755266785105556E-2"/>
                </c:manualLayout>
              </c:layout>
              <c:showVal val="1"/>
            </c:dLbl>
            <c:dLbl>
              <c:idx val="20"/>
              <c:layout>
                <c:manualLayout>
                  <c:x val="-2.7633847710028973E-2"/>
                  <c:y val="-3.3755266785105556E-2"/>
                </c:manualLayout>
              </c:layout>
              <c:showVal val="1"/>
            </c:dLbl>
            <c:dLbl>
              <c:idx val="21"/>
              <c:layout>
                <c:manualLayout>
                  <c:x val="-2.5906732228151742E-2"/>
                  <c:y val="3.3755266785105556E-2"/>
                </c:manualLayout>
              </c:layout>
              <c:showVal val="1"/>
            </c:dLbl>
            <c:showVal val="1"/>
          </c:dLbls>
          <c:val>
            <c:numRef>
              <c:f>Work!$C$3:$C$14</c:f>
              <c:numCache>
                <c:formatCode>0.00;_ꣿ</c:formatCode>
                <c:ptCount val="12"/>
                <c:pt idx="0">
                  <c:v>52.95</c:v>
                </c:pt>
                <c:pt idx="1">
                  <c:v>51.1</c:v>
                </c:pt>
                <c:pt idx="2">
                  <c:v>49.87</c:v>
                </c:pt>
                <c:pt idx="3">
                  <c:v>52.33</c:v>
                </c:pt>
                <c:pt idx="4">
                  <c:v>49.67</c:v>
                </c:pt>
                <c:pt idx="5">
                  <c:v>49.2</c:v>
                </c:pt>
                <c:pt idx="6">
                  <c:v>44.9</c:v>
                </c:pt>
                <c:pt idx="7">
                  <c:v>44.260000000000012</c:v>
                </c:pt>
                <c:pt idx="8">
                  <c:v>39.82</c:v>
                </c:pt>
                <c:pt idx="9">
                  <c:v>38.270000000000003</c:v>
                </c:pt>
                <c:pt idx="10">
                  <c:v>37.43</c:v>
                </c:pt>
                <c:pt idx="11">
                  <c:v>36.32</c:v>
                </c:pt>
              </c:numCache>
            </c:numRef>
          </c:val>
        </c:ser>
        <c:ser>
          <c:idx val="2"/>
          <c:order val="1"/>
          <c:tx>
            <c:v>世華</c:v>
          </c:tx>
          <c:spPr>
            <a:ln>
              <a:solidFill>
                <a:srgbClr val="C00000"/>
              </a:solidFill>
            </a:ln>
          </c:spPr>
          <c:marker>
            <c:symbol val="square"/>
            <c:size val="7"/>
            <c:spPr>
              <a:solidFill>
                <a:srgbClr val="C00000"/>
              </a:solidFill>
            </c:spPr>
          </c:marker>
          <c:dLbls>
            <c:dLbl>
              <c:idx val="0"/>
              <c:layout>
                <c:manualLayout>
                  <c:x val="-3.6101065358265752E-2"/>
                  <c:y val="-3.6279824073928692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3.955529632201929E-2"/>
                  <c:y val="-3.3466885175169686E-2"/>
                </c:manualLayout>
              </c:layout>
              <c:dLblPos val="r"/>
              <c:showVal val="1"/>
            </c:dLbl>
            <c:dLbl>
              <c:idx val="4"/>
              <c:layout>
                <c:manualLayout>
                  <c:x val="-4.1282411803896496E-2"/>
                  <c:y val="-3.6279824073928588E-2"/>
                </c:manualLayout>
              </c:layout>
              <c:dLblPos val="r"/>
              <c:showVal val="1"/>
            </c:dLbl>
            <c:dLbl>
              <c:idx val="6"/>
              <c:layout>
                <c:manualLayout>
                  <c:x val="-3.782818084014241E-2"/>
                  <c:y val="-3.3466885175169651E-2"/>
                </c:manualLayout>
              </c:layout>
              <c:dLblPos val="r"/>
              <c:showVal val="1"/>
            </c:dLbl>
            <c:dLbl>
              <c:idx val="8"/>
              <c:layout>
                <c:manualLayout>
                  <c:x val="-3.6101065358265752E-2"/>
                  <c:y val="-3.6279824073928692E-2"/>
                </c:manualLayout>
              </c:layout>
              <c:dLblPos val="r"/>
              <c:showVal val="1"/>
            </c:dLbl>
            <c:dLbl>
              <c:idx val="10"/>
              <c:layout>
                <c:manualLayout>
                  <c:x val="-3.955529632201929E-2"/>
                  <c:y val="-3.6279824073928692E-2"/>
                </c:manualLayout>
              </c:layout>
              <c:dLblPos val="r"/>
              <c:showVal val="1"/>
            </c:dLbl>
            <c:dLblPos val="b"/>
            <c:showVal val="1"/>
          </c:dLbls>
          <c:val>
            <c:numRef>
              <c:f>Work!$D$3:$D$14</c:f>
              <c:numCache>
                <c:formatCode>0.00;_ꣿ</c:formatCode>
                <c:ptCount val="12"/>
                <c:pt idx="0">
                  <c:v>20.779999999999987</c:v>
                </c:pt>
                <c:pt idx="1">
                  <c:v>19.59</c:v>
                </c:pt>
                <c:pt idx="2">
                  <c:v>20.66</c:v>
                </c:pt>
                <c:pt idx="3">
                  <c:v>22.55</c:v>
                </c:pt>
                <c:pt idx="4">
                  <c:v>24.49</c:v>
                </c:pt>
                <c:pt idx="5">
                  <c:v>24.8</c:v>
                </c:pt>
                <c:pt idx="6">
                  <c:v>22.8</c:v>
                </c:pt>
                <c:pt idx="7">
                  <c:v>25.310000000000031</c:v>
                </c:pt>
                <c:pt idx="8">
                  <c:v>24.21</c:v>
                </c:pt>
                <c:pt idx="9">
                  <c:v>22.419999999999987</c:v>
                </c:pt>
                <c:pt idx="10">
                  <c:v>21.82</c:v>
                </c:pt>
                <c:pt idx="11">
                  <c:v>20.64</c:v>
                </c:pt>
              </c:numCache>
            </c:numRef>
          </c:val>
        </c:ser>
        <c:marker val="1"/>
        <c:axId val="71664000"/>
        <c:axId val="71665536"/>
      </c:lineChart>
      <c:catAx>
        <c:axId val="71664000"/>
        <c:scaling>
          <c:orientation val="minMax"/>
        </c:scaling>
        <c:axPos val="b"/>
        <c:numFmt formatCode="0_ " sourceLinked="1"/>
        <c:tickLblPos val="nextTo"/>
        <c:crossAx val="71665536"/>
        <c:crosses val="autoZero"/>
        <c:auto val="1"/>
        <c:lblAlgn val="ctr"/>
        <c:lblOffset val="100"/>
      </c:catAx>
      <c:valAx>
        <c:axId val="71665536"/>
        <c:scaling>
          <c:orientation val="minMax"/>
        </c:scaling>
        <c:axPos val="l"/>
        <c:majorGridlines>
          <c:spPr>
            <a:ln>
              <a:prstDash val="sysDot"/>
            </a:ln>
          </c:spPr>
        </c:majorGridlines>
        <c:numFmt formatCode="0.00;_ꣿ" sourceLinked="1"/>
        <c:tickLblPos val="nextTo"/>
        <c:crossAx val="7166400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3281515335766093"/>
          <c:y val="0.87037158036888185"/>
          <c:w val="0.30500859409944336"/>
          <c:h val="0.10374118658622486"/>
        </c:manualLayout>
      </c:layout>
      <c:txPr>
        <a:bodyPr/>
        <a:lstStyle/>
        <a:p>
          <a:pPr>
            <a:defRPr sz="1200">
              <a:latin typeface="標楷體" pitchFamily="65" charset="-120"/>
              <a:ea typeface="標楷體" pitchFamily="65" charset="-120"/>
            </a:defRPr>
          </a:pPr>
          <a:endParaRPr lang="zh-TW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149EF-7BF6-4512-AE9F-A50F1250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4</TotalTime>
  <Pages>4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t893</dc:creator>
  <cp:lastModifiedBy>user</cp:lastModifiedBy>
  <cp:revision>2</cp:revision>
  <cp:lastPrinted>2012-11-26T00:25:00Z</cp:lastPrinted>
  <dcterms:created xsi:type="dcterms:W3CDTF">2012-12-22T08:29:00Z</dcterms:created>
  <dcterms:modified xsi:type="dcterms:W3CDTF">2012-12-22T08:29:00Z</dcterms:modified>
</cp:coreProperties>
</file>