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101</w:t>
            </w:r>
            <w:r>
              <w:rPr>
                <w:rFonts w:eastAsia="標楷體" w:hint="eastAsia"/>
                <w:bCs/>
                <w:szCs w:val="28"/>
              </w:rPr>
              <w:t>內調</w:t>
            </w:r>
            <w:r>
              <w:rPr>
                <w:rFonts w:eastAsia="標楷體" w:hint="eastAsia"/>
                <w:bCs/>
                <w:szCs w:val="28"/>
              </w:rPr>
              <w:t>0009</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◆其他績效</w:t>
            </w:r>
          </w:p>
          <w:p w:rsidR="00FF343B" w:rsidRPr="0078237E" w:rsidRDefault="007336A7" w:rsidP="00440949">
            <w:pPr>
              <w:spacing w:line="360" w:lineRule="atLeast"/>
              <w:jc w:val="both"/>
              <w:rPr>
                <w:rFonts w:eastAsia="標楷體"/>
                <w:bCs/>
                <w:szCs w:val="28"/>
              </w:rPr>
            </w:pPr>
            <w:r>
              <w:rPr>
                <w:rFonts w:eastAsia="標楷體" w:hint="eastAsia"/>
                <w:bCs/>
              </w:rPr>
              <w:t>為降低外勞行蹤不明人數、遏止非法聘僱、媒介者，自</w:t>
            </w:r>
            <w:r>
              <w:rPr>
                <w:rFonts w:eastAsia="標楷體" w:hint="eastAsia"/>
                <w:bCs/>
              </w:rPr>
              <w:t>101</w:t>
            </w:r>
            <w:r>
              <w:rPr>
                <w:rFonts w:eastAsia="標楷體" w:hint="eastAsia"/>
                <w:bCs/>
              </w:rPr>
              <w:t>年</w:t>
            </w:r>
            <w:r>
              <w:rPr>
                <w:rFonts w:eastAsia="標楷體" w:hint="eastAsia"/>
                <w:bCs/>
              </w:rPr>
              <w:t>7</w:t>
            </w:r>
            <w:r>
              <w:rPr>
                <w:rFonts w:eastAsia="標楷體" w:hint="eastAsia"/>
                <w:bCs/>
              </w:rPr>
              <w:t>月</w:t>
            </w:r>
            <w:r>
              <w:rPr>
                <w:rFonts w:eastAsia="標楷體" w:hint="eastAsia"/>
                <w:bCs/>
              </w:rPr>
              <w:t>1</w:t>
            </w:r>
            <w:r>
              <w:rPr>
                <w:rFonts w:eastAsia="標楷體" w:hint="eastAsia"/>
                <w:bCs/>
              </w:rPr>
              <w:t>日起至</w:t>
            </w:r>
            <w:r>
              <w:rPr>
                <w:rFonts w:eastAsia="標楷體" w:hint="eastAsia"/>
                <w:bCs/>
              </w:rPr>
              <w:t>102</w:t>
            </w:r>
            <w:r>
              <w:rPr>
                <w:rFonts w:eastAsia="標楷體" w:hint="eastAsia"/>
                <w:bCs/>
              </w:rPr>
              <w:t>年</w:t>
            </w:r>
            <w:r>
              <w:rPr>
                <w:rFonts w:eastAsia="標楷體" w:hint="eastAsia"/>
                <w:bCs/>
              </w:rPr>
              <w:t>12</w:t>
            </w:r>
            <w:r>
              <w:rPr>
                <w:rFonts w:eastAsia="標楷體" w:hint="eastAsia"/>
                <w:bCs/>
              </w:rPr>
              <w:t>月</w:t>
            </w:r>
            <w:r>
              <w:rPr>
                <w:rFonts w:eastAsia="標楷體" w:hint="eastAsia"/>
                <w:bCs/>
              </w:rPr>
              <w:t>31</w:t>
            </w:r>
            <w:r>
              <w:rPr>
                <w:rFonts w:eastAsia="標楷體" w:hint="eastAsia"/>
                <w:bCs/>
              </w:rPr>
              <w:t>日止，由國家安全局</w:t>
            </w:r>
            <w:r>
              <w:rPr>
                <w:rFonts w:eastAsia="標楷體" w:hint="eastAsia"/>
                <w:bCs/>
              </w:rPr>
              <w:t>(</w:t>
            </w:r>
            <w:r>
              <w:rPr>
                <w:rFonts w:eastAsia="標楷體" w:hint="eastAsia"/>
                <w:bCs/>
              </w:rPr>
              <w:t>以下簡稱國安局</w:t>
            </w:r>
            <w:r>
              <w:rPr>
                <w:rFonts w:eastAsia="標楷體" w:hint="eastAsia"/>
                <w:bCs/>
              </w:rPr>
              <w:t>)</w:t>
            </w:r>
            <w:r>
              <w:rPr>
                <w:rFonts w:eastAsia="標楷體" w:hint="eastAsia"/>
                <w:bCs/>
              </w:rPr>
              <w:t>賡續統合指導，並由移民署結合內政部警政署</w:t>
            </w:r>
            <w:r>
              <w:rPr>
                <w:rFonts w:eastAsia="標楷體" w:hint="eastAsia"/>
                <w:bCs/>
              </w:rPr>
              <w:t>(</w:t>
            </w:r>
            <w:r>
              <w:rPr>
                <w:rFonts w:eastAsia="標楷體" w:hint="eastAsia"/>
                <w:bCs/>
              </w:rPr>
              <w:t>下稱警政署</w:t>
            </w:r>
            <w:r>
              <w:rPr>
                <w:rFonts w:eastAsia="標楷體" w:hint="eastAsia"/>
                <w:bCs/>
              </w:rPr>
              <w:t>)</w:t>
            </w:r>
            <w:r>
              <w:rPr>
                <w:rFonts w:eastAsia="標楷體" w:hint="eastAsia"/>
                <w:bCs/>
              </w:rPr>
              <w:t>、法務部調查局</w:t>
            </w:r>
            <w:r>
              <w:rPr>
                <w:rFonts w:eastAsia="標楷體" w:hint="eastAsia"/>
                <w:bCs/>
              </w:rPr>
              <w:t>(</w:t>
            </w:r>
            <w:r>
              <w:rPr>
                <w:rFonts w:eastAsia="標楷體" w:hint="eastAsia"/>
                <w:bCs/>
              </w:rPr>
              <w:t>以下簡稱調查局</w:t>
            </w:r>
            <w:r>
              <w:rPr>
                <w:rFonts w:eastAsia="標楷體" w:hint="eastAsia"/>
                <w:bCs/>
              </w:rPr>
              <w:t>)</w:t>
            </w:r>
            <w:r>
              <w:rPr>
                <w:rFonts w:eastAsia="標楷體" w:hint="eastAsia"/>
                <w:bCs/>
              </w:rPr>
              <w:t>及國防部憲兵指揮部</w:t>
            </w:r>
            <w:r>
              <w:rPr>
                <w:rFonts w:eastAsia="標楷體" w:hint="eastAsia"/>
                <w:bCs/>
              </w:rPr>
              <w:t>(</w:t>
            </w:r>
            <w:r>
              <w:rPr>
                <w:rFonts w:eastAsia="標楷體" w:hint="eastAsia"/>
                <w:bCs/>
              </w:rPr>
              <w:t>以下簡稱憲指部</w:t>
            </w:r>
            <w:r>
              <w:rPr>
                <w:rFonts w:eastAsia="標楷體" w:hint="eastAsia"/>
                <w:bCs/>
              </w:rPr>
              <w:t>)</w:t>
            </w:r>
            <w:r>
              <w:rPr>
                <w:rFonts w:eastAsia="標楷體" w:hint="eastAsia"/>
                <w:bCs/>
              </w:rPr>
              <w:t>等國安團隊聯合執行「查處行蹤不明外勞在臺非法活動專案工作」（祥安專案）。</w:t>
            </w:r>
            <w:r>
              <w:rPr>
                <w:rFonts w:eastAsia="標楷體" w:hint="eastAsia"/>
                <w:bCs/>
              </w:rPr>
              <w:t>102</w:t>
            </w:r>
            <w:r>
              <w:rPr>
                <w:rFonts w:eastAsia="標楷體" w:hint="eastAsia"/>
                <w:bCs/>
              </w:rPr>
              <w:t>年祥安專案執行成效良好，共計查獲行蹤不明外勞達</w:t>
            </w:r>
            <w:r>
              <w:rPr>
                <w:rFonts w:eastAsia="標楷體" w:hint="eastAsia"/>
                <w:bCs/>
              </w:rPr>
              <w:t>1</w:t>
            </w:r>
            <w:r>
              <w:rPr>
                <w:rFonts w:eastAsia="標楷體" w:hint="eastAsia"/>
                <w:bCs/>
              </w:rPr>
              <w:t>萬</w:t>
            </w:r>
            <w:r>
              <w:rPr>
                <w:rFonts w:eastAsia="標楷體" w:hint="eastAsia"/>
                <w:bCs/>
              </w:rPr>
              <w:t>6,270</w:t>
            </w:r>
            <w:r>
              <w:rPr>
                <w:rFonts w:eastAsia="標楷體" w:hint="eastAsia"/>
                <w:bCs/>
              </w:rPr>
              <w:t>人。因</w:t>
            </w:r>
            <w:r>
              <w:rPr>
                <w:rFonts w:eastAsia="標楷體" w:hint="eastAsia"/>
                <w:bCs/>
              </w:rPr>
              <w:t>102</w:t>
            </w:r>
            <w:r>
              <w:rPr>
                <w:rFonts w:eastAsia="標楷體" w:hint="eastAsia"/>
                <w:bCs/>
              </w:rPr>
              <w:t>年度祥安專案執行成效良好，移民署為結合各國安團隊，以持續推動查緝行蹤不明外勞工作，該署於</w:t>
            </w:r>
            <w:r>
              <w:rPr>
                <w:rFonts w:eastAsia="標楷體" w:hint="eastAsia"/>
                <w:bCs/>
              </w:rPr>
              <w:t>103</w:t>
            </w:r>
            <w:r>
              <w:rPr>
                <w:rFonts w:eastAsia="標楷體" w:hint="eastAsia"/>
                <w:bCs/>
              </w:rPr>
              <w:t>年</w:t>
            </w:r>
            <w:r>
              <w:rPr>
                <w:rFonts w:eastAsia="標楷體" w:hint="eastAsia"/>
                <w:bCs/>
              </w:rPr>
              <w:t>1</w:t>
            </w:r>
            <w:r>
              <w:rPr>
                <w:rFonts w:eastAsia="標楷體" w:hint="eastAsia"/>
                <w:bCs/>
              </w:rPr>
              <w:t>月</w:t>
            </w:r>
            <w:r>
              <w:rPr>
                <w:rFonts w:eastAsia="標楷體" w:hint="eastAsia"/>
                <w:bCs/>
              </w:rPr>
              <w:t>20</w:t>
            </w:r>
            <w:r>
              <w:rPr>
                <w:rFonts w:eastAsia="標楷體" w:hint="eastAsia"/>
                <w:bCs/>
              </w:rPr>
              <w:t>日邀集勞動部及各國安團隊召開「祥安</w:t>
            </w:r>
            <w:r>
              <w:rPr>
                <w:rFonts w:eastAsia="標楷體" w:hint="eastAsia"/>
                <w:bCs/>
              </w:rPr>
              <w:t>2</w:t>
            </w:r>
            <w:r>
              <w:rPr>
                <w:rFonts w:eastAsia="標楷體" w:hint="eastAsia"/>
                <w:bCs/>
              </w:rPr>
              <w:t>號專案」第</w:t>
            </w:r>
            <w:r>
              <w:rPr>
                <w:rFonts w:eastAsia="標楷體" w:hint="eastAsia"/>
                <w:bCs/>
              </w:rPr>
              <w:t>1</w:t>
            </w:r>
            <w:r>
              <w:rPr>
                <w:rFonts w:eastAsia="標楷體" w:hint="eastAsia"/>
                <w:bCs/>
              </w:rPr>
              <w:t>次工作協調會討論</w:t>
            </w:r>
            <w:r>
              <w:rPr>
                <w:rFonts w:eastAsia="標楷體" w:hint="eastAsia"/>
                <w:bCs/>
              </w:rPr>
              <w:t>103</w:t>
            </w:r>
            <w:r>
              <w:rPr>
                <w:rFonts w:eastAsia="標楷體" w:hint="eastAsia"/>
                <w:bCs/>
              </w:rPr>
              <w:t>年度行蹤不明外勞查緝目標值及相關機制，惟其他各國安團隊因考量年底七合一選舉專案或有更重要專案任務必須執行，未能達成共識，致無法推動該專案工作。經移民署持續與各國安團隊進行溝通協調，終於</w:t>
            </w:r>
            <w:r>
              <w:rPr>
                <w:rFonts w:eastAsia="標楷體" w:hint="eastAsia"/>
                <w:bCs/>
              </w:rPr>
              <w:t>103</w:t>
            </w:r>
            <w:r>
              <w:rPr>
                <w:rFonts w:eastAsia="標楷體" w:hint="eastAsia"/>
                <w:bCs/>
              </w:rPr>
              <w:t>年</w:t>
            </w:r>
            <w:r>
              <w:rPr>
                <w:rFonts w:eastAsia="標楷體" w:hint="eastAsia"/>
                <w:bCs/>
              </w:rPr>
              <w:t>4</w:t>
            </w:r>
            <w:r>
              <w:rPr>
                <w:rFonts w:eastAsia="標楷體" w:hint="eastAsia"/>
                <w:bCs/>
              </w:rPr>
              <w:t>月</w:t>
            </w:r>
            <w:r>
              <w:rPr>
                <w:rFonts w:eastAsia="標楷體" w:hint="eastAsia"/>
                <w:bCs/>
              </w:rPr>
              <w:t>9</w:t>
            </w:r>
            <w:r>
              <w:rPr>
                <w:rFonts w:eastAsia="標楷體" w:hint="eastAsia"/>
                <w:bCs/>
              </w:rPr>
              <w:t>日與各國安團隊達成共識，由國安局賡續統合、指導協調各國安團隊共同執行「祥安</w:t>
            </w:r>
            <w:r>
              <w:rPr>
                <w:rFonts w:eastAsia="標楷體" w:hint="eastAsia"/>
                <w:bCs/>
              </w:rPr>
              <w:t>2</w:t>
            </w:r>
            <w:r>
              <w:rPr>
                <w:rFonts w:eastAsia="標楷體" w:hint="eastAsia"/>
                <w:bCs/>
              </w:rPr>
              <w:t>號專案工作」。自</w:t>
            </w:r>
            <w:r>
              <w:rPr>
                <w:rFonts w:eastAsia="標楷體" w:hint="eastAsia"/>
                <w:bCs/>
              </w:rPr>
              <w:t>103</w:t>
            </w:r>
            <w:r>
              <w:rPr>
                <w:rFonts w:eastAsia="標楷體" w:hint="eastAsia"/>
                <w:bCs/>
              </w:rPr>
              <w:t>年</w:t>
            </w:r>
            <w:r>
              <w:rPr>
                <w:rFonts w:eastAsia="標楷體" w:hint="eastAsia"/>
                <w:bCs/>
              </w:rPr>
              <w:t>4</w:t>
            </w:r>
            <w:r>
              <w:rPr>
                <w:rFonts w:eastAsia="標楷體" w:hint="eastAsia"/>
                <w:bCs/>
              </w:rPr>
              <w:t>月下旬開始，結合各縣市地方政府勞政機關及各國安團隊，針對行蹤不明外勞易聚集處所或非法工作處所，每個月進行</w:t>
            </w:r>
            <w:r>
              <w:rPr>
                <w:rFonts w:eastAsia="標楷體" w:hint="eastAsia"/>
                <w:bCs/>
              </w:rPr>
              <w:t>2</w:t>
            </w:r>
            <w:r>
              <w:rPr>
                <w:rFonts w:eastAsia="標楷體" w:hint="eastAsia"/>
                <w:bCs/>
              </w:rPr>
              <w:t>次聯合查察工作，以加強查緝行蹤不明外勞、非法雇主、非法仲介，維護國家安全。另移民署將每</w:t>
            </w:r>
            <w:r>
              <w:rPr>
                <w:rFonts w:eastAsia="標楷體" w:hint="eastAsia"/>
                <w:bCs/>
              </w:rPr>
              <w:t>2</w:t>
            </w:r>
            <w:r>
              <w:rPr>
                <w:rFonts w:eastAsia="標楷體" w:hint="eastAsia"/>
                <w:bCs/>
              </w:rPr>
              <w:t>個月定期邀集勞動部及各國安團隊召開祥安</w:t>
            </w:r>
            <w:r>
              <w:rPr>
                <w:rFonts w:eastAsia="標楷體" w:hint="eastAsia"/>
                <w:bCs/>
              </w:rPr>
              <w:t>2</w:t>
            </w:r>
            <w:r>
              <w:rPr>
                <w:rFonts w:eastAsia="標楷體" w:hint="eastAsia"/>
                <w:bCs/>
              </w:rPr>
              <w:t>號專案工作協調會，以加強橫向聯繫及情資交換。勞動部亦將賡續要求地方政府積極配合聯合查察行動，如有發現違反就業服務法相關規定之情事，儘速依法核處。</w:t>
            </w: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內政及少數民族、財政及經濟委員會103.11.06第5屆第4次聯席會議決議 : 結案存查。</w:t>
            </w:r>
          </w:p>
        </w:tc>
      </w:tr>
    </w:tbl>
    <w:p w:rsidR="008E6A2A" w:rsidRPr="00C97125" w:rsidRDefault="008E6A2A" w:rsidP="00B80D60">
      <w:pPr>
        <w:snapToGrid w:val="0"/>
        <w:spacing w:beforeLines="100" w:before="360" w:line="240" w:lineRule="atLeast"/>
        <w:ind w:leftChars="6" w:left="866" w:hangingChars="304" w:hanging="852"/>
        <w:rPr>
          <w:rFonts w:eastAsia="標楷體"/>
          <w:b/>
          <w:bCs/>
          <w:sz w:val="28"/>
        </w:rPr>
      </w:pPr>
      <w:bookmarkStart w:id="0" w:name="_GoBack"/>
      <w:bookmarkEnd w:id="0"/>
    </w:p>
    <w:sectPr w:rsidR="008E6A2A" w:rsidRPr="00C97125"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25" w:rsidRDefault="00CF2125" w:rsidP="008E6A2A">
      <w:r>
        <w:separator/>
      </w:r>
    </w:p>
  </w:endnote>
  <w:endnote w:type="continuationSeparator" w:id="0">
    <w:p w:rsidR="00CF2125" w:rsidRDefault="00CF2125"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2A" w:rsidRDefault="00205167">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2A" w:rsidRPr="00530BF4" w:rsidRDefault="008E6A2A" w:rsidP="00530BF4">
    <w:pPr>
      <w:pStyle w:val="a9"/>
      <w:tabs>
        <w:tab w:val="clear" w:pos="4153"/>
        <w:tab w:val="clear" w:pos="8306"/>
        <w:tab w:val="center" w:pos="7002"/>
        <w:tab w:val="right" w:pos="14004"/>
      </w:tabs>
      <w:ind w:right="360"/>
      <w:rPr>
        <w:rFonts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25" w:rsidRDefault="00CF2125" w:rsidP="008E6A2A">
      <w:r>
        <w:separator/>
      </w:r>
    </w:p>
  </w:footnote>
  <w:footnote w:type="continuationSeparator" w:id="0">
    <w:p w:rsidR="00CF2125" w:rsidRDefault="00CF2125"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05167"/>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97125"/>
    <w:rsid w:val="00CB2E8C"/>
    <w:rsid w:val="00CC2941"/>
    <w:rsid w:val="00CC4AAE"/>
    <w:rsid w:val="00CD3A33"/>
    <w:rsid w:val="00CF2125"/>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D7EC9-EA2D-4665-90D3-92DBA03B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監察院</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曾莉雯</cp:lastModifiedBy>
  <cp:revision>2</cp:revision>
  <cp:lastPrinted>2010-06-29T02:42:00Z</cp:lastPrinted>
  <dcterms:created xsi:type="dcterms:W3CDTF">2021-05-31T01:26:00Z</dcterms:created>
  <dcterms:modified xsi:type="dcterms:W3CDTF">2021-05-31T01:26:00Z</dcterms:modified>
</cp:coreProperties>
</file>