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100</w:t>
            </w:r>
            <w:r>
              <w:rPr>
                <w:rFonts w:eastAsia="標楷體" w:hint="eastAsia"/>
                <w:bCs/>
                <w:szCs w:val="28"/>
              </w:rPr>
              <w:t>內調</w:t>
            </w:r>
            <w:r>
              <w:rPr>
                <w:rFonts w:eastAsia="標楷體" w:hint="eastAsia"/>
                <w:bCs/>
                <w:szCs w:val="28"/>
              </w:rPr>
              <w:t>0094</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我國長照十年計畫整體服務量占老年失能人口涵蓋率，已由</w:t>
            </w:r>
            <w:r>
              <w:rPr>
                <w:rFonts w:eastAsia="標楷體" w:hint="eastAsia"/>
                <w:bCs/>
              </w:rPr>
              <w:t>97</w:t>
            </w:r>
            <w:r>
              <w:rPr>
                <w:rFonts w:eastAsia="標楷體" w:hint="eastAsia"/>
                <w:bCs/>
              </w:rPr>
              <w:t>年該計畫實施初之</w:t>
            </w:r>
            <w:r>
              <w:rPr>
                <w:rFonts w:eastAsia="標楷體" w:hint="eastAsia"/>
                <w:bCs/>
              </w:rPr>
              <w:t>2.3%</w:t>
            </w:r>
            <w:r>
              <w:rPr>
                <w:rFonts w:eastAsia="標楷體" w:hint="eastAsia"/>
                <w:bCs/>
              </w:rPr>
              <w:t>，提高至</w:t>
            </w:r>
            <w:r>
              <w:rPr>
                <w:rFonts w:eastAsia="標楷體" w:hint="eastAsia"/>
                <w:bCs/>
              </w:rPr>
              <w:t>102</w:t>
            </w:r>
            <w:r>
              <w:rPr>
                <w:rFonts w:eastAsia="標楷體" w:hint="eastAsia"/>
                <w:bCs/>
              </w:rPr>
              <w:t>年底的</w:t>
            </w:r>
            <w:r>
              <w:rPr>
                <w:rFonts w:eastAsia="標楷體" w:hint="eastAsia"/>
                <w:bCs/>
              </w:rPr>
              <w:t>31.8%</w:t>
            </w:r>
            <w:r>
              <w:rPr>
                <w:rFonts w:eastAsia="標楷體" w:hint="eastAsia"/>
                <w:bCs/>
              </w:rPr>
              <w:t>；且</w:t>
            </w:r>
            <w:r>
              <w:rPr>
                <w:rFonts w:eastAsia="標楷體" w:hint="eastAsia"/>
                <w:bCs/>
              </w:rPr>
              <w:t>102</w:t>
            </w:r>
            <w:r>
              <w:rPr>
                <w:rFonts w:eastAsia="標楷體" w:hint="eastAsia"/>
                <w:bCs/>
              </w:rPr>
              <w:t>年各地方長照服務提供單位數，相較</w:t>
            </w:r>
            <w:r>
              <w:rPr>
                <w:rFonts w:eastAsia="標楷體" w:hint="eastAsia"/>
                <w:bCs/>
              </w:rPr>
              <w:t>101</w:t>
            </w:r>
            <w:r>
              <w:rPr>
                <w:rFonts w:eastAsia="標楷體" w:hint="eastAsia"/>
                <w:bCs/>
              </w:rPr>
              <w:t>年</w:t>
            </w:r>
            <w:r>
              <w:rPr>
                <w:rFonts w:eastAsia="標楷體" w:hint="eastAsia"/>
                <w:bCs/>
              </w:rPr>
              <w:t>468</w:t>
            </w:r>
            <w:r>
              <w:rPr>
                <w:rFonts w:eastAsia="標楷體" w:hint="eastAsia"/>
                <w:bCs/>
              </w:rPr>
              <w:t>個單位，業增加為</w:t>
            </w:r>
            <w:r>
              <w:rPr>
                <w:rFonts w:eastAsia="標楷體" w:hint="eastAsia"/>
                <w:bCs/>
              </w:rPr>
              <w:t>532</w:t>
            </w:r>
            <w:r>
              <w:rPr>
                <w:rFonts w:eastAsia="標楷體" w:hint="eastAsia"/>
                <w:bCs/>
              </w:rPr>
              <w:t>個。行政院並於</w:t>
            </w:r>
            <w:r>
              <w:rPr>
                <w:rFonts w:eastAsia="標楷體" w:hint="eastAsia"/>
                <w:bCs/>
              </w:rPr>
              <w:t>102</w:t>
            </w:r>
            <w:r>
              <w:rPr>
                <w:rFonts w:eastAsia="標楷體" w:hint="eastAsia"/>
                <w:bCs/>
              </w:rPr>
              <w:t>年</w:t>
            </w:r>
            <w:r>
              <w:rPr>
                <w:rFonts w:eastAsia="標楷體" w:hint="eastAsia"/>
                <w:bCs/>
              </w:rPr>
              <w:t>11</w:t>
            </w:r>
            <w:r>
              <w:rPr>
                <w:rFonts w:eastAsia="標楷體" w:hint="eastAsia"/>
                <w:bCs/>
              </w:rPr>
              <w:t>月</w:t>
            </w:r>
            <w:r>
              <w:rPr>
                <w:rFonts w:eastAsia="標楷體" w:hint="eastAsia"/>
                <w:bCs/>
              </w:rPr>
              <w:t>26</w:t>
            </w:r>
            <w:r>
              <w:rPr>
                <w:rFonts w:eastAsia="標楷體" w:hint="eastAsia"/>
                <w:bCs/>
              </w:rPr>
              <w:t>日核定「長期照護服務網計畫</w:t>
            </w:r>
            <w:r>
              <w:rPr>
                <w:rFonts w:eastAsia="標楷體" w:hint="eastAsia"/>
                <w:bCs/>
              </w:rPr>
              <w:t>(</w:t>
            </w:r>
            <w:r>
              <w:rPr>
                <w:rFonts w:eastAsia="標楷體" w:hint="eastAsia"/>
                <w:bCs/>
              </w:rPr>
              <w:t>第一期</w:t>
            </w:r>
            <w:r>
              <w:rPr>
                <w:rFonts w:eastAsia="標楷體" w:hint="eastAsia"/>
                <w:bCs/>
              </w:rPr>
              <w:t>)</w:t>
            </w:r>
            <w:r>
              <w:rPr>
                <w:rFonts w:eastAsia="標楷體" w:hint="eastAsia"/>
                <w:bCs/>
              </w:rPr>
              <w:t>－</w:t>
            </w:r>
            <w:r>
              <w:rPr>
                <w:rFonts w:eastAsia="標楷體" w:hint="eastAsia"/>
                <w:bCs/>
              </w:rPr>
              <w:t>102</w:t>
            </w:r>
            <w:r>
              <w:rPr>
                <w:rFonts w:eastAsia="標楷體" w:hint="eastAsia"/>
                <w:bCs/>
              </w:rPr>
              <w:t>年至</w:t>
            </w:r>
            <w:r>
              <w:rPr>
                <w:rFonts w:eastAsia="標楷體" w:hint="eastAsia"/>
                <w:bCs/>
              </w:rPr>
              <w:t>105</w:t>
            </w:r>
            <w:r>
              <w:rPr>
                <w:rFonts w:eastAsia="標楷體" w:hint="eastAsia"/>
                <w:bCs/>
              </w:rPr>
              <w:t>年」，建置更普及式之長照服務網絡。</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前衛生署已於</w:t>
            </w:r>
            <w:r>
              <w:rPr>
                <w:rFonts w:eastAsia="標楷體" w:hint="eastAsia"/>
                <w:bCs/>
              </w:rPr>
              <w:t>101</w:t>
            </w:r>
            <w:r>
              <w:rPr>
                <w:rFonts w:eastAsia="標楷體" w:hint="eastAsia"/>
                <w:bCs/>
              </w:rPr>
              <w:t>年</w:t>
            </w:r>
            <w:r>
              <w:rPr>
                <w:rFonts w:eastAsia="標楷體" w:hint="eastAsia"/>
                <w:bCs/>
              </w:rPr>
              <w:t>12</w:t>
            </w:r>
            <w:r>
              <w:rPr>
                <w:rFonts w:eastAsia="標楷體" w:hint="eastAsia"/>
                <w:bCs/>
              </w:rPr>
              <w:t>月</w:t>
            </w:r>
            <w:r>
              <w:rPr>
                <w:rFonts w:eastAsia="標楷體" w:hint="eastAsia"/>
                <w:bCs/>
              </w:rPr>
              <w:t>21</w:t>
            </w:r>
            <w:r>
              <w:rPr>
                <w:rFonts w:eastAsia="標楷體" w:hint="eastAsia"/>
                <w:bCs/>
              </w:rPr>
              <w:t>日函請相關醫院協會轉知所屬會員，即日起教學醫院應於民眾服務區提供「預立選擇安寧緩和醫療意願書」及「醫療委任代理人委任書」等二種表單，主動向門診病人說明。另為落實該署請各衛生局督導轄區醫學中心及區域醫院是否設置安寧緩和醫療宣導簽署窗口，納入</w:t>
            </w:r>
            <w:r>
              <w:rPr>
                <w:rFonts w:eastAsia="標楷體" w:hint="eastAsia"/>
                <w:bCs/>
              </w:rPr>
              <w:t>102</w:t>
            </w:r>
            <w:r>
              <w:rPr>
                <w:rFonts w:eastAsia="標楷體" w:hint="eastAsia"/>
                <w:bCs/>
              </w:rPr>
              <w:t>年度地方衛生局業務考評項目。各衛生局轄內醫院設置之安寧緩和醫療宣導簽署窗口，已辦理生命末期臨終照護意願徵詢相關訓練課程</w:t>
            </w:r>
            <w:r>
              <w:rPr>
                <w:rFonts w:eastAsia="標楷體" w:hint="eastAsia"/>
                <w:bCs/>
              </w:rPr>
              <w:t>34</w:t>
            </w:r>
            <w:r>
              <w:rPr>
                <w:rFonts w:eastAsia="標楷體" w:hint="eastAsia"/>
                <w:bCs/>
              </w:rPr>
              <w:t>場</w:t>
            </w:r>
            <w:r>
              <w:rPr>
                <w:rFonts w:eastAsia="標楷體" w:hint="eastAsia"/>
                <w:bCs/>
              </w:rPr>
              <w:t>(</w:t>
            </w:r>
            <w:r>
              <w:rPr>
                <w:rFonts w:eastAsia="標楷體" w:hint="eastAsia"/>
                <w:bCs/>
              </w:rPr>
              <w:t>計</w:t>
            </w:r>
            <w:r>
              <w:rPr>
                <w:rFonts w:eastAsia="標楷體" w:hint="eastAsia"/>
                <w:bCs/>
              </w:rPr>
              <w:t>24030</w:t>
            </w:r>
            <w:r>
              <w:rPr>
                <w:rFonts w:eastAsia="標楷體" w:hint="eastAsia"/>
                <w:bCs/>
              </w:rPr>
              <w:t>人次參加</w:t>
            </w:r>
            <w:r>
              <w:rPr>
                <w:rFonts w:eastAsia="標楷體" w:hint="eastAsia"/>
                <w:bCs/>
              </w:rPr>
              <w:t>)</w:t>
            </w:r>
            <w:r>
              <w:rPr>
                <w:rFonts w:eastAsia="標楷體" w:hint="eastAsia"/>
                <w:bCs/>
              </w:rPr>
              <w:t>，以加強醫護人員安寧緩和醫療認知並落實執行。</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3.</w:t>
            </w:r>
            <w:r>
              <w:rPr>
                <w:rFonts w:eastAsia="標楷體" w:hint="eastAsia"/>
                <w:bCs/>
              </w:rPr>
              <w:t>衛福部業自</w:t>
            </w:r>
            <w:r>
              <w:rPr>
                <w:rFonts w:eastAsia="標楷體" w:hint="eastAsia"/>
                <w:bCs/>
              </w:rPr>
              <w:t>102</w:t>
            </w:r>
            <w:r>
              <w:rPr>
                <w:rFonts w:eastAsia="標楷體" w:hint="eastAsia"/>
                <w:bCs/>
              </w:rPr>
              <w:t>年</w:t>
            </w:r>
            <w:r>
              <w:rPr>
                <w:rFonts w:eastAsia="標楷體" w:hint="eastAsia"/>
                <w:bCs/>
              </w:rPr>
              <w:t>11</w:t>
            </w:r>
            <w:r>
              <w:rPr>
                <w:rFonts w:eastAsia="標楷體" w:hint="eastAsia"/>
                <w:bCs/>
              </w:rPr>
              <w:t>月起陸續將註記結果，採用簡訊或回郵通知方式告知簽署人，避免非民眾本人或誤用他人資料。</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4.</w:t>
            </w:r>
            <w:r>
              <w:rPr>
                <w:rFonts w:eastAsia="標楷體" w:hint="eastAsia"/>
                <w:bCs/>
              </w:rPr>
              <w:t>為讓醫療機構執行撤除、終止心肺復甦術，前衛生署於</w:t>
            </w:r>
            <w:r>
              <w:rPr>
                <w:rFonts w:eastAsia="標楷體" w:hint="eastAsia"/>
                <w:bCs/>
              </w:rPr>
              <w:t>100</w:t>
            </w:r>
            <w:r>
              <w:rPr>
                <w:rFonts w:eastAsia="標楷體" w:hint="eastAsia"/>
                <w:bCs/>
              </w:rPr>
              <w:t>年委託台灣安寧緩和護理學會訂定「撤除或終止維生醫療作業參考指引」，已於</w:t>
            </w:r>
            <w:r>
              <w:rPr>
                <w:rFonts w:eastAsia="標楷體" w:hint="eastAsia"/>
                <w:bCs/>
              </w:rPr>
              <w:t>101</w:t>
            </w:r>
            <w:r>
              <w:rPr>
                <w:rFonts w:eastAsia="標楷體" w:hint="eastAsia"/>
                <w:bCs/>
              </w:rPr>
              <w:t>年</w:t>
            </w:r>
            <w:r>
              <w:rPr>
                <w:rFonts w:eastAsia="標楷體" w:hint="eastAsia"/>
                <w:bCs/>
              </w:rPr>
              <w:t>2</w:t>
            </w:r>
            <w:r>
              <w:rPr>
                <w:rFonts w:eastAsia="標楷體" w:hint="eastAsia"/>
                <w:bCs/>
              </w:rPr>
              <w:t>月</w:t>
            </w:r>
            <w:r>
              <w:rPr>
                <w:rFonts w:eastAsia="標楷體" w:hint="eastAsia"/>
                <w:bCs/>
              </w:rPr>
              <w:t>10</w:t>
            </w:r>
            <w:r>
              <w:rPr>
                <w:rFonts w:eastAsia="標楷體" w:hint="eastAsia"/>
                <w:bCs/>
              </w:rPr>
              <w:t>日完成。另該指引之宣導措施有：</w:t>
            </w:r>
            <w:r>
              <w:rPr>
                <w:rFonts w:eastAsia="標楷體" w:hint="eastAsia"/>
                <w:bCs/>
              </w:rPr>
              <w:t>103</w:t>
            </w:r>
            <w:r>
              <w:rPr>
                <w:rFonts w:eastAsia="標楷體" w:hint="eastAsia"/>
                <w:bCs/>
              </w:rPr>
              <w:t>年</w:t>
            </w:r>
            <w:r>
              <w:rPr>
                <w:rFonts w:eastAsia="標楷體" w:hint="eastAsia"/>
                <w:bCs/>
              </w:rPr>
              <w:t>5</w:t>
            </w:r>
            <w:r>
              <w:rPr>
                <w:rFonts w:eastAsia="標楷體" w:hint="eastAsia"/>
                <w:bCs/>
              </w:rPr>
              <w:t>月委託台灣安寧照顧協會出版「醫療機構施行安寧緩和醫療作業案例集」於書店展售、發行該案例集電子書供民眾查詢、</w:t>
            </w:r>
            <w:r>
              <w:rPr>
                <w:rFonts w:eastAsia="標楷體" w:hint="eastAsia"/>
                <w:bCs/>
              </w:rPr>
              <w:t>103</w:t>
            </w:r>
            <w:r>
              <w:rPr>
                <w:rFonts w:eastAsia="標楷體" w:hint="eastAsia"/>
                <w:bCs/>
              </w:rPr>
              <w:t>年各縣市政府衛生局辦理生命末期臨終照護意願徵詢醫事人員教育訓練</w:t>
            </w:r>
            <w:r>
              <w:rPr>
                <w:rFonts w:eastAsia="標楷體" w:hint="eastAsia"/>
                <w:bCs/>
              </w:rPr>
              <w:t>55</w:t>
            </w:r>
            <w:r>
              <w:rPr>
                <w:rFonts w:eastAsia="標楷體" w:hint="eastAsia"/>
                <w:bCs/>
              </w:rPr>
              <w:t>場</w:t>
            </w:r>
            <w:r>
              <w:rPr>
                <w:rFonts w:eastAsia="標楷體" w:hint="eastAsia"/>
                <w:bCs/>
              </w:rPr>
              <w:t>(</w:t>
            </w:r>
            <w:r>
              <w:rPr>
                <w:rFonts w:eastAsia="標楷體" w:hint="eastAsia"/>
                <w:bCs/>
              </w:rPr>
              <w:t>共</w:t>
            </w:r>
            <w:r>
              <w:rPr>
                <w:rFonts w:eastAsia="標楷體" w:hint="eastAsia"/>
                <w:bCs/>
              </w:rPr>
              <w:t>5</w:t>
            </w:r>
            <w:r>
              <w:rPr>
                <w:rFonts w:eastAsia="標楷體" w:hint="eastAsia"/>
                <w:bCs/>
              </w:rPr>
              <w:t>萬</w:t>
            </w:r>
            <w:r>
              <w:rPr>
                <w:rFonts w:eastAsia="標楷體" w:hint="eastAsia"/>
                <w:bCs/>
              </w:rPr>
              <w:t>4,378</w:t>
            </w:r>
            <w:r>
              <w:rPr>
                <w:rFonts w:eastAsia="標楷體" w:hint="eastAsia"/>
                <w:bCs/>
              </w:rPr>
              <w:t>人次參加</w:t>
            </w:r>
            <w:r>
              <w:rPr>
                <w:rFonts w:eastAsia="標楷體" w:hint="eastAsia"/>
                <w:bCs/>
              </w:rPr>
              <w:t>)</w:t>
            </w:r>
            <w:r>
              <w:rPr>
                <w:rFonts w:eastAsia="標楷體" w:hint="eastAsia"/>
                <w:bCs/>
              </w:rPr>
              <w:t>、</w:t>
            </w:r>
            <w:r>
              <w:rPr>
                <w:rFonts w:eastAsia="標楷體" w:hint="eastAsia"/>
                <w:bCs/>
              </w:rPr>
              <w:t xml:space="preserve">103 </w:t>
            </w:r>
            <w:r>
              <w:rPr>
                <w:rFonts w:eastAsia="標楷體" w:hint="eastAsia"/>
                <w:bCs/>
              </w:rPr>
              <w:t>年「醫院癌症醫療品質提升計畫」將安寧緩和醫療在職教育及病情告知等納入計畫工作重點、</w:t>
            </w:r>
            <w:r>
              <w:rPr>
                <w:rFonts w:eastAsia="標楷體" w:hint="eastAsia"/>
                <w:bCs/>
              </w:rPr>
              <w:t>103</w:t>
            </w:r>
            <w:r>
              <w:rPr>
                <w:rFonts w:eastAsia="標楷體" w:hint="eastAsia"/>
                <w:bCs/>
              </w:rPr>
              <w:t>年各地方衛生局辦理安寧緩和醫療教育宣導活動，醫療專業課程訓練計</w:t>
            </w:r>
            <w:r>
              <w:rPr>
                <w:rFonts w:eastAsia="標楷體" w:hint="eastAsia"/>
                <w:bCs/>
              </w:rPr>
              <w:t>33</w:t>
            </w:r>
            <w:r>
              <w:rPr>
                <w:rFonts w:eastAsia="標楷體" w:hint="eastAsia"/>
                <w:bCs/>
              </w:rPr>
              <w:t>場次（</w:t>
            </w:r>
            <w:r>
              <w:rPr>
                <w:rFonts w:eastAsia="標楷體" w:hint="eastAsia"/>
                <w:bCs/>
              </w:rPr>
              <w:t>3470</w:t>
            </w:r>
            <w:r>
              <w:rPr>
                <w:rFonts w:eastAsia="標楷體" w:hint="eastAsia"/>
                <w:bCs/>
              </w:rPr>
              <w:t>人次參與），社區民眾宣導計</w:t>
            </w:r>
            <w:r>
              <w:rPr>
                <w:rFonts w:eastAsia="標楷體" w:hint="eastAsia"/>
                <w:bCs/>
              </w:rPr>
              <w:t>108</w:t>
            </w:r>
            <w:r>
              <w:rPr>
                <w:rFonts w:eastAsia="標楷體" w:hint="eastAsia"/>
                <w:bCs/>
              </w:rPr>
              <w:t>場次</w:t>
            </w:r>
            <w:r>
              <w:rPr>
                <w:rFonts w:eastAsia="標楷體" w:hint="eastAsia"/>
                <w:bCs/>
              </w:rPr>
              <w:t>(5645</w:t>
            </w:r>
            <w:r>
              <w:rPr>
                <w:rFonts w:eastAsia="標楷體" w:hint="eastAsia"/>
                <w:bCs/>
              </w:rPr>
              <w:t>人次參與</w:t>
            </w:r>
            <w:r>
              <w:rPr>
                <w:rFonts w:eastAsia="標楷體" w:hint="eastAsia"/>
                <w:bCs/>
              </w:rPr>
              <w:t>)</w:t>
            </w:r>
            <w:r>
              <w:rPr>
                <w:rFonts w:eastAsia="標楷體" w:hint="eastAsia"/>
                <w:bCs/>
              </w:rPr>
              <w:t>，戶外民眾宣導計</w:t>
            </w:r>
            <w:r>
              <w:rPr>
                <w:rFonts w:eastAsia="標楷體" w:hint="eastAsia"/>
                <w:bCs/>
              </w:rPr>
              <w:t>48</w:t>
            </w:r>
            <w:r>
              <w:rPr>
                <w:rFonts w:eastAsia="標楷體" w:hint="eastAsia"/>
                <w:bCs/>
              </w:rPr>
              <w:t>場次</w:t>
            </w:r>
            <w:r>
              <w:rPr>
                <w:rFonts w:eastAsia="標楷體" w:hint="eastAsia"/>
                <w:bCs/>
              </w:rPr>
              <w:t>(24860</w:t>
            </w:r>
            <w:r>
              <w:rPr>
                <w:rFonts w:eastAsia="標楷體" w:hint="eastAsia"/>
                <w:bCs/>
              </w:rPr>
              <w:t>人次參與</w:t>
            </w:r>
            <w:r>
              <w:rPr>
                <w:rFonts w:eastAsia="標楷體" w:hint="eastAsia"/>
                <w:bCs/>
              </w:rPr>
              <w:t>)</w:t>
            </w:r>
            <w:r>
              <w:rPr>
                <w:rFonts w:eastAsia="標楷體" w:hint="eastAsia"/>
                <w:bCs/>
              </w:rPr>
              <w:t>、</w:t>
            </w:r>
            <w:r>
              <w:rPr>
                <w:rFonts w:eastAsia="標楷體" w:hint="eastAsia"/>
                <w:bCs/>
              </w:rPr>
              <w:t>104</w:t>
            </w:r>
            <w:r>
              <w:rPr>
                <w:rFonts w:eastAsia="標楷體" w:hint="eastAsia"/>
                <w:bCs/>
              </w:rPr>
              <w:t>年已委託台灣安寧照顧協</w:t>
            </w:r>
            <w:r>
              <w:rPr>
                <w:rFonts w:eastAsia="標楷體" w:hint="eastAsia"/>
                <w:bCs/>
              </w:rPr>
              <w:lastRenderedPageBreak/>
              <w:t>會拍攝安寧緩和醫療推廣影片，作為民眾衛教宣導使用。</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◆促成法令增修績效</w:t>
            </w:r>
          </w:p>
          <w:p w:rsidR="00FF343B" w:rsidRPr="0078237E" w:rsidRDefault="007336A7" w:rsidP="00440949">
            <w:pPr>
              <w:spacing w:line="360" w:lineRule="atLeast"/>
              <w:jc w:val="both"/>
              <w:rPr>
                <w:rFonts w:eastAsia="標楷體"/>
                <w:bCs/>
                <w:szCs w:val="28"/>
              </w:rPr>
            </w:pPr>
            <w:r>
              <w:rPr>
                <w:rFonts w:eastAsia="標楷體" w:hint="eastAsia"/>
                <w:bCs/>
              </w:rPr>
              <w:t>安寧緩和醫療條例部分條文修正案，業經總統於</w:t>
            </w:r>
            <w:r>
              <w:rPr>
                <w:rFonts w:eastAsia="標楷體" w:hint="eastAsia"/>
                <w:bCs/>
              </w:rPr>
              <w:t>102</w:t>
            </w:r>
            <w:r>
              <w:rPr>
                <w:rFonts w:eastAsia="標楷體" w:hint="eastAsia"/>
                <w:bCs/>
              </w:rPr>
              <w:t>年</w:t>
            </w:r>
            <w:r>
              <w:rPr>
                <w:rFonts w:eastAsia="標楷體" w:hint="eastAsia"/>
                <w:bCs/>
              </w:rPr>
              <w:t>1</w:t>
            </w:r>
            <w:r>
              <w:rPr>
                <w:rFonts w:eastAsia="標楷體" w:hint="eastAsia"/>
                <w:bCs/>
              </w:rPr>
              <w:t>月</w:t>
            </w:r>
            <w:r>
              <w:rPr>
                <w:rFonts w:eastAsia="標楷體" w:hint="eastAsia"/>
                <w:bCs/>
              </w:rPr>
              <w:t>9</w:t>
            </w:r>
            <w:r>
              <w:rPr>
                <w:rFonts w:eastAsia="標楷體" w:hint="eastAsia"/>
                <w:bCs/>
              </w:rPr>
              <w:t>日公布施行，修正案重點如下：</w:t>
            </w:r>
            <w:r>
              <w:rPr>
                <w:rFonts w:eastAsia="標楷體" w:hint="eastAsia"/>
                <w:bCs/>
              </w:rPr>
              <w:t>(1)</w:t>
            </w:r>
            <w:r>
              <w:rPr>
                <w:rFonts w:eastAsia="標楷體" w:hint="eastAsia"/>
                <w:bCs/>
              </w:rPr>
              <w:t>將安寧緩和醫療、不施行心肺復甦術及不予維生醫療三者分別定義。</w:t>
            </w:r>
            <w:r>
              <w:rPr>
                <w:rFonts w:eastAsia="標楷體" w:hint="eastAsia"/>
                <w:bCs/>
              </w:rPr>
              <w:t>(2)</w:t>
            </w:r>
            <w:r>
              <w:rPr>
                <w:rFonts w:eastAsia="標楷體" w:hint="eastAsia"/>
                <w:bCs/>
              </w:rPr>
              <w:t>最近親屬未能及時於醫師施行心肺復甦術前，簽署同意書，原施予末期病人之心肺復甦術，得由最近親屬</w:t>
            </w:r>
            <w:r>
              <w:rPr>
                <w:rFonts w:eastAsia="標楷體" w:hint="eastAsia"/>
                <w:bCs/>
              </w:rPr>
              <w:t>1</w:t>
            </w:r>
            <w:r>
              <w:rPr>
                <w:rFonts w:eastAsia="標楷體" w:hint="eastAsia"/>
                <w:bCs/>
              </w:rPr>
              <w:t>人簽署同意書即可執行終止或撤除心肺復甦術。但不得違背病人昏迷前的意願。</w:t>
            </w:r>
            <w:r>
              <w:rPr>
                <w:rFonts w:eastAsia="標楷體" w:hint="eastAsia"/>
                <w:bCs/>
              </w:rPr>
              <w:t>(3)</w:t>
            </w:r>
            <w:r>
              <w:rPr>
                <w:rFonts w:eastAsia="標楷體" w:hint="eastAsia"/>
                <w:bCs/>
              </w:rPr>
              <w:t>無最近親屬者，應經安寧緩和醫療照會後，依末期病人最大利益出具醫囑代替之。同意書或醫囑均不得與末期病人於意識昏迷或無法清楚表達意願前明示之意思表示相反。至此，安寧緩和醫療條例對於事先未預立醫療委任代理人，亦無最近親屬之末期病人，已有終止或撤除心肺復甦術之處理機制。</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內政及少數民族、財政及經濟委員會104.07.09第5屆第12次聯席會議決議 : 結案存查。</w:t>
            </w:r>
          </w:p>
        </w:tc>
      </w:tr>
    </w:tbl>
    <w:p w:rsidR="008E6A2A" w:rsidRDefault="008E6A2A" w:rsidP="00862CB7">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FD" w:rsidRDefault="001E71FD" w:rsidP="008E6A2A">
      <w:r>
        <w:separator/>
      </w:r>
    </w:p>
  </w:endnote>
  <w:endnote w:type="continuationSeparator" w:id="0">
    <w:p w:rsidR="001E71FD" w:rsidRDefault="001E71FD"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575B91">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575B91" w:rsidRPr="00530BF4">
      <w:rPr>
        <w:rFonts w:eastAsia="標楷體"/>
      </w:rPr>
      <w:fldChar w:fldCharType="begin"/>
    </w:r>
    <w:r w:rsidRPr="00530BF4">
      <w:rPr>
        <w:rFonts w:eastAsia="標楷體"/>
      </w:rPr>
      <w:instrText xml:space="preserve"> PAGE   \* MERGEFORMAT </w:instrText>
    </w:r>
    <w:r w:rsidR="00575B91" w:rsidRPr="00530BF4">
      <w:rPr>
        <w:rFonts w:eastAsia="標楷體"/>
      </w:rPr>
      <w:fldChar w:fldCharType="separate"/>
    </w:r>
    <w:r w:rsidR="009F31F6">
      <w:rPr>
        <w:rFonts w:eastAsia="標楷體"/>
        <w:noProof/>
      </w:rPr>
      <w:t>2</w:t>
    </w:r>
    <w:r w:rsidR="00575B91" w:rsidRPr="00530BF4">
      <w:rPr>
        <w:rFonts w:eastAsia="標楷體"/>
      </w:rPr>
      <w:fldChar w:fldCharType="end"/>
    </w:r>
    <w:r w:rsidRPr="00530BF4">
      <w:rPr>
        <w:rFonts w:eastAsia="標楷體" w:hint="eastAsia"/>
      </w:rPr>
      <w:t>頁，共</w:t>
    </w:r>
    <w:r w:rsidR="00575B91" w:rsidRPr="00575B91">
      <w:rPr>
        <w:rFonts w:eastAsia="標楷體"/>
        <w:noProof/>
      </w:rPr>
      <w:fldChar w:fldCharType="begin"/>
    </w:r>
    <w:r w:rsidR="00575B91" w:rsidRPr="00575B91">
      <w:rPr>
        <w:rFonts w:eastAsia="標楷體"/>
        <w:noProof/>
      </w:rPr>
      <w:instrText xml:space="preserve"> NUMPAGES  \* Arabic  \* MERGEFORMAT </w:instrText>
    </w:r>
    <w:r w:rsidR="00575B91" w:rsidRPr="00575B91">
      <w:rPr>
        <w:rFonts w:eastAsia="標楷體"/>
        <w:noProof/>
      </w:rPr>
      <w:fldChar w:fldCharType="separate"/>
    </w:r>
    <w:r w:rsidR="009F31F6">
      <w:rPr>
        <w:rFonts w:eastAsia="標楷體"/>
        <w:noProof/>
      </w:rPr>
      <w:t>2</w:t>
    </w:r>
    <w:r w:rsidR="00575B91" w:rsidRPr="00575B91">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110/05/21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FD" w:rsidRDefault="001E71FD" w:rsidP="008E6A2A">
      <w:r>
        <w:separator/>
      </w:r>
    </w:p>
  </w:footnote>
  <w:footnote w:type="continuationSeparator" w:id="0">
    <w:p w:rsidR="001E71FD" w:rsidRDefault="001E71FD"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E71FD"/>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75B91"/>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2CB7"/>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31F6"/>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監察院</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3</cp:revision>
  <cp:lastPrinted>2021-05-21T04:00:00Z</cp:lastPrinted>
  <dcterms:created xsi:type="dcterms:W3CDTF">2021-05-21T03:48:00Z</dcterms:created>
  <dcterms:modified xsi:type="dcterms:W3CDTF">2021-05-21T04:00:00Z</dcterms:modified>
</cp:coreProperties>
</file>