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293770" w:rsidRDefault="00D75644" w:rsidP="00F37D7B">
      <w:pPr>
        <w:pStyle w:val="af2"/>
        <w:rPr>
          <w:rFonts w:hAnsi="標楷體"/>
          <w:szCs w:val="32"/>
        </w:rPr>
      </w:pPr>
      <w:r w:rsidRPr="00293770">
        <w:rPr>
          <w:rFonts w:hAnsi="標楷體" w:hint="eastAsia"/>
          <w:szCs w:val="32"/>
        </w:rPr>
        <w:t>調查報告</w:t>
      </w:r>
    </w:p>
    <w:p w:rsidR="00E25849" w:rsidRDefault="00E25849" w:rsidP="00EC04D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93770">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A577D" w:rsidRPr="00293770">
        <w:t>香港青年陳</w:t>
      </w:r>
      <w:r w:rsidR="00EC04D1" w:rsidRPr="00EC04D1">
        <w:rPr>
          <w:rFonts w:hAnsi="標楷體" w:hint="eastAsia"/>
          <w:szCs w:val="32"/>
        </w:rPr>
        <w:t>○○</w:t>
      </w:r>
      <w:bookmarkStart w:id="25" w:name="_GoBack"/>
      <w:bookmarkEnd w:id="25"/>
      <w:r w:rsidR="001A577D" w:rsidRPr="00293770">
        <w:t>於民國107年遊</w:t>
      </w:r>
      <w:r w:rsidR="00994E73" w:rsidRPr="00293770">
        <w:t>臺</w:t>
      </w:r>
      <w:r w:rsidR="001A577D" w:rsidRPr="00293770">
        <w:t>期間涉嫌殺害懷孕女友，於返港被捕，因香港與臺灣並無簽訂引渡協議，我國兩次函請香港協助，均無下文，此凸顯</w:t>
      </w:r>
      <w:r w:rsidR="00824FC2">
        <w:t>臺、港</w:t>
      </w:r>
      <w:r w:rsidR="001A577D" w:rsidRPr="00293770">
        <w:t>司法互助機制的重要性與迫切性。又日前報載，香港政府宣稱可向臺灣提供合法且可行的協助，臺灣則要求透過司法協助將嫌犯送到臺灣的立場也未有任何改變。</w:t>
      </w:r>
      <w:r w:rsidR="0027751F" w:rsidRPr="00293770">
        <w:t>本案</w:t>
      </w:r>
      <w:r w:rsidR="001A577D" w:rsidRPr="00293770">
        <w:t>自應了解：報載香港提供合法且可行的協助是否屬實？間有指摘我國拒收陳嫌，此報導是否屬實或有扭曲、誤解？我國與香港簽訂引渡協議是否有所進展？香港《逃犯條例》之修訂，是否有將臺灣司法主權列入，可以解決</w:t>
      </w:r>
      <w:r w:rsidR="0027751F" w:rsidRPr="00293770">
        <w:t>本案</w:t>
      </w:r>
      <w:r w:rsidR="001A577D" w:rsidRPr="00293770">
        <w:t>？類此牽涉國際事務之案件，政府是否有統一窗口，讓人民有獲得「知」之權利，且避免引起猜測及誤解？均有深入調查之必要案</w:t>
      </w:r>
      <w:r w:rsidR="001A577D" w:rsidRPr="00293770">
        <w:rPr>
          <w:rFonts w:hint="eastAsia"/>
        </w:rPr>
        <w:t>。</w:t>
      </w:r>
    </w:p>
    <w:p w:rsidR="00B01136" w:rsidRDefault="00B01136" w:rsidP="00B01136">
      <w:pPr>
        <w:pStyle w:val="1"/>
        <w:numPr>
          <w:ilvl w:val="0"/>
          <w:numId w:val="0"/>
        </w:numPr>
        <w:ind w:left="2211"/>
        <w:rPr>
          <w:rFonts w:hAnsi="標楷體"/>
          <w:szCs w:val="32"/>
        </w:rPr>
      </w:pPr>
    </w:p>
    <w:p w:rsidR="00E25849" w:rsidRPr="00CA53D4" w:rsidRDefault="00126AF0" w:rsidP="00F4188E">
      <w:pPr>
        <w:pStyle w:val="1"/>
        <w:rPr>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CA53D4">
        <w:rPr>
          <w:rFonts w:hint="eastAsia"/>
          <w:spacing w:val="-6"/>
        </w:rPr>
        <w:t>調</w:t>
      </w:r>
      <w:r w:rsidRPr="00CA53D4">
        <w:rPr>
          <w:rFonts w:cs="微軟正黑體" w:hint="eastAsia"/>
          <w:spacing w:val="-6"/>
        </w:rPr>
        <w:t>查</w:t>
      </w:r>
      <w:r w:rsidRPr="00CA53D4">
        <w:rPr>
          <w:rFonts w:cs="Adobe Gothic Std B" w:hint="eastAsia"/>
          <w:spacing w:val="-6"/>
        </w:rPr>
        <w:t>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620F81" w:rsidRPr="00CA53D4" w:rsidRDefault="00C56B3C" w:rsidP="00C56B3C">
      <w:pPr>
        <w:pStyle w:val="10"/>
        <w:ind w:left="680" w:firstLine="656"/>
        <w:rPr>
          <w:rFonts w:hAnsi="標楷體"/>
          <w:spacing w:val="-6"/>
          <w:szCs w:val="32"/>
        </w:rPr>
      </w:pPr>
      <w:bookmarkStart w:id="60" w:name="_Toc524902730"/>
      <w:r w:rsidRPr="00CA53D4">
        <w:rPr>
          <w:rFonts w:hAnsi="標楷體"/>
          <w:spacing w:val="-6"/>
          <w:szCs w:val="32"/>
        </w:rPr>
        <w:t>香港青年陳</w:t>
      </w:r>
      <w:r w:rsidR="00294F17">
        <w:rPr>
          <w:rFonts w:hAnsi="標楷體" w:hint="eastAsia"/>
          <w:spacing w:val="-6"/>
          <w:szCs w:val="32"/>
        </w:rPr>
        <w:t>○○</w:t>
      </w:r>
      <w:r w:rsidR="009B109C" w:rsidRPr="00CA53D4">
        <w:rPr>
          <w:rFonts w:hAnsi="標楷體" w:hint="eastAsia"/>
          <w:spacing w:val="-6"/>
          <w:szCs w:val="32"/>
        </w:rPr>
        <w:t>(下稱陳嫌)</w:t>
      </w:r>
      <w:r w:rsidRPr="00CA53D4">
        <w:rPr>
          <w:rFonts w:hAnsi="標楷體"/>
          <w:spacing w:val="-6"/>
          <w:szCs w:val="32"/>
        </w:rPr>
        <w:t>於民國</w:t>
      </w:r>
      <w:r w:rsidRPr="00CA53D4">
        <w:rPr>
          <w:rFonts w:hAnsi="標楷體" w:hint="eastAsia"/>
          <w:spacing w:val="-6"/>
          <w:szCs w:val="32"/>
        </w:rPr>
        <w:t>(下同)</w:t>
      </w:r>
      <w:r w:rsidRPr="00CA53D4">
        <w:rPr>
          <w:rFonts w:hAnsi="標楷體"/>
          <w:spacing w:val="-6"/>
          <w:szCs w:val="32"/>
        </w:rPr>
        <w:t>107年遊臺期間涉嫌殺害懷孕女友，於返港被捕，因香港與臺灣並無簽訂引渡協議，我國兩次函請香港協助，均無下文，此凸顯</w:t>
      </w:r>
      <w:r w:rsidR="00C116F6" w:rsidRPr="00CA53D4">
        <w:rPr>
          <w:rFonts w:hAnsi="標楷體"/>
          <w:spacing w:val="-6"/>
          <w:szCs w:val="32"/>
        </w:rPr>
        <w:t>臺、港</w:t>
      </w:r>
      <w:r w:rsidRPr="00CA53D4">
        <w:rPr>
          <w:rFonts w:hAnsi="標楷體"/>
          <w:spacing w:val="-6"/>
          <w:szCs w:val="32"/>
        </w:rPr>
        <w:t>司法互助機制的重要性與迫切性。又日前報載，香港政府宣稱可向臺灣提供合法且可行的協助，臺灣則要求透過司法協助將嫌犯送到臺灣的立場也未有任何改變。</w:t>
      </w:r>
      <w:r w:rsidRPr="00CA53D4">
        <w:rPr>
          <w:rFonts w:hAnsi="標楷體" w:hint="eastAsia"/>
          <w:spacing w:val="-6"/>
          <w:szCs w:val="32"/>
        </w:rPr>
        <w:t>為</w:t>
      </w:r>
      <w:r w:rsidR="00690793" w:rsidRPr="00CA53D4">
        <w:rPr>
          <w:rFonts w:hAnsi="標楷體" w:hint="eastAsia"/>
          <w:spacing w:val="-6"/>
          <w:szCs w:val="32"/>
        </w:rPr>
        <w:t>瞭</w:t>
      </w:r>
      <w:r w:rsidRPr="00CA53D4">
        <w:rPr>
          <w:rFonts w:hAnsi="標楷體"/>
          <w:spacing w:val="-6"/>
          <w:szCs w:val="32"/>
        </w:rPr>
        <w:t>解報載香港提供合法且可行的協助</w:t>
      </w:r>
      <w:r w:rsidRPr="00CA53D4">
        <w:rPr>
          <w:rFonts w:hAnsi="標楷體" w:hint="eastAsia"/>
          <w:spacing w:val="-6"/>
          <w:szCs w:val="32"/>
        </w:rPr>
        <w:t>及</w:t>
      </w:r>
      <w:r w:rsidRPr="00CA53D4">
        <w:rPr>
          <w:rFonts w:hAnsi="標楷體"/>
          <w:spacing w:val="-6"/>
          <w:szCs w:val="32"/>
        </w:rPr>
        <w:t>我國拒收陳嫌</w:t>
      </w:r>
      <w:r w:rsidRPr="00CA53D4">
        <w:rPr>
          <w:rFonts w:hAnsi="標楷體" w:hint="eastAsia"/>
          <w:spacing w:val="-6"/>
          <w:szCs w:val="32"/>
        </w:rPr>
        <w:t>等</w:t>
      </w:r>
      <w:r w:rsidRPr="00CA53D4">
        <w:rPr>
          <w:rFonts w:hAnsi="標楷體"/>
          <w:spacing w:val="-6"/>
          <w:szCs w:val="32"/>
        </w:rPr>
        <w:t>是否屬實</w:t>
      </w:r>
      <w:r w:rsidRPr="00CA53D4">
        <w:rPr>
          <w:rFonts w:hAnsi="標楷體" w:hint="eastAsia"/>
          <w:spacing w:val="-6"/>
          <w:szCs w:val="32"/>
        </w:rPr>
        <w:t>、</w:t>
      </w:r>
      <w:r w:rsidRPr="00CA53D4">
        <w:rPr>
          <w:rFonts w:hAnsi="標楷體"/>
          <w:spacing w:val="-6"/>
          <w:szCs w:val="32"/>
        </w:rPr>
        <w:t>我國與香港簽訂引渡協議</w:t>
      </w:r>
      <w:r w:rsidRPr="00CA53D4">
        <w:rPr>
          <w:rFonts w:hAnsi="標楷體" w:hint="eastAsia"/>
          <w:spacing w:val="-6"/>
          <w:szCs w:val="32"/>
        </w:rPr>
        <w:t>之</w:t>
      </w:r>
      <w:r w:rsidRPr="00CA53D4">
        <w:rPr>
          <w:rFonts w:hAnsi="標楷體"/>
          <w:spacing w:val="-6"/>
          <w:szCs w:val="32"/>
        </w:rPr>
        <w:t>進展</w:t>
      </w:r>
      <w:r w:rsidRPr="00CA53D4">
        <w:rPr>
          <w:rFonts w:hAnsi="標楷體" w:hint="eastAsia"/>
          <w:spacing w:val="-6"/>
          <w:szCs w:val="32"/>
        </w:rPr>
        <w:t>、</w:t>
      </w:r>
      <w:r w:rsidR="000065BE" w:rsidRPr="00CA53D4">
        <w:rPr>
          <w:rFonts w:hAnsi="標楷體"/>
          <w:spacing w:val="-6"/>
          <w:szCs w:val="32"/>
        </w:rPr>
        <w:t>《2019年逃犯及刑事事宜相互法律協助法例（修訂）條例草案》</w:t>
      </w:r>
      <w:r w:rsidR="000065BE" w:rsidRPr="00CA53D4">
        <w:rPr>
          <w:rFonts w:hAnsi="標楷體" w:hint="eastAsia"/>
          <w:spacing w:val="-6"/>
          <w:szCs w:val="32"/>
        </w:rPr>
        <w:t>(下稱</w:t>
      </w:r>
      <w:r w:rsidR="000065BE" w:rsidRPr="00CA53D4">
        <w:rPr>
          <w:rFonts w:hAnsi="標楷體"/>
          <w:spacing w:val="-6"/>
          <w:szCs w:val="32"/>
        </w:rPr>
        <w:lastRenderedPageBreak/>
        <w:t>《逃犯條例》</w:t>
      </w:r>
      <w:r w:rsidR="000065BE" w:rsidRPr="00CA53D4">
        <w:rPr>
          <w:rFonts w:hAnsi="標楷體" w:hint="eastAsia"/>
          <w:spacing w:val="-6"/>
          <w:szCs w:val="32"/>
        </w:rPr>
        <w:t>之修訂)</w:t>
      </w:r>
      <w:r w:rsidR="000065BE" w:rsidRPr="00CA53D4">
        <w:rPr>
          <w:rStyle w:val="afe"/>
          <w:rFonts w:hAnsi="標楷體"/>
          <w:spacing w:val="-6"/>
          <w:sz w:val="28"/>
          <w:szCs w:val="32"/>
        </w:rPr>
        <w:footnoteReference w:id="1"/>
      </w:r>
      <w:r w:rsidRPr="00CA53D4">
        <w:rPr>
          <w:rFonts w:hAnsi="標楷體"/>
          <w:spacing w:val="-6"/>
          <w:szCs w:val="32"/>
        </w:rPr>
        <w:t>是否可以解決本案</w:t>
      </w:r>
      <w:r w:rsidRPr="00CA53D4">
        <w:rPr>
          <w:rFonts w:hAnsi="標楷體" w:hint="eastAsia"/>
          <w:spacing w:val="-6"/>
          <w:szCs w:val="32"/>
        </w:rPr>
        <w:t>、</w:t>
      </w:r>
      <w:r w:rsidRPr="00CA53D4">
        <w:rPr>
          <w:rFonts w:hAnsi="標楷體"/>
          <w:spacing w:val="-6"/>
          <w:szCs w:val="32"/>
        </w:rPr>
        <w:t>類此牽涉國際事務之案件，政府是否有統一窗口</w:t>
      </w:r>
      <w:r w:rsidRPr="00CA53D4">
        <w:rPr>
          <w:rFonts w:hAnsi="標楷體" w:hint="eastAsia"/>
          <w:spacing w:val="-6"/>
          <w:szCs w:val="32"/>
        </w:rPr>
        <w:t>等事項，經調閱法務部、大陸委員會等機關卷證資料，並於109年2月19日詢問法務部、大陸委員會等機關人員</w:t>
      </w:r>
      <w:r w:rsidR="00620F81" w:rsidRPr="00CA53D4">
        <w:rPr>
          <w:rFonts w:hAnsi="標楷體" w:hint="eastAsia"/>
          <w:spacing w:val="-6"/>
          <w:szCs w:val="32"/>
        </w:rPr>
        <w:t>，</w:t>
      </w:r>
      <w:r w:rsidR="00620F81" w:rsidRPr="00CA53D4">
        <w:rPr>
          <w:rFonts w:hAnsi="標楷體" w:cs="微軟正黑體" w:hint="eastAsia"/>
          <w:spacing w:val="-6"/>
          <w:szCs w:val="32"/>
        </w:rPr>
        <w:t>茲臚</w:t>
      </w:r>
      <w:r w:rsidR="00620F81" w:rsidRPr="00CA53D4">
        <w:rPr>
          <w:rFonts w:hAnsi="標楷體" w:hint="eastAsia"/>
          <w:spacing w:val="-6"/>
          <w:szCs w:val="32"/>
        </w:rPr>
        <w:t>列調</w:t>
      </w:r>
      <w:r w:rsidR="00620F81" w:rsidRPr="00CA53D4">
        <w:rPr>
          <w:rFonts w:hAnsi="標楷體" w:cs="微軟正黑體" w:hint="eastAsia"/>
          <w:spacing w:val="-6"/>
          <w:szCs w:val="32"/>
        </w:rPr>
        <w:t>查</w:t>
      </w:r>
      <w:r w:rsidR="00620F81" w:rsidRPr="00CA53D4">
        <w:rPr>
          <w:rFonts w:hAnsi="標楷體" w:cs="Adobe Gothic Std B" w:hint="eastAsia"/>
          <w:spacing w:val="-6"/>
          <w:szCs w:val="32"/>
        </w:rPr>
        <w:t>意見如下：</w:t>
      </w:r>
    </w:p>
    <w:p w:rsidR="00620F81" w:rsidRPr="00CA53D4" w:rsidRDefault="00620F81" w:rsidP="006F1222">
      <w:pPr>
        <w:pStyle w:val="2"/>
        <w:rPr>
          <w:b/>
          <w:spacing w:val="-6"/>
        </w:rPr>
      </w:pPr>
      <w:r w:rsidRPr="00CA53D4">
        <w:rPr>
          <w:rFonts w:hint="eastAsia"/>
          <w:b/>
          <w:spacing w:val="-6"/>
        </w:rPr>
        <w:t>有關港女命案，法務部及大陸委員會均已透過</w:t>
      </w:r>
      <w:r w:rsidR="00413F36" w:rsidRPr="00CA53D4">
        <w:rPr>
          <w:rFonts w:hint="eastAsia"/>
          <w:b/>
          <w:spacing w:val="-6"/>
        </w:rPr>
        <w:t>臺港經濟文化合作策進會</w:t>
      </w:r>
      <w:r w:rsidR="000F6FBD" w:rsidRPr="00CA53D4">
        <w:rPr>
          <w:rFonts w:hint="eastAsia"/>
          <w:b/>
          <w:spacing w:val="-6"/>
        </w:rPr>
        <w:t>及港臺經濟文化合作協進會平台，</w:t>
      </w:r>
      <w:r w:rsidRPr="00CA53D4">
        <w:rPr>
          <w:rFonts w:hint="eastAsia"/>
          <w:b/>
          <w:spacing w:val="-6"/>
        </w:rPr>
        <w:t>積極聯繫香港政府進行後續司法偵查事宜，香港政府雖表示樂於提供我方合法可行協助，惟均非</w:t>
      </w:r>
      <w:r w:rsidR="00C8631A" w:rsidRPr="00CA53D4">
        <w:rPr>
          <w:rFonts w:hint="eastAsia"/>
          <w:b/>
          <w:spacing w:val="-6"/>
        </w:rPr>
        <w:t>正式刑事</w:t>
      </w:r>
      <w:r w:rsidRPr="00CA53D4">
        <w:rPr>
          <w:rFonts w:hint="eastAsia"/>
          <w:b/>
          <w:spacing w:val="-6"/>
        </w:rPr>
        <w:t>司法互助層面，僅是執法機關間之情資交換。</w:t>
      </w:r>
      <w:r w:rsidR="001A47DC" w:rsidRPr="00CA53D4">
        <w:rPr>
          <w:rFonts w:hAnsi="標楷體" w:hint="eastAsia"/>
          <w:b/>
          <w:spacing w:val="-6"/>
          <w:szCs w:val="32"/>
        </w:rPr>
        <w:t>現行臺</w:t>
      </w:r>
      <w:r w:rsidR="00690793" w:rsidRPr="00CA53D4">
        <w:rPr>
          <w:rFonts w:hAnsi="標楷體" w:hint="eastAsia"/>
          <w:b/>
          <w:spacing w:val="-6"/>
          <w:szCs w:val="32"/>
        </w:rPr>
        <w:t>、</w:t>
      </w:r>
      <w:r w:rsidR="001A47DC" w:rsidRPr="00CA53D4">
        <w:rPr>
          <w:rFonts w:hAnsi="標楷體" w:hint="eastAsia"/>
          <w:b/>
          <w:spacing w:val="-6"/>
          <w:szCs w:val="32"/>
        </w:rPr>
        <w:t>港</w:t>
      </w:r>
      <w:r w:rsidR="00690793" w:rsidRPr="00CA53D4">
        <w:rPr>
          <w:rFonts w:hAnsi="標楷體" w:hint="eastAsia"/>
          <w:b/>
          <w:spacing w:val="-6"/>
          <w:szCs w:val="32"/>
        </w:rPr>
        <w:t>間</w:t>
      </w:r>
      <w:r w:rsidR="001A47DC" w:rsidRPr="00CA53D4">
        <w:rPr>
          <w:rFonts w:hAnsi="標楷體" w:hint="eastAsia"/>
          <w:b/>
          <w:spacing w:val="-6"/>
          <w:szCs w:val="32"/>
        </w:rPr>
        <w:t>並無正式刑事司法互助，不利於</w:t>
      </w:r>
      <w:r w:rsidR="00C8631A" w:rsidRPr="00CA53D4">
        <w:rPr>
          <w:rFonts w:hAnsi="標楷體" w:hint="eastAsia"/>
          <w:b/>
          <w:spacing w:val="-6"/>
          <w:szCs w:val="32"/>
        </w:rPr>
        <w:t>後續司法偵</w:t>
      </w:r>
      <w:r w:rsidR="001A47DC" w:rsidRPr="00CA53D4">
        <w:rPr>
          <w:rFonts w:hAnsi="標楷體" w:hint="eastAsia"/>
          <w:b/>
          <w:spacing w:val="-6"/>
          <w:szCs w:val="32"/>
        </w:rPr>
        <w:t>查、</w:t>
      </w:r>
      <w:r w:rsidR="00C8631A" w:rsidRPr="00CA53D4">
        <w:rPr>
          <w:rFonts w:hAnsi="標楷體" w:hint="eastAsia"/>
          <w:b/>
          <w:spacing w:val="-6"/>
          <w:szCs w:val="32"/>
        </w:rPr>
        <w:t>審</w:t>
      </w:r>
      <w:r w:rsidR="001A47DC" w:rsidRPr="00CA53D4">
        <w:rPr>
          <w:rFonts w:hAnsi="標楷體" w:hint="eastAsia"/>
          <w:b/>
          <w:spacing w:val="-6"/>
          <w:szCs w:val="32"/>
        </w:rPr>
        <w:t>判</w:t>
      </w:r>
      <w:r w:rsidR="00C8631A" w:rsidRPr="00CA53D4">
        <w:rPr>
          <w:rFonts w:hAnsi="標楷體" w:hint="eastAsia"/>
          <w:b/>
          <w:spacing w:val="-6"/>
          <w:szCs w:val="32"/>
        </w:rPr>
        <w:t>之</w:t>
      </w:r>
      <w:r w:rsidR="001A47DC" w:rsidRPr="00CA53D4">
        <w:rPr>
          <w:rFonts w:hAnsi="標楷體" w:hint="eastAsia"/>
          <w:b/>
          <w:spacing w:val="-6"/>
          <w:szCs w:val="32"/>
        </w:rPr>
        <w:t>順利</w:t>
      </w:r>
      <w:r w:rsidR="00C8631A" w:rsidRPr="00CA53D4">
        <w:rPr>
          <w:rFonts w:hAnsi="標楷體" w:hint="eastAsia"/>
          <w:b/>
          <w:spacing w:val="-6"/>
          <w:szCs w:val="32"/>
        </w:rPr>
        <w:t>進行</w:t>
      </w:r>
      <w:r w:rsidR="00A62DDF" w:rsidRPr="00CA53D4">
        <w:rPr>
          <w:rFonts w:hint="eastAsia"/>
          <w:b/>
          <w:spacing w:val="-6"/>
        </w:rPr>
        <w:t>，亦無法確保證據之證據能力及相關事證完整呈現在偵查及審判程序中，使被告之程序基本權受充分保障，並且查明事實真相，還給被害人及其家屬應得之公道</w:t>
      </w:r>
      <w:r w:rsidR="00690793" w:rsidRPr="00CA53D4">
        <w:rPr>
          <w:rFonts w:hAnsi="標楷體" w:hint="eastAsia"/>
          <w:b/>
          <w:spacing w:val="-6"/>
          <w:szCs w:val="32"/>
        </w:rPr>
        <w:t>，</w:t>
      </w:r>
      <w:r w:rsidR="00C8631A" w:rsidRPr="00CA53D4">
        <w:rPr>
          <w:rFonts w:hAnsi="標楷體" w:hint="eastAsia"/>
          <w:b/>
          <w:spacing w:val="-6"/>
          <w:szCs w:val="32"/>
        </w:rPr>
        <w:t>若</w:t>
      </w:r>
      <w:r w:rsidR="00690793" w:rsidRPr="00CA53D4">
        <w:rPr>
          <w:rFonts w:hAnsi="標楷體" w:hint="eastAsia"/>
          <w:b/>
          <w:spacing w:val="-6"/>
          <w:szCs w:val="32"/>
        </w:rPr>
        <w:t>臺、港未來可以</w:t>
      </w:r>
      <w:r w:rsidR="00CC5517" w:rsidRPr="00CA53D4">
        <w:rPr>
          <w:rFonts w:hAnsi="標楷體" w:hint="eastAsia"/>
          <w:b/>
          <w:spacing w:val="-6"/>
          <w:szCs w:val="32"/>
        </w:rPr>
        <w:t>簽訂</w:t>
      </w:r>
      <w:r w:rsidR="00A76638" w:rsidRPr="00CA53D4">
        <w:rPr>
          <w:rFonts w:hAnsi="標楷體" w:hint="eastAsia"/>
          <w:b/>
          <w:spacing w:val="-6"/>
          <w:szCs w:val="32"/>
        </w:rPr>
        <w:t>刑事司法互助</w:t>
      </w:r>
      <w:r w:rsidR="00CC5517" w:rsidRPr="00CA53D4">
        <w:rPr>
          <w:rFonts w:hAnsi="標楷體" w:hint="eastAsia"/>
          <w:b/>
          <w:spacing w:val="-6"/>
          <w:szCs w:val="32"/>
        </w:rPr>
        <w:t>協議</w:t>
      </w:r>
      <w:r w:rsidR="00A76638" w:rsidRPr="00CA53D4">
        <w:rPr>
          <w:rFonts w:hAnsi="標楷體" w:hint="eastAsia"/>
          <w:b/>
          <w:spacing w:val="-6"/>
          <w:szCs w:val="32"/>
        </w:rPr>
        <w:t>，</w:t>
      </w:r>
      <w:r w:rsidR="00690793" w:rsidRPr="00CA53D4">
        <w:rPr>
          <w:rFonts w:hAnsi="標楷體" w:hint="eastAsia"/>
          <w:b/>
          <w:spacing w:val="-6"/>
          <w:szCs w:val="32"/>
        </w:rPr>
        <w:t>將</w:t>
      </w:r>
      <w:r w:rsidR="00A62DDF" w:rsidRPr="00CA53D4">
        <w:rPr>
          <w:rFonts w:hAnsi="標楷體" w:hint="eastAsia"/>
          <w:b/>
          <w:spacing w:val="-6"/>
          <w:szCs w:val="32"/>
        </w:rPr>
        <w:t>有助</w:t>
      </w:r>
      <w:r w:rsidR="00A76638" w:rsidRPr="00CA53D4">
        <w:rPr>
          <w:rFonts w:hAnsi="標楷體" w:hint="eastAsia"/>
          <w:b/>
          <w:spacing w:val="-6"/>
          <w:szCs w:val="32"/>
        </w:rPr>
        <w:t>於我國</w:t>
      </w:r>
      <w:r w:rsidR="00225321" w:rsidRPr="00CA53D4">
        <w:rPr>
          <w:rFonts w:hAnsi="標楷體" w:hint="eastAsia"/>
          <w:b/>
          <w:spacing w:val="-6"/>
          <w:szCs w:val="32"/>
        </w:rPr>
        <w:t>司法機關</w:t>
      </w:r>
      <w:r w:rsidR="00A76638" w:rsidRPr="00CA53D4">
        <w:rPr>
          <w:rFonts w:hAnsi="標楷體" w:hint="eastAsia"/>
          <w:b/>
          <w:spacing w:val="-6"/>
          <w:szCs w:val="32"/>
        </w:rPr>
        <w:t>後續偵審</w:t>
      </w:r>
      <w:r w:rsidR="00CC5517" w:rsidRPr="00CA53D4">
        <w:rPr>
          <w:rFonts w:hAnsi="標楷體" w:hint="eastAsia"/>
          <w:b/>
          <w:spacing w:val="-6"/>
          <w:szCs w:val="32"/>
        </w:rPr>
        <w:t>程序</w:t>
      </w:r>
      <w:r w:rsidR="00225321" w:rsidRPr="00CA53D4">
        <w:rPr>
          <w:rFonts w:hAnsi="標楷體" w:hint="eastAsia"/>
          <w:b/>
          <w:spacing w:val="-6"/>
          <w:szCs w:val="32"/>
        </w:rPr>
        <w:t>，藉以實現國家刑罰權</w:t>
      </w:r>
      <w:r w:rsidR="00C56B3C" w:rsidRPr="00CA53D4">
        <w:rPr>
          <w:rFonts w:hAnsi="標楷體" w:hint="eastAsia"/>
          <w:b/>
          <w:spacing w:val="-6"/>
          <w:szCs w:val="32"/>
        </w:rPr>
        <w:t>。</w:t>
      </w:r>
      <w:r w:rsidR="005E1A7C" w:rsidRPr="00CA53D4">
        <w:rPr>
          <w:rFonts w:hint="eastAsia"/>
          <w:b/>
          <w:spacing w:val="-6"/>
        </w:rPr>
        <w:t>臺灣與中國大陸業於98年4月26日簽署</w:t>
      </w:r>
      <w:r w:rsidR="00A00338" w:rsidRPr="00CA53D4">
        <w:rPr>
          <w:rFonts w:hint="eastAsia"/>
          <w:b/>
          <w:spacing w:val="-6"/>
        </w:rPr>
        <w:t>海峽兩岸共同打擊犯罪及司法互助協議</w:t>
      </w:r>
      <w:r w:rsidR="00690793" w:rsidRPr="00CA53D4">
        <w:rPr>
          <w:rFonts w:hint="eastAsia"/>
          <w:b/>
          <w:spacing w:val="-6"/>
        </w:rPr>
        <w:t>，</w:t>
      </w:r>
      <w:r w:rsidR="005E1A7C" w:rsidRPr="00CA53D4">
        <w:rPr>
          <w:rFonts w:hint="eastAsia"/>
          <w:b/>
          <w:spacing w:val="-6"/>
        </w:rPr>
        <w:t>已建立制度化刑事司法互助機制，而臺</w:t>
      </w:r>
      <w:r w:rsidR="00690793" w:rsidRPr="00CA53D4">
        <w:rPr>
          <w:rFonts w:hint="eastAsia"/>
          <w:b/>
          <w:spacing w:val="-6"/>
        </w:rPr>
        <w:t>、</w:t>
      </w:r>
      <w:r w:rsidR="005E1A7C" w:rsidRPr="00CA53D4">
        <w:rPr>
          <w:rFonts w:hint="eastAsia"/>
          <w:b/>
          <w:spacing w:val="-6"/>
        </w:rPr>
        <w:t>港兩地之間往來非常密切，惟迄今仍未建立制度化刑事司法互助機制</w:t>
      </w:r>
      <w:r w:rsidR="005E1A7C" w:rsidRPr="00CA53D4">
        <w:rPr>
          <w:rFonts w:hAnsi="標楷體" w:cs="新細明體" w:hint="eastAsia"/>
          <w:b/>
          <w:spacing w:val="-6"/>
          <w:kern w:val="0"/>
          <w:szCs w:val="32"/>
          <w:lang w:val="x-none"/>
        </w:rPr>
        <w:t>。</w:t>
      </w:r>
      <w:r w:rsidR="00690793" w:rsidRPr="00CA53D4">
        <w:rPr>
          <w:rFonts w:hint="eastAsia"/>
          <w:b/>
          <w:spacing w:val="-6"/>
        </w:rPr>
        <w:t>法務部及</w:t>
      </w:r>
      <w:r w:rsidR="005E1A7C" w:rsidRPr="00CA53D4">
        <w:rPr>
          <w:rFonts w:hint="eastAsia"/>
          <w:b/>
          <w:spacing w:val="-6"/>
        </w:rPr>
        <w:t>大陸委員會應謀具體解決之道，賡續加強相互合作，積極推動臺</w:t>
      </w:r>
      <w:r w:rsidR="00690793" w:rsidRPr="00CA53D4">
        <w:rPr>
          <w:rFonts w:hint="eastAsia"/>
          <w:b/>
          <w:spacing w:val="-6"/>
        </w:rPr>
        <w:t>、</w:t>
      </w:r>
      <w:r w:rsidR="005E1A7C" w:rsidRPr="00CA53D4">
        <w:rPr>
          <w:rFonts w:hint="eastAsia"/>
          <w:b/>
          <w:spacing w:val="-6"/>
        </w:rPr>
        <w:t>港司法互助協議簽訂等事宜</w:t>
      </w:r>
      <w:r w:rsidR="005E1A7C" w:rsidRPr="00CA53D4">
        <w:rPr>
          <w:rFonts w:hAnsi="標楷體" w:cs="新細明體" w:hint="eastAsia"/>
          <w:b/>
          <w:spacing w:val="-6"/>
          <w:kern w:val="0"/>
          <w:szCs w:val="32"/>
          <w:lang w:val="x-none"/>
        </w:rPr>
        <w:t>。</w:t>
      </w:r>
    </w:p>
    <w:p w:rsidR="00620F81" w:rsidRPr="00CA53D4" w:rsidRDefault="009B109C" w:rsidP="009A48FB">
      <w:pPr>
        <w:pStyle w:val="3"/>
        <w:rPr>
          <w:rFonts w:hAnsi="標楷體"/>
          <w:spacing w:val="-6"/>
          <w:szCs w:val="32"/>
        </w:rPr>
      </w:pPr>
      <w:r w:rsidRPr="00CA53D4">
        <w:rPr>
          <w:rFonts w:hAnsi="標楷體" w:hint="eastAsia"/>
          <w:spacing w:val="-6"/>
          <w:szCs w:val="32"/>
        </w:rPr>
        <w:t>港女命案發生後，</w:t>
      </w:r>
      <w:r w:rsidR="00620F81" w:rsidRPr="00CA53D4">
        <w:rPr>
          <w:rFonts w:hAnsi="標楷體" w:hint="eastAsia"/>
          <w:spacing w:val="-6"/>
          <w:szCs w:val="32"/>
        </w:rPr>
        <w:t>陳嫌即潛逃回港，為釐清案情，</w:t>
      </w:r>
      <w:r w:rsidR="006A4958" w:rsidRPr="00CA53D4">
        <w:rPr>
          <w:rFonts w:hAnsi="標楷體" w:hint="eastAsia"/>
          <w:spacing w:val="-6"/>
          <w:szCs w:val="32"/>
        </w:rPr>
        <w:t>法務部</w:t>
      </w:r>
      <w:r w:rsidR="00620F81" w:rsidRPr="00CA53D4">
        <w:rPr>
          <w:rFonts w:hAnsi="標楷體" w:hint="eastAsia"/>
          <w:spacing w:val="-6"/>
          <w:szCs w:val="32"/>
        </w:rPr>
        <w:t>依法透過大陸委員會於107年3月、5月及12月向香港政府提出3次司法</w:t>
      </w:r>
      <w:r w:rsidR="006A4958" w:rsidRPr="00CA53D4">
        <w:rPr>
          <w:rFonts w:hAnsi="標楷體" w:hint="eastAsia"/>
          <w:spacing w:val="-6"/>
          <w:szCs w:val="32"/>
        </w:rPr>
        <w:t>互助</w:t>
      </w:r>
      <w:r w:rsidR="0093415F" w:rsidRPr="00CA53D4">
        <w:rPr>
          <w:rFonts w:hAnsi="標楷體" w:hint="eastAsia"/>
          <w:spacing w:val="-6"/>
          <w:szCs w:val="32"/>
        </w:rPr>
        <w:t>、</w:t>
      </w:r>
      <w:r w:rsidR="006A4958" w:rsidRPr="00CA53D4">
        <w:rPr>
          <w:rFonts w:hint="eastAsia"/>
          <w:spacing w:val="-6"/>
        </w:rPr>
        <w:t>調查取證</w:t>
      </w:r>
      <w:r w:rsidR="0093415F" w:rsidRPr="00CA53D4">
        <w:rPr>
          <w:rFonts w:hint="eastAsia"/>
          <w:spacing w:val="-6"/>
        </w:rPr>
        <w:t>及被告遣送</w:t>
      </w:r>
      <w:r w:rsidR="006A4958" w:rsidRPr="00CA53D4">
        <w:rPr>
          <w:rFonts w:hint="eastAsia"/>
          <w:spacing w:val="-6"/>
        </w:rPr>
        <w:t>之請求，</w:t>
      </w:r>
      <w:r w:rsidR="00620F81" w:rsidRPr="00CA53D4">
        <w:rPr>
          <w:rFonts w:hAnsi="標楷體" w:hint="eastAsia"/>
          <w:spacing w:val="-6"/>
          <w:szCs w:val="32"/>
        </w:rPr>
        <w:t>大陸委員會</w:t>
      </w:r>
      <w:r w:rsidR="0025270B" w:rsidRPr="00CA53D4">
        <w:rPr>
          <w:rFonts w:hAnsi="標楷體" w:hint="eastAsia"/>
          <w:spacing w:val="-6"/>
          <w:szCs w:val="32"/>
        </w:rPr>
        <w:t>並於107</w:t>
      </w:r>
      <w:r w:rsidR="00620F81" w:rsidRPr="00CA53D4">
        <w:rPr>
          <w:rFonts w:hAnsi="標楷體" w:hint="eastAsia"/>
          <w:spacing w:val="-6"/>
          <w:szCs w:val="32"/>
        </w:rPr>
        <w:t>年11</w:t>
      </w:r>
      <w:r w:rsidR="00E711A1" w:rsidRPr="00CA53D4">
        <w:rPr>
          <w:rFonts w:hAnsi="標楷體" w:hint="eastAsia"/>
          <w:spacing w:val="-6"/>
          <w:szCs w:val="32"/>
        </w:rPr>
        <w:t>月</w:t>
      </w:r>
      <w:r w:rsidR="00413F36" w:rsidRPr="00CA53D4">
        <w:rPr>
          <w:rFonts w:hAnsi="標楷體" w:hint="eastAsia"/>
          <w:spacing w:val="-6"/>
          <w:szCs w:val="32"/>
        </w:rPr>
        <w:t>臺港經濟文化合作策進會</w:t>
      </w:r>
      <w:r w:rsidR="00E711A1" w:rsidRPr="00CA53D4">
        <w:rPr>
          <w:rFonts w:hAnsi="標楷體" w:hint="eastAsia"/>
          <w:spacing w:val="-6"/>
          <w:szCs w:val="32"/>
        </w:rPr>
        <w:t>及港臺經濟文化合作協進會</w:t>
      </w:r>
      <w:r w:rsidR="006A4958" w:rsidRPr="00CA53D4">
        <w:rPr>
          <w:rFonts w:hAnsi="標楷體" w:hint="eastAsia"/>
          <w:spacing w:val="-6"/>
          <w:szCs w:val="32"/>
        </w:rPr>
        <w:t>秘書長工作會議，要求會同雙方主管部門</w:t>
      </w:r>
      <w:r w:rsidR="00620F81" w:rsidRPr="00CA53D4">
        <w:rPr>
          <w:rFonts w:hAnsi="標楷體" w:hint="eastAsia"/>
          <w:spacing w:val="-6"/>
          <w:szCs w:val="32"/>
        </w:rPr>
        <w:t>會商本案，但香港政府不但未</w:t>
      </w:r>
      <w:r w:rsidR="00620F81" w:rsidRPr="00CA53D4">
        <w:rPr>
          <w:rFonts w:hAnsi="標楷體" w:hint="eastAsia"/>
          <w:spacing w:val="-6"/>
          <w:szCs w:val="32"/>
        </w:rPr>
        <w:lastRenderedPageBreak/>
        <w:t>回應我方正式司法互助請求，亦拒絕與我方會商。</w:t>
      </w:r>
      <w:r w:rsidR="0093415F" w:rsidRPr="00CA53D4">
        <w:rPr>
          <w:rFonts w:hint="eastAsia"/>
          <w:spacing w:val="-6"/>
        </w:rPr>
        <w:t>香港政府雖於108年10月20日發表聲明，表示樂意提供我方所需合法可行之協助云云，然於同一份聲明中亦明確表示香港並無法律依據與我方進行刑事司法互助等語。故迄今香港政府未提供其所謂合法且可行之協助。</w:t>
      </w:r>
    </w:p>
    <w:p w:rsidR="00620F81" w:rsidRPr="00CA53D4" w:rsidRDefault="00620F81" w:rsidP="009A48FB">
      <w:pPr>
        <w:pStyle w:val="3"/>
        <w:rPr>
          <w:rFonts w:hAnsi="標楷體"/>
          <w:spacing w:val="-6"/>
          <w:szCs w:val="32"/>
        </w:rPr>
      </w:pPr>
      <w:r w:rsidRPr="00CA53D4">
        <w:rPr>
          <w:rFonts w:hAnsi="標楷體" w:hint="eastAsia"/>
          <w:spacing w:val="-6"/>
          <w:szCs w:val="32"/>
        </w:rPr>
        <w:t>我方復於108年10月22日去函港方，要求其協助我方赴港人員將陳嫌及卷證帶回。惟香港政府始終迴避我司法互助相關請求，並屢稱香港現時沒有法律容許將陳嫌移送我方，也沒有法律與我進行刑事司法協作，拒絕我方赴港帶回陳嫌及卷證。香港政府復於陳嫌10月23日出獄後，稱其已是「自由人」，無權對其採取管制性措施，並對我方參考</w:t>
      </w:r>
      <w:r w:rsidR="00824FC2" w:rsidRPr="00CA53D4">
        <w:rPr>
          <w:rFonts w:hAnsi="標楷體" w:hint="eastAsia"/>
          <w:spacing w:val="-6"/>
          <w:szCs w:val="32"/>
        </w:rPr>
        <w:t>臺、港</w:t>
      </w:r>
      <w:r w:rsidRPr="00CA53D4">
        <w:rPr>
          <w:rFonts w:hAnsi="標楷體" w:hint="eastAsia"/>
          <w:spacing w:val="-6"/>
          <w:szCs w:val="32"/>
        </w:rPr>
        <w:t>於105年建立之石棺案警務合作模式，由我警方搭乘國籍航空赴港於機場禁區交接陳嫌之提議亦斷然拒絕。</w:t>
      </w:r>
    </w:p>
    <w:p w:rsidR="008D1BFC" w:rsidRPr="00CA53D4" w:rsidRDefault="009B109C" w:rsidP="0093415F">
      <w:pPr>
        <w:pStyle w:val="3"/>
        <w:rPr>
          <w:spacing w:val="-6"/>
        </w:rPr>
      </w:pPr>
      <w:r w:rsidRPr="00CA53D4">
        <w:rPr>
          <w:rFonts w:hint="eastAsia"/>
          <w:spacing w:val="-6"/>
        </w:rPr>
        <w:t>據</w:t>
      </w:r>
      <w:r w:rsidRPr="00CA53D4">
        <w:rPr>
          <w:rFonts w:hAnsi="標楷體" w:hint="eastAsia"/>
          <w:spacing w:val="-6"/>
          <w:szCs w:val="32"/>
        </w:rPr>
        <w:t>法務部到院說明表示，</w:t>
      </w:r>
      <w:r w:rsidR="00620F81" w:rsidRPr="00CA53D4">
        <w:rPr>
          <w:rFonts w:hAnsi="標楷體" w:hint="eastAsia"/>
          <w:spacing w:val="-6"/>
          <w:szCs w:val="32"/>
        </w:rPr>
        <w:t>香港</w:t>
      </w:r>
      <w:r w:rsidRPr="00CA53D4">
        <w:rPr>
          <w:rFonts w:hAnsi="標楷體" w:hint="eastAsia"/>
          <w:spacing w:val="-6"/>
          <w:szCs w:val="32"/>
        </w:rPr>
        <w:t>政府聲明有主動透過警方</w:t>
      </w:r>
      <w:r w:rsidR="00620F81" w:rsidRPr="00CA53D4">
        <w:rPr>
          <w:rFonts w:hAnsi="標楷體" w:hint="eastAsia"/>
          <w:spacing w:val="-6"/>
          <w:szCs w:val="32"/>
        </w:rPr>
        <w:t>聯繫，</w:t>
      </w:r>
      <w:r w:rsidRPr="00CA53D4">
        <w:rPr>
          <w:rFonts w:hAnsi="標楷體" w:hint="eastAsia"/>
          <w:spacing w:val="-6"/>
          <w:szCs w:val="32"/>
        </w:rPr>
        <w:t>亦就案情及證據與</w:t>
      </w:r>
      <w:r w:rsidR="00362345" w:rsidRPr="00CA53D4">
        <w:rPr>
          <w:rFonts w:hAnsi="標楷體" w:hint="eastAsia"/>
          <w:spacing w:val="-6"/>
          <w:szCs w:val="32"/>
        </w:rPr>
        <w:t>臺灣</w:t>
      </w:r>
      <w:r w:rsidRPr="00CA53D4">
        <w:rPr>
          <w:rFonts w:hAnsi="標楷體" w:hint="eastAsia"/>
          <w:spacing w:val="-6"/>
          <w:szCs w:val="32"/>
        </w:rPr>
        <w:t>士林地</w:t>
      </w:r>
      <w:r w:rsidR="00362345" w:rsidRPr="00CA53D4">
        <w:rPr>
          <w:rFonts w:hAnsi="標楷體" w:hint="eastAsia"/>
          <w:spacing w:val="-6"/>
          <w:szCs w:val="32"/>
        </w:rPr>
        <w:t>方</w:t>
      </w:r>
      <w:r w:rsidRPr="00CA53D4">
        <w:rPr>
          <w:rFonts w:hAnsi="標楷體" w:hint="eastAsia"/>
          <w:spacing w:val="-6"/>
          <w:szCs w:val="32"/>
        </w:rPr>
        <w:t>檢</w:t>
      </w:r>
      <w:r w:rsidR="00362345" w:rsidRPr="00CA53D4">
        <w:rPr>
          <w:rFonts w:hAnsi="標楷體" w:hint="eastAsia"/>
          <w:spacing w:val="-6"/>
          <w:szCs w:val="32"/>
        </w:rPr>
        <w:t>察</w:t>
      </w:r>
      <w:r w:rsidRPr="00CA53D4">
        <w:rPr>
          <w:rFonts w:hAnsi="標楷體" w:hint="eastAsia"/>
          <w:spacing w:val="-6"/>
          <w:szCs w:val="32"/>
        </w:rPr>
        <w:t>署</w:t>
      </w:r>
      <w:r w:rsidR="00362345" w:rsidRPr="00CA53D4">
        <w:rPr>
          <w:rFonts w:hAnsi="標楷體" w:hint="eastAsia"/>
          <w:spacing w:val="-6"/>
          <w:szCs w:val="32"/>
        </w:rPr>
        <w:t>(下稱士林地檢署)</w:t>
      </w:r>
      <w:r w:rsidRPr="00CA53D4">
        <w:rPr>
          <w:rFonts w:hAnsi="標楷體" w:hint="eastAsia"/>
          <w:spacing w:val="-6"/>
          <w:szCs w:val="32"/>
        </w:rPr>
        <w:t>溝通，</w:t>
      </w:r>
      <w:r w:rsidR="00C336BE" w:rsidRPr="00CA53D4">
        <w:rPr>
          <w:rFonts w:hAnsi="標楷體" w:hint="eastAsia"/>
          <w:spacing w:val="-6"/>
          <w:szCs w:val="32"/>
        </w:rPr>
        <w:t>即透過「港臺經濟文化合作協進會」發出4封信件</w:t>
      </w:r>
      <w:r w:rsidR="00CA53D4" w:rsidRPr="00CA53D4">
        <w:rPr>
          <w:rFonts w:hAnsi="標楷體" w:hint="eastAsia"/>
          <w:spacing w:val="-6"/>
          <w:szCs w:val="32"/>
        </w:rPr>
        <w:t>(如下表)</w:t>
      </w:r>
      <w:r w:rsidR="00C336BE" w:rsidRPr="00CA53D4">
        <w:rPr>
          <w:rFonts w:hAnsi="標楷體" w:hint="eastAsia"/>
          <w:spacing w:val="-6"/>
          <w:szCs w:val="32"/>
        </w:rPr>
        <w:t>給我方，</w:t>
      </w:r>
      <w:r w:rsidR="00C336BE" w:rsidRPr="00CA53D4">
        <w:rPr>
          <w:rFonts w:hint="eastAsia"/>
          <w:spacing w:val="-6"/>
          <w:szCs w:val="32"/>
        </w:rPr>
        <w:t>港方確實有寄信至本案承辦檢察官，</w:t>
      </w:r>
      <w:r w:rsidR="0025270B" w:rsidRPr="00CA53D4">
        <w:rPr>
          <w:rFonts w:hint="eastAsia"/>
          <w:spacing w:val="-6"/>
          <w:szCs w:val="32"/>
        </w:rPr>
        <w:t>我方檢察官也有回復，</w:t>
      </w:r>
      <w:r w:rsidR="00C336BE" w:rsidRPr="00CA53D4">
        <w:rPr>
          <w:rFonts w:hAnsi="標楷體" w:hint="eastAsia"/>
          <w:spacing w:val="-6"/>
          <w:szCs w:val="32"/>
        </w:rPr>
        <w:t>惟</w:t>
      </w:r>
      <w:r w:rsidR="00AF3B09" w:rsidRPr="00CA53D4">
        <w:rPr>
          <w:rFonts w:hint="eastAsia"/>
          <w:spacing w:val="-6"/>
          <w:szCs w:val="32"/>
        </w:rPr>
        <w:t>港方逕自與本案承辦檢察官接觸，並非</w:t>
      </w:r>
      <w:r w:rsidR="0025270B" w:rsidRPr="00CA53D4">
        <w:rPr>
          <w:rFonts w:hint="eastAsia"/>
          <w:spacing w:val="-6"/>
          <w:szCs w:val="32"/>
        </w:rPr>
        <w:t>正式的司法互助</w:t>
      </w:r>
      <w:r w:rsidR="0025270B" w:rsidRPr="00CA53D4">
        <w:rPr>
          <w:rFonts w:hint="eastAsia"/>
          <w:spacing w:val="-6"/>
          <w:szCs w:val="32"/>
        </w:rPr>
        <w:tab/>
        <w:t>，只是雙方偵查人員情資交換性質，</w:t>
      </w:r>
      <w:r w:rsidR="00C336BE" w:rsidRPr="00CA53D4">
        <w:rPr>
          <w:rFonts w:hint="eastAsia"/>
          <w:spacing w:val="-6"/>
          <w:szCs w:val="32"/>
        </w:rPr>
        <w:t>此4封信件僅為執法機關的情資交換，並不是對我方司法互助請求的正式回復。</w:t>
      </w:r>
      <w:r w:rsidR="0025270B" w:rsidRPr="00CA53D4">
        <w:rPr>
          <w:rFonts w:hAnsi="標楷體" w:hint="eastAsia"/>
          <w:spacing w:val="-6"/>
          <w:szCs w:val="32"/>
        </w:rPr>
        <w:t>法務部到院說明另表示，</w:t>
      </w:r>
      <w:r w:rsidRPr="00CA53D4">
        <w:rPr>
          <w:rFonts w:hAnsi="標楷體" w:hint="eastAsia"/>
          <w:spacing w:val="-6"/>
          <w:szCs w:val="32"/>
        </w:rPr>
        <w:t>情資交換，一直以來，香港與</w:t>
      </w:r>
      <w:r w:rsidR="00620F81" w:rsidRPr="00CA53D4">
        <w:rPr>
          <w:rFonts w:hAnsi="標楷體" w:hint="eastAsia"/>
          <w:spacing w:val="-6"/>
          <w:szCs w:val="32"/>
        </w:rPr>
        <w:t>臺灣的執法機關，特別是香港警務處與臺灣刑事警察局基本上都有些接觸，這部分不是司法互助，不需要使用正式公務</w:t>
      </w:r>
      <w:r w:rsidRPr="00CA53D4">
        <w:rPr>
          <w:rFonts w:hAnsi="標楷體" w:hint="eastAsia"/>
          <w:spacing w:val="-6"/>
          <w:szCs w:val="32"/>
        </w:rPr>
        <w:t>文件。</w:t>
      </w:r>
      <w:r w:rsidR="0025270B" w:rsidRPr="00CA53D4">
        <w:rPr>
          <w:rFonts w:hint="eastAsia"/>
          <w:spacing w:val="-6"/>
        </w:rPr>
        <w:t>正式的</w:t>
      </w:r>
      <w:r w:rsidRPr="00CA53D4">
        <w:rPr>
          <w:rFonts w:hAnsi="標楷體" w:hint="eastAsia"/>
          <w:spacing w:val="-6"/>
          <w:szCs w:val="32"/>
        </w:rPr>
        <w:t>司法互助管道</w:t>
      </w:r>
      <w:r w:rsidR="00C336BE" w:rsidRPr="00CA53D4">
        <w:rPr>
          <w:rFonts w:hint="eastAsia"/>
          <w:spacing w:val="-6"/>
        </w:rPr>
        <w:t>必須</w:t>
      </w:r>
      <w:r w:rsidRPr="00CA53D4">
        <w:rPr>
          <w:rFonts w:hAnsi="標楷體" w:hint="eastAsia"/>
          <w:spacing w:val="-6"/>
          <w:szCs w:val="32"/>
        </w:rPr>
        <w:t>要透過相關法律程序，</w:t>
      </w:r>
      <w:r w:rsidR="001E74E0" w:rsidRPr="00CA53D4">
        <w:rPr>
          <w:rFonts w:hint="eastAsia"/>
          <w:spacing w:val="-6"/>
        </w:rPr>
        <w:t>港方聯繫部分，必須透過大陸委員會回復後，法務部進行後續相關程序</w:t>
      </w:r>
      <w:r w:rsidR="001E74E0" w:rsidRPr="00CA53D4">
        <w:rPr>
          <w:rFonts w:hAnsi="標楷體" w:hint="eastAsia"/>
          <w:spacing w:val="-6"/>
        </w:rPr>
        <w:t>；</w:t>
      </w:r>
      <w:r w:rsidR="001E74E0" w:rsidRPr="00CA53D4">
        <w:rPr>
          <w:rFonts w:hint="eastAsia"/>
          <w:spacing w:val="-6"/>
        </w:rPr>
        <w:t>我方聯繫部分，</w:t>
      </w:r>
      <w:r w:rsidR="0025270B" w:rsidRPr="00CA53D4">
        <w:rPr>
          <w:rFonts w:hint="eastAsia"/>
          <w:spacing w:val="-6"/>
        </w:rPr>
        <w:t>必須</w:t>
      </w:r>
      <w:r w:rsidRPr="00CA53D4">
        <w:rPr>
          <w:rFonts w:hAnsi="標楷體" w:hint="eastAsia"/>
          <w:spacing w:val="-6"/>
          <w:szCs w:val="32"/>
        </w:rPr>
        <w:t>由檢察機關送至法務部</w:t>
      </w:r>
      <w:r w:rsidR="00620F81" w:rsidRPr="00CA53D4">
        <w:rPr>
          <w:rFonts w:hAnsi="標楷體" w:hint="eastAsia"/>
          <w:spacing w:val="-6"/>
          <w:szCs w:val="32"/>
        </w:rPr>
        <w:t>，</w:t>
      </w:r>
      <w:r w:rsidRPr="00CA53D4">
        <w:rPr>
          <w:rFonts w:hAnsi="標楷體" w:hint="eastAsia"/>
          <w:spacing w:val="-6"/>
          <w:szCs w:val="32"/>
        </w:rPr>
        <w:t>再由法務部轉</w:t>
      </w:r>
      <w:r w:rsidR="00620F81" w:rsidRPr="00CA53D4">
        <w:rPr>
          <w:rFonts w:hAnsi="標楷體" w:hint="eastAsia"/>
          <w:spacing w:val="-6"/>
          <w:szCs w:val="32"/>
        </w:rPr>
        <w:t>請</w:t>
      </w:r>
      <w:r w:rsidR="00620F81" w:rsidRPr="00CA53D4">
        <w:rPr>
          <w:rFonts w:hAnsi="標楷體" w:hint="eastAsia"/>
          <w:spacing w:val="-6"/>
          <w:szCs w:val="32"/>
        </w:rPr>
        <w:lastRenderedPageBreak/>
        <w:t>大陸委員會</w:t>
      </w:r>
      <w:r w:rsidR="00887F45" w:rsidRPr="00CA53D4">
        <w:rPr>
          <w:rFonts w:hAnsi="標楷體" w:hint="eastAsia"/>
          <w:spacing w:val="-6"/>
          <w:szCs w:val="32"/>
        </w:rPr>
        <w:t>，</w:t>
      </w:r>
      <w:r w:rsidR="00620F81" w:rsidRPr="00CA53D4">
        <w:rPr>
          <w:rFonts w:hAnsi="標楷體" w:hint="eastAsia"/>
          <w:spacing w:val="-6"/>
          <w:szCs w:val="32"/>
        </w:rPr>
        <w:t>根據香港澳門關係條例與國際刑事司法互助法</w:t>
      </w:r>
      <w:r w:rsidRPr="00CA53D4">
        <w:rPr>
          <w:rFonts w:hAnsi="標楷體" w:hint="eastAsia"/>
          <w:spacing w:val="-6"/>
          <w:szCs w:val="32"/>
        </w:rPr>
        <w:t>送至</w:t>
      </w:r>
      <w:r w:rsidR="00620F81" w:rsidRPr="00CA53D4">
        <w:rPr>
          <w:rFonts w:hAnsi="標楷體" w:hint="eastAsia"/>
          <w:spacing w:val="-6"/>
          <w:szCs w:val="32"/>
        </w:rPr>
        <w:t>香港</w:t>
      </w:r>
      <w:r w:rsidRPr="00CA53D4">
        <w:rPr>
          <w:rFonts w:hAnsi="標楷體" w:hint="eastAsia"/>
          <w:spacing w:val="-6"/>
          <w:szCs w:val="32"/>
        </w:rPr>
        <w:t>政府或對方機關，最終送至對方之</w:t>
      </w:r>
      <w:r w:rsidR="00620F81" w:rsidRPr="00CA53D4">
        <w:rPr>
          <w:rFonts w:hAnsi="標楷體" w:hint="eastAsia"/>
          <w:spacing w:val="-6"/>
          <w:szCs w:val="32"/>
        </w:rPr>
        <w:t>中央機關</w:t>
      </w:r>
      <w:r w:rsidR="00620F81" w:rsidRPr="00CA53D4">
        <w:rPr>
          <w:rFonts w:hint="eastAsia"/>
          <w:spacing w:val="-6"/>
        </w:rPr>
        <w:t>。</w:t>
      </w:r>
    </w:p>
    <w:tbl>
      <w:tblPr>
        <w:tblW w:w="765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119"/>
        <w:gridCol w:w="3402"/>
      </w:tblGrid>
      <w:tr w:rsidR="00CA53D4" w:rsidRPr="00CA53D4" w:rsidTr="00920342">
        <w:tc>
          <w:tcPr>
            <w:tcW w:w="1134"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來函/回函</w:t>
            </w:r>
          </w:p>
        </w:tc>
        <w:tc>
          <w:tcPr>
            <w:tcW w:w="3119"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港方</w:t>
            </w:r>
          </w:p>
        </w:tc>
        <w:tc>
          <w:tcPr>
            <w:tcW w:w="3402"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我方</w:t>
            </w:r>
          </w:p>
        </w:tc>
      </w:tr>
      <w:tr w:rsidR="00CA53D4" w:rsidRPr="00CA53D4" w:rsidTr="00920342">
        <w:tc>
          <w:tcPr>
            <w:tcW w:w="1134"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第1次</w:t>
            </w:r>
          </w:p>
        </w:tc>
        <w:tc>
          <w:tcPr>
            <w:tcW w:w="3119" w:type="dxa"/>
            <w:shd w:val="clear" w:color="auto" w:fill="auto"/>
          </w:tcPr>
          <w:p w:rsidR="00CA53D4" w:rsidRPr="00CA53D4" w:rsidRDefault="00CA53D4" w:rsidP="00920342">
            <w:pPr>
              <w:overflowPunct/>
              <w:autoSpaceDE/>
              <w:autoSpaceDN/>
              <w:spacing w:line="500" w:lineRule="exact"/>
              <w:rPr>
                <w:rFonts w:hAnsi="標楷體"/>
                <w:spacing w:val="-6"/>
                <w:sz w:val="28"/>
                <w:szCs w:val="28"/>
                <w:shd w:val="pct15" w:color="auto" w:fill="FFFFFF"/>
              </w:rPr>
            </w:pPr>
            <w:r w:rsidRPr="00CA53D4">
              <w:rPr>
                <w:rFonts w:hAnsi="標楷體" w:hint="eastAsia"/>
                <w:spacing w:val="-6"/>
                <w:sz w:val="28"/>
                <w:szCs w:val="28"/>
                <w:shd w:val="pct15" w:color="auto" w:fill="FFFFFF"/>
              </w:rPr>
              <w:t>107年6月19日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要求提供潘女命案相關證據。</w:t>
            </w:r>
          </w:p>
        </w:tc>
        <w:tc>
          <w:tcPr>
            <w:tcW w:w="3402" w:type="dxa"/>
            <w:shd w:val="clear" w:color="auto" w:fill="auto"/>
          </w:tcPr>
          <w:p w:rsidR="00CA53D4" w:rsidRPr="00CA53D4" w:rsidRDefault="00CA53D4" w:rsidP="00920342">
            <w:pPr>
              <w:overflowPunct/>
              <w:autoSpaceDE/>
              <w:autoSpaceDN/>
              <w:spacing w:line="500" w:lineRule="exact"/>
              <w:rPr>
                <w:rFonts w:hAnsi="標楷體"/>
                <w:spacing w:val="-6"/>
                <w:sz w:val="28"/>
                <w:szCs w:val="28"/>
                <w:shd w:val="pct15" w:color="auto" w:fill="FFFFFF"/>
              </w:rPr>
            </w:pPr>
            <w:r w:rsidRPr="00CA53D4">
              <w:rPr>
                <w:rFonts w:hAnsi="標楷體" w:hint="eastAsia"/>
                <w:spacing w:val="-6"/>
                <w:sz w:val="28"/>
                <w:szCs w:val="28"/>
                <w:shd w:val="pct15" w:color="auto" w:fill="FFFFFF"/>
              </w:rPr>
              <w:t>107年6月29日</w:t>
            </w:r>
          </w:p>
          <w:p w:rsidR="00CA53D4" w:rsidRPr="00CA53D4" w:rsidRDefault="00CA53D4" w:rsidP="00920342">
            <w:pPr>
              <w:tabs>
                <w:tab w:val="decimal" w:pos="900"/>
              </w:tabs>
              <w:overflowPunct/>
              <w:autoSpaceDE/>
              <w:autoSpaceDN/>
              <w:spacing w:line="500" w:lineRule="exact"/>
              <w:rPr>
                <w:rFonts w:hAnsi="標楷體"/>
                <w:spacing w:val="-6"/>
                <w:sz w:val="28"/>
                <w:szCs w:val="28"/>
              </w:rPr>
            </w:pPr>
            <w:r w:rsidRPr="00CA53D4">
              <w:rPr>
                <w:rFonts w:hAnsi="標楷體" w:hint="eastAsia"/>
                <w:spacing w:val="-6"/>
                <w:sz w:val="28"/>
                <w:szCs w:val="28"/>
              </w:rPr>
              <w:t>已提供港方所需「情資」，並表達我方願予協助，惟請港方提出符合我方要求格式之司法互助請求書。</w:t>
            </w:r>
          </w:p>
        </w:tc>
      </w:tr>
      <w:tr w:rsidR="00CA53D4" w:rsidRPr="00CA53D4" w:rsidTr="00920342">
        <w:tc>
          <w:tcPr>
            <w:tcW w:w="1134"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第2次</w:t>
            </w:r>
          </w:p>
        </w:tc>
        <w:tc>
          <w:tcPr>
            <w:tcW w:w="3119" w:type="dxa"/>
            <w:shd w:val="clear" w:color="auto" w:fill="auto"/>
          </w:tcPr>
          <w:p w:rsidR="00CA53D4" w:rsidRPr="00CA53D4" w:rsidRDefault="00CA53D4" w:rsidP="00920342">
            <w:pPr>
              <w:overflowPunct/>
              <w:autoSpaceDE/>
              <w:autoSpaceDN/>
              <w:spacing w:line="500" w:lineRule="exact"/>
              <w:jc w:val="left"/>
              <w:rPr>
                <w:rFonts w:hAnsi="標楷體"/>
                <w:spacing w:val="-6"/>
                <w:sz w:val="28"/>
                <w:szCs w:val="28"/>
                <w:shd w:val="pct15" w:color="auto" w:fill="FFFFFF"/>
              </w:rPr>
            </w:pPr>
            <w:r w:rsidRPr="00CA53D4">
              <w:rPr>
                <w:rFonts w:hAnsi="標楷體" w:hint="eastAsia"/>
                <w:spacing w:val="-6"/>
                <w:sz w:val="28"/>
                <w:szCs w:val="28"/>
                <w:shd w:val="pct15" w:color="auto" w:fill="FFFFFF"/>
              </w:rPr>
              <w:t>108年3月1日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建議由「策進會」及「協進會」主管帶領出席，於3月上旬與我方會面溝通。</w:t>
            </w:r>
          </w:p>
        </w:tc>
        <w:tc>
          <w:tcPr>
            <w:tcW w:w="3402" w:type="dxa"/>
            <w:shd w:val="clear" w:color="auto" w:fill="auto"/>
          </w:tcPr>
          <w:p w:rsidR="00CA53D4" w:rsidRPr="00CA53D4" w:rsidRDefault="00CA53D4" w:rsidP="00920342">
            <w:pPr>
              <w:overflowPunct/>
              <w:autoSpaceDE/>
              <w:autoSpaceDN/>
              <w:spacing w:line="500" w:lineRule="exact"/>
              <w:rPr>
                <w:rFonts w:hAnsi="標楷體"/>
                <w:spacing w:val="-6"/>
                <w:sz w:val="28"/>
                <w:szCs w:val="28"/>
                <w:shd w:val="pct15" w:color="auto" w:fill="FFFFFF"/>
              </w:rPr>
            </w:pPr>
            <w:r w:rsidRPr="00CA53D4">
              <w:rPr>
                <w:rFonts w:hAnsi="標楷體" w:hint="eastAsia"/>
                <w:spacing w:val="-6"/>
                <w:sz w:val="28"/>
                <w:szCs w:val="28"/>
                <w:shd w:val="pct15" w:color="auto" w:fill="FFFFFF"/>
              </w:rPr>
              <w:t>108年3月6日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鑒於我方曾於107年11月要求就該案會商，港方以司法互助非雙方同意之合作議題而拒絕，爰請港方釐清此次要求溝通，是否表示司法互助(不論是長期或個案合作方式)已列為未來臺、港合作議題。</w:t>
            </w:r>
          </w:p>
        </w:tc>
      </w:tr>
      <w:tr w:rsidR="00CA53D4" w:rsidRPr="00CA53D4" w:rsidTr="00920342">
        <w:tc>
          <w:tcPr>
            <w:tcW w:w="1134"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t>第3次</w:t>
            </w:r>
          </w:p>
        </w:tc>
        <w:tc>
          <w:tcPr>
            <w:tcW w:w="3119" w:type="dxa"/>
            <w:shd w:val="clear" w:color="auto" w:fill="auto"/>
          </w:tcPr>
          <w:p w:rsidR="00CA53D4" w:rsidRPr="00CA53D4" w:rsidRDefault="00CA53D4" w:rsidP="00920342">
            <w:pPr>
              <w:overflowPunct/>
              <w:autoSpaceDE/>
              <w:autoSpaceDN/>
              <w:spacing w:line="500" w:lineRule="exact"/>
              <w:jc w:val="left"/>
              <w:rPr>
                <w:rFonts w:hAnsi="標楷體"/>
                <w:spacing w:val="-6"/>
                <w:sz w:val="28"/>
                <w:szCs w:val="28"/>
                <w:shd w:val="pct15" w:color="auto" w:fill="FFFFFF"/>
              </w:rPr>
            </w:pPr>
            <w:r w:rsidRPr="00CA53D4">
              <w:rPr>
                <w:rFonts w:hAnsi="標楷體" w:hint="eastAsia"/>
                <w:spacing w:val="-6"/>
                <w:sz w:val="28"/>
                <w:szCs w:val="28"/>
                <w:shd w:val="pct15" w:color="auto" w:fill="FFFFFF"/>
              </w:rPr>
              <w:t>108年3月27日</w:t>
            </w:r>
          </w:p>
          <w:p w:rsidR="00CA53D4" w:rsidRPr="00CA53D4" w:rsidRDefault="00CA53D4" w:rsidP="00920342">
            <w:pPr>
              <w:tabs>
                <w:tab w:val="decimal" w:pos="900"/>
              </w:tabs>
              <w:overflowPunct/>
              <w:autoSpaceDE/>
              <w:autoSpaceDN/>
              <w:spacing w:line="500" w:lineRule="exact"/>
              <w:rPr>
                <w:rFonts w:hAnsi="標楷體"/>
                <w:spacing w:val="-6"/>
                <w:sz w:val="28"/>
                <w:szCs w:val="28"/>
              </w:rPr>
            </w:pPr>
            <w:r w:rsidRPr="00CA53D4">
              <w:rPr>
                <w:rFonts w:hAnsi="標楷體" w:hint="eastAsia"/>
                <w:spacing w:val="-6"/>
                <w:sz w:val="28"/>
                <w:szCs w:val="28"/>
              </w:rPr>
              <w:t>港方未正面回應我方3次司法互助請求，仍希透過策協平台，與我在港會面，討論議題主要就陳案的調查及司法進程進行交流，及探討陳案的司法互助及送交安排等相關事項。</w:t>
            </w:r>
          </w:p>
        </w:tc>
        <w:tc>
          <w:tcPr>
            <w:tcW w:w="3402" w:type="dxa"/>
            <w:shd w:val="clear" w:color="auto" w:fill="auto"/>
          </w:tcPr>
          <w:p w:rsidR="00CA53D4" w:rsidRPr="00CA53D4" w:rsidRDefault="00CA53D4" w:rsidP="00920342">
            <w:pPr>
              <w:overflowPunct/>
              <w:autoSpaceDE/>
              <w:autoSpaceDN/>
              <w:spacing w:line="500" w:lineRule="exact"/>
              <w:jc w:val="left"/>
              <w:rPr>
                <w:rFonts w:hAnsi="標楷體"/>
                <w:spacing w:val="-6"/>
                <w:sz w:val="28"/>
                <w:szCs w:val="28"/>
                <w:shd w:val="pct15" w:color="auto" w:fill="FFFFFF"/>
              </w:rPr>
            </w:pPr>
            <w:r w:rsidRPr="00CA53D4">
              <w:rPr>
                <w:rFonts w:hAnsi="標楷體" w:hint="eastAsia"/>
                <w:spacing w:val="-6"/>
                <w:sz w:val="28"/>
                <w:szCs w:val="28"/>
                <w:shd w:val="pct15" w:color="auto" w:fill="FFFFFF"/>
              </w:rPr>
              <w:t>108年4月15日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建議聚焦臺、港司法互助，請港方回應我方3次司法互助請求(交付證據、代為訊問陳嫌)，另就</w:t>
            </w:r>
            <w:r w:rsidRPr="00CA53D4">
              <w:rPr>
                <w:rFonts w:hAnsi="標楷體"/>
                <w:spacing w:val="-6"/>
                <w:sz w:val="28"/>
                <w:szCs w:val="28"/>
              </w:rPr>
              <w:t>《逃犯條例》</w:t>
            </w:r>
            <w:r w:rsidRPr="00CA53D4">
              <w:rPr>
                <w:rFonts w:hAnsi="標楷體" w:hint="eastAsia"/>
                <w:spacing w:val="-6"/>
                <w:sz w:val="28"/>
                <w:szCs w:val="28"/>
              </w:rPr>
              <w:t>之修訂，恐對臺灣民眾人身安全產生風險一節，要求秉「對等保證」原則，確實保障我方民眾</w:t>
            </w:r>
            <w:r w:rsidRPr="00CA53D4">
              <w:rPr>
                <w:rFonts w:hAnsi="標楷體" w:hint="eastAsia"/>
                <w:spacing w:val="-6"/>
                <w:sz w:val="28"/>
                <w:szCs w:val="28"/>
              </w:rPr>
              <w:lastRenderedPageBreak/>
              <w:t>人權，並請港方說明清楚。</w:t>
            </w:r>
          </w:p>
        </w:tc>
      </w:tr>
      <w:tr w:rsidR="00CA53D4" w:rsidRPr="00CA53D4" w:rsidTr="00920342">
        <w:tc>
          <w:tcPr>
            <w:tcW w:w="1134" w:type="dxa"/>
            <w:shd w:val="clear" w:color="auto" w:fill="auto"/>
          </w:tcPr>
          <w:p w:rsidR="00CA53D4" w:rsidRPr="00CA53D4" w:rsidRDefault="00CA53D4" w:rsidP="00920342">
            <w:pPr>
              <w:tabs>
                <w:tab w:val="decimal" w:pos="900"/>
              </w:tabs>
              <w:overflowPunct/>
              <w:autoSpaceDE/>
              <w:autoSpaceDN/>
              <w:jc w:val="center"/>
              <w:rPr>
                <w:rFonts w:hAnsi="標楷體"/>
                <w:spacing w:val="-6"/>
                <w:sz w:val="28"/>
                <w:szCs w:val="28"/>
              </w:rPr>
            </w:pPr>
            <w:r w:rsidRPr="00CA53D4">
              <w:rPr>
                <w:rFonts w:hAnsi="標楷體" w:hint="eastAsia"/>
                <w:spacing w:val="-6"/>
                <w:sz w:val="28"/>
                <w:szCs w:val="28"/>
              </w:rPr>
              <w:lastRenderedPageBreak/>
              <w:t>第4次</w:t>
            </w:r>
          </w:p>
        </w:tc>
        <w:tc>
          <w:tcPr>
            <w:tcW w:w="3119" w:type="dxa"/>
            <w:shd w:val="clear" w:color="auto" w:fill="auto"/>
          </w:tcPr>
          <w:p w:rsidR="00CA53D4" w:rsidRPr="00CA53D4" w:rsidRDefault="00CA53D4" w:rsidP="00920342">
            <w:pPr>
              <w:overflowPunct/>
              <w:autoSpaceDE/>
              <w:autoSpaceDN/>
              <w:spacing w:line="500" w:lineRule="exact"/>
              <w:jc w:val="left"/>
              <w:rPr>
                <w:rFonts w:hAnsi="標楷體"/>
                <w:spacing w:val="-6"/>
                <w:sz w:val="28"/>
                <w:szCs w:val="28"/>
                <w:shd w:val="pct15" w:color="auto" w:fill="FFFFFF"/>
              </w:rPr>
            </w:pPr>
            <w:r w:rsidRPr="00CA53D4">
              <w:rPr>
                <w:rFonts w:hAnsi="標楷體" w:hint="eastAsia"/>
                <w:spacing w:val="-6"/>
                <w:sz w:val="28"/>
                <w:szCs w:val="28"/>
                <w:shd w:val="pct15" w:color="auto" w:fill="FFFFFF"/>
              </w:rPr>
              <w:t>108年4月29日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針對我方所提之交付證據及代為訊問陳嫌等司法互助事宜，可在會面時探討協作空間，惟須在符合港方法例之前提下處理。</w:t>
            </w:r>
          </w:p>
        </w:tc>
        <w:tc>
          <w:tcPr>
            <w:tcW w:w="3402" w:type="dxa"/>
            <w:shd w:val="clear" w:color="auto" w:fill="auto"/>
          </w:tcPr>
          <w:p w:rsidR="00CA53D4" w:rsidRPr="00CA53D4" w:rsidRDefault="00CA53D4" w:rsidP="00920342">
            <w:pPr>
              <w:overflowPunct/>
              <w:autoSpaceDE/>
              <w:autoSpaceDN/>
              <w:spacing w:line="500" w:lineRule="exact"/>
              <w:jc w:val="left"/>
              <w:rPr>
                <w:rFonts w:hAnsi="標楷體"/>
                <w:spacing w:val="-6"/>
                <w:sz w:val="28"/>
                <w:szCs w:val="28"/>
                <w:shd w:val="pct15" w:color="auto" w:fill="FFFFFF"/>
              </w:rPr>
            </w:pPr>
            <w:r w:rsidRPr="00CA53D4">
              <w:rPr>
                <w:rFonts w:hAnsi="標楷體" w:hint="eastAsia"/>
                <w:spacing w:val="-6"/>
                <w:sz w:val="28"/>
                <w:szCs w:val="28"/>
                <w:shd w:val="pct15" w:color="auto" w:fill="FFFFFF"/>
              </w:rPr>
              <w:t>108年5月2日</w:t>
            </w:r>
          </w:p>
          <w:p w:rsidR="00CA53D4" w:rsidRPr="00CA53D4" w:rsidRDefault="00CA53D4" w:rsidP="00920342">
            <w:pPr>
              <w:overflowPunct/>
              <w:autoSpaceDE/>
              <w:autoSpaceDN/>
              <w:spacing w:line="500" w:lineRule="exact"/>
              <w:rPr>
                <w:rFonts w:hAnsi="標楷體"/>
                <w:spacing w:val="-6"/>
                <w:sz w:val="28"/>
                <w:szCs w:val="28"/>
              </w:rPr>
            </w:pPr>
            <w:r w:rsidRPr="00CA53D4">
              <w:rPr>
                <w:rFonts w:hAnsi="標楷體" w:hint="eastAsia"/>
                <w:spacing w:val="-6"/>
                <w:sz w:val="28"/>
                <w:szCs w:val="28"/>
              </w:rPr>
              <w:t>電告港方：由於香港特首強調「有條件」與我磋商，</w:t>
            </w:r>
            <w:r w:rsidRPr="00CA53D4">
              <w:rPr>
                <w:rFonts w:hAnsi="標楷體"/>
                <w:spacing w:val="-6"/>
                <w:sz w:val="28"/>
                <w:szCs w:val="28"/>
              </w:rPr>
              <w:t>若此條件係指修訂逃犯條例相關規定，我</w:t>
            </w:r>
            <w:r w:rsidRPr="00CA53D4">
              <w:rPr>
                <w:rFonts w:hAnsi="標楷體" w:hint="eastAsia"/>
                <w:spacing w:val="-6"/>
                <w:sz w:val="28"/>
                <w:szCs w:val="28"/>
              </w:rPr>
              <w:t>方</w:t>
            </w:r>
            <w:r w:rsidRPr="00CA53D4">
              <w:rPr>
                <w:rFonts w:hAnsi="標楷體"/>
                <w:spacing w:val="-6"/>
                <w:sz w:val="28"/>
                <w:szCs w:val="28"/>
              </w:rPr>
              <w:t>已就該法修訂有諸多侵犯人權及人身安全疑慮，表達嚴正關切</w:t>
            </w:r>
            <w:r w:rsidRPr="00CA53D4">
              <w:rPr>
                <w:rFonts w:hAnsi="標楷體" w:hint="eastAsia"/>
                <w:spacing w:val="-6"/>
                <w:sz w:val="28"/>
                <w:szCs w:val="28"/>
              </w:rPr>
              <w:t>及</w:t>
            </w:r>
            <w:r w:rsidRPr="00CA53D4">
              <w:rPr>
                <w:rFonts w:hAnsi="標楷體"/>
                <w:spacing w:val="-6"/>
                <w:sz w:val="28"/>
                <w:szCs w:val="28"/>
              </w:rPr>
              <w:t>我</w:t>
            </w:r>
            <w:r w:rsidRPr="00CA53D4">
              <w:rPr>
                <w:rFonts w:hAnsi="標楷體" w:hint="eastAsia"/>
                <w:spacing w:val="-6"/>
                <w:sz w:val="28"/>
                <w:szCs w:val="28"/>
              </w:rPr>
              <w:t>方</w:t>
            </w:r>
            <w:r w:rsidRPr="00CA53D4">
              <w:rPr>
                <w:rFonts w:hAnsi="標楷體"/>
                <w:spacing w:val="-6"/>
                <w:sz w:val="28"/>
                <w:szCs w:val="28"/>
              </w:rPr>
              <w:t>的憂慮，</w:t>
            </w:r>
            <w:r w:rsidRPr="00CA53D4">
              <w:rPr>
                <w:rFonts w:hAnsi="標楷體" w:hint="eastAsia"/>
                <w:spacing w:val="-6"/>
                <w:sz w:val="28"/>
                <w:szCs w:val="28"/>
              </w:rPr>
              <w:t>因此對與港方磋商持保留態度。</w:t>
            </w:r>
          </w:p>
        </w:tc>
      </w:tr>
    </w:tbl>
    <w:p w:rsidR="00CC5517" w:rsidRPr="00CA53D4" w:rsidRDefault="00A76638" w:rsidP="001B5E87">
      <w:pPr>
        <w:pStyle w:val="3"/>
        <w:rPr>
          <w:spacing w:val="-6"/>
        </w:rPr>
      </w:pPr>
      <w:r w:rsidRPr="00CA53D4">
        <w:rPr>
          <w:rFonts w:hint="eastAsia"/>
          <w:spacing w:val="-6"/>
        </w:rPr>
        <w:t>法治國家處理刑事案件，司法機關應</w:t>
      </w:r>
      <w:r w:rsidR="0025270B" w:rsidRPr="00CA53D4">
        <w:rPr>
          <w:rFonts w:hint="eastAsia"/>
          <w:spacing w:val="-6"/>
        </w:rPr>
        <w:t>依法進行偵查審判，所有事實認定均需依證據而為。</w:t>
      </w:r>
      <w:r w:rsidRPr="00CA53D4">
        <w:rPr>
          <w:rFonts w:hint="eastAsia"/>
          <w:spacing w:val="-6"/>
        </w:rPr>
        <w:t>士林地檢署偵辦本案期間，因需要香港偵查機關所持有之本案相關證據，且被告已於案發後潛逃返港，法務部及士林地檢署研議後認為，透過正式</w:t>
      </w:r>
      <w:r w:rsidR="00C116F6" w:rsidRPr="00CA53D4">
        <w:rPr>
          <w:rFonts w:hint="eastAsia"/>
          <w:spacing w:val="-6"/>
        </w:rPr>
        <w:t>臺、港</w:t>
      </w:r>
      <w:r w:rsidRPr="00CA53D4">
        <w:rPr>
          <w:rFonts w:hint="eastAsia"/>
          <w:spacing w:val="-6"/>
        </w:rPr>
        <w:t>司法互助程序，依法取得</w:t>
      </w:r>
      <w:r w:rsidR="00C116F6" w:rsidRPr="00CA53D4">
        <w:rPr>
          <w:rFonts w:hint="eastAsia"/>
          <w:spacing w:val="-6"/>
        </w:rPr>
        <w:t>臺、港</w:t>
      </w:r>
      <w:r w:rsidRPr="00CA53D4">
        <w:rPr>
          <w:rFonts w:hint="eastAsia"/>
          <w:spacing w:val="-6"/>
        </w:rPr>
        <w:t>兩地全部事證，才能確保證據之證據能力及相關事證完整呈現在偵查及審判程序中，使被告之程序基本權受充分保障，並且查明事實真相，還給被害人及其家屬應得之公道。</w:t>
      </w:r>
      <w:r w:rsidR="001B5E87" w:rsidRPr="00CA53D4">
        <w:rPr>
          <w:rFonts w:hint="eastAsia"/>
          <w:spacing w:val="-6"/>
        </w:rPr>
        <w:t>司法院釋字第582號解釋理由書略以，刑事審判基於憲法正當法律程序原則，對於犯罪事實之認定，採證據裁判及自白任意性等原則。刑事訴訟法據以規定嚴格證明法則，必須具證據能力之證據，經合法調查，使法院形</w:t>
      </w:r>
      <w:r w:rsidR="0018591B" w:rsidRPr="00CA53D4">
        <w:rPr>
          <w:rFonts w:hint="eastAsia"/>
          <w:spacing w:val="-6"/>
        </w:rPr>
        <w:t>成該等證據已足證明被告犯罪之確信心證，始能判決被告有罪。</w:t>
      </w:r>
      <w:r w:rsidR="00C116F6" w:rsidRPr="00CA53D4">
        <w:rPr>
          <w:rFonts w:hint="eastAsia"/>
          <w:spacing w:val="-6"/>
        </w:rPr>
        <w:t>臺、港</w:t>
      </w:r>
      <w:r w:rsidR="00AF3B09" w:rsidRPr="00CA53D4">
        <w:rPr>
          <w:rFonts w:hint="eastAsia"/>
          <w:spacing w:val="-6"/>
        </w:rPr>
        <w:t>之間</w:t>
      </w:r>
      <w:r w:rsidR="001B5E87" w:rsidRPr="00CA53D4">
        <w:rPr>
          <w:rFonts w:hint="eastAsia"/>
          <w:spacing w:val="-6"/>
        </w:rPr>
        <w:t>若</w:t>
      </w:r>
      <w:r w:rsidR="0018591B" w:rsidRPr="00CA53D4">
        <w:rPr>
          <w:rFonts w:hint="eastAsia"/>
          <w:spacing w:val="-6"/>
        </w:rPr>
        <w:t>有簽訂正式刑事司法互助協議，香港政府依協議所提供之本案證據始具有證據能力，俾利</w:t>
      </w:r>
      <w:r w:rsidR="001B5E87" w:rsidRPr="00CA53D4">
        <w:rPr>
          <w:rFonts w:hint="eastAsia"/>
          <w:spacing w:val="-6"/>
        </w:rPr>
        <w:t>我國司法機關後續偵審程序，藉</w:t>
      </w:r>
      <w:r w:rsidR="001B5E87" w:rsidRPr="00CA53D4">
        <w:rPr>
          <w:rFonts w:hAnsi="標楷體" w:hint="eastAsia"/>
          <w:spacing w:val="-6"/>
          <w:szCs w:val="32"/>
        </w:rPr>
        <w:t>以實現國家刑罰權</w:t>
      </w:r>
      <w:r w:rsidR="001B5E87" w:rsidRPr="00CA53D4">
        <w:rPr>
          <w:rFonts w:hint="eastAsia"/>
          <w:spacing w:val="-6"/>
        </w:rPr>
        <w:t>。</w:t>
      </w:r>
    </w:p>
    <w:p w:rsidR="001B5E87" w:rsidRPr="00CA53D4" w:rsidRDefault="001B5E87" w:rsidP="001B5E87">
      <w:pPr>
        <w:pStyle w:val="3"/>
        <w:rPr>
          <w:rFonts w:hAnsi="標楷體"/>
          <w:spacing w:val="-6"/>
        </w:rPr>
      </w:pPr>
      <w:r w:rsidRPr="00CA53D4">
        <w:rPr>
          <w:rFonts w:hAnsi="標楷體" w:hint="eastAsia"/>
          <w:spacing w:val="-6"/>
        </w:rPr>
        <w:lastRenderedPageBreak/>
        <w:t>我國目前依法處理</w:t>
      </w:r>
      <w:r w:rsidR="00C116F6" w:rsidRPr="00CA53D4">
        <w:rPr>
          <w:rFonts w:hAnsi="標楷體" w:hint="eastAsia"/>
          <w:spacing w:val="-6"/>
        </w:rPr>
        <w:t>臺、港</w:t>
      </w:r>
      <w:r w:rsidRPr="00CA53D4">
        <w:rPr>
          <w:rFonts w:hAnsi="標楷體" w:hint="eastAsia"/>
          <w:spacing w:val="-6"/>
        </w:rPr>
        <w:t>刑事司法互助之作法</w:t>
      </w:r>
      <w:r w:rsidR="00ED41A9" w:rsidRPr="00CA53D4">
        <w:rPr>
          <w:rFonts w:hAnsi="標楷體" w:hint="eastAsia"/>
          <w:spacing w:val="-6"/>
        </w:rPr>
        <w:t>：</w:t>
      </w:r>
    </w:p>
    <w:p w:rsidR="001B5E87" w:rsidRPr="00CA53D4" w:rsidRDefault="001B5E87" w:rsidP="001B5E87">
      <w:pPr>
        <w:pStyle w:val="4"/>
        <w:rPr>
          <w:rFonts w:hAnsi="標楷體"/>
          <w:spacing w:val="-6"/>
        </w:rPr>
      </w:pPr>
      <w:r w:rsidRPr="00CA53D4">
        <w:rPr>
          <w:rFonts w:hAnsi="標楷體" w:hint="eastAsia"/>
          <w:spacing w:val="-6"/>
        </w:rPr>
        <w:t>臺灣與港、澳間之司法互助，係依據香港澳門關係條例第56條「臺灣地區與香港或澳門司法之相互協助，得依互惠原則處理」及國際刑事司法互助法第36條「臺灣地區與香港及澳門間之刑事司法互助請求，準用本法規定，並由法務部經行政院大陸委員會與香港、澳門之權責機關相互為之」之規定進行。</w:t>
      </w:r>
    </w:p>
    <w:p w:rsidR="001B5E87" w:rsidRPr="00CA53D4" w:rsidRDefault="001B5E87" w:rsidP="001B5E87">
      <w:pPr>
        <w:pStyle w:val="4"/>
        <w:rPr>
          <w:rFonts w:hAnsi="標楷體"/>
          <w:spacing w:val="-6"/>
        </w:rPr>
      </w:pPr>
      <w:r w:rsidRPr="00CA53D4">
        <w:rPr>
          <w:rFonts w:hAnsi="標楷體" w:hint="eastAsia"/>
          <w:spacing w:val="-6"/>
        </w:rPr>
        <w:t>各檢察機關或其他司法機關對香港提出司法互助請求時，需將請求書及相關文件函送法務部，由法務部出具司法互助聯繫公函併送大陸委員會，再由大陸委員會香港辦事處向香港政府提出。若</w:t>
      </w:r>
      <w:r w:rsidR="005D4618" w:rsidRPr="00CA53D4">
        <w:rPr>
          <w:rFonts w:hAnsi="標楷體" w:hint="eastAsia"/>
          <w:spacing w:val="-6"/>
        </w:rPr>
        <w:t>港、澳地區</w:t>
      </w:r>
      <w:r w:rsidRPr="00CA53D4">
        <w:rPr>
          <w:rFonts w:hAnsi="標楷體" w:hint="eastAsia"/>
          <w:spacing w:val="-6"/>
        </w:rPr>
        <w:t>對臺灣有何司法互助請求，依須經由大陸委員會將其請求書送至法務部，由法務部發交適當檢察機關，或轉請司法院交由適當法院協助</w:t>
      </w:r>
      <w:r w:rsidR="00D34B53" w:rsidRPr="00CA53D4">
        <w:rPr>
          <w:rFonts w:hAnsi="標楷體" w:hint="eastAsia"/>
          <w:spacing w:val="-6"/>
        </w:rPr>
        <w:t>執行</w:t>
      </w:r>
      <w:r w:rsidRPr="00CA53D4">
        <w:rPr>
          <w:rFonts w:hAnsi="標楷體" w:hint="eastAsia"/>
          <w:spacing w:val="-6"/>
        </w:rPr>
        <w:t>。協助完成後，再循相同管道之反向程序，送回港、澳地區政府。</w:t>
      </w:r>
    </w:p>
    <w:p w:rsidR="001B5E87" w:rsidRPr="00CA53D4" w:rsidRDefault="001B5E87" w:rsidP="001B5E87">
      <w:pPr>
        <w:pStyle w:val="4"/>
        <w:rPr>
          <w:rFonts w:hAnsi="標楷體"/>
          <w:spacing w:val="-6"/>
        </w:rPr>
      </w:pPr>
      <w:r w:rsidRPr="00CA53D4">
        <w:rPr>
          <w:rFonts w:hAnsi="標楷體" w:hint="eastAsia"/>
          <w:spacing w:val="-6"/>
        </w:rPr>
        <w:t>依我國國際刑事司法互助法第14條前段明文規定，對請求協助及執行請求之相關資料應予保密。偵查中案件復有偵查不公開之相關規範，法務部及大陸委員會於必要時對外發布新聞或消息供民眾獲知時，仍需謹守前揭法律分際。</w:t>
      </w:r>
    </w:p>
    <w:p w:rsidR="001B5E87" w:rsidRPr="00CA53D4" w:rsidRDefault="001B5E87" w:rsidP="001B5E87">
      <w:pPr>
        <w:pStyle w:val="4"/>
        <w:rPr>
          <w:spacing w:val="-6"/>
        </w:rPr>
      </w:pPr>
      <w:r w:rsidRPr="00CA53D4">
        <w:rPr>
          <w:rFonts w:hAnsi="標楷體" w:cs="新細明體" w:hint="eastAsia"/>
          <w:spacing w:val="-6"/>
          <w:kern w:val="0"/>
          <w:szCs w:val="32"/>
          <w:lang w:val="x-none"/>
        </w:rPr>
        <w:t>自105年起迄今，我方共向香港提出57件司法合作請求，其中透過大陸委員會香港辦事處正式向香港政府提出司法互助請求者共13件，大陸委員會香港辦事處在港協助行政協查者共</w:t>
      </w:r>
      <w:r w:rsidR="00112371" w:rsidRPr="00CA53D4">
        <w:rPr>
          <w:rFonts w:hAnsi="標楷體" w:cs="新細明體" w:hint="eastAsia"/>
          <w:spacing w:val="-6"/>
          <w:kern w:val="0"/>
          <w:szCs w:val="32"/>
          <w:lang w:val="x-none"/>
        </w:rPr>
        <w:t>44</w:t>
      </w:r>
      <w:r w:rsidRPr="00CA53D4">
        <w:rPr>
          <w:rFonts w:hAnsi="標楷體" w:cs="新細明體" w:hint="eastAsia"/>
          <w:spacing w:val="-6"/>
          <w:kern w:val="0"/>
          <w:szCs w:val="32"/>
          <w:lang w:val="x-none"/>
        </w:rPr>
        <w:t>件。香港政府則以</w:t>
      </w:r>
      <w:r w:rsidR="00C116F6" w:rsidRPr="00CA53D4">
        <w:rPr>
          <w:rFonts w:hAnsi="標楷體" w:cs="新細明體" w:hint="eastAsia"/>
          <w:spacing w:val="-6"/>
          <w:kern w:val="0"/>
          <w:szCs w:val="32"/>
          <w:lang w:val="x-none"/>
        </w:rPr>
        <w:t>臺、港</w:t>
      </w:r>
      <w:r w:rsidRPr="00CA53D4">
        <w:rPr>
          <w:rFonts w:hAnsi="標楷體" w:cs="新細明體" w:hint="eastAsia"/>
          <w:spacing w:val="-6"/>
          <w:kern w:val="0"/>
          <w:szCs w:val="32"/>
          <w:lang w:val="x-none"/>
        </w:rPr>
        <w:t>間未簽有司法互助協議，且香港無法律基礎與臺灣進行司法互助為由，未曾回應我方所提出之請求；至於行政協查部分則由大陸委員會香港辦事處完成。</w:t>
      </w:r>
    </w:p>
    <w:p w:rsidR="0099266A" w:rsidRPr="00CA53D4" w:rsidRDefault="00C116F6" w:rsidP="0099266A">
      <w:pPr>
        <w:pStyle w:val="3"/>
        <w:rPr>
          <w:rFonts w:hAnsi="標楷體"/>
          <w:spacing w:val="-6"/>
        </w:rPr>
      </w:pPr>
      <w:r w:rsidRPr="00CA53D4">
        <w:rPr>
          <w:rFonts w:hAnsi="標楷體" w:hint="eastAsia"/>
          <w:spacing w:val="-6"/>
        </w:rPr>
        <w:t>臺、港、</w:t>
      </w:r>
      <w:r w:rsidR="0099266A" w:rsidRPr="00CA53D4">
        <w:rPr>
          <w:rFonts w:hAnsi="標楷體" w:hint="eastAsia"/>
          <w:spacing w:val="-6"/>
        </w:rPr>
        <w:t>澳</w:t>
      </w:r>
      <w:r w:rsidR="0099266A" w:rsidRPr="00CA53D4">
        <w:rPr>
          <w:rFonts w:hAnsi="標楷體" w:hint="eastAsia"/>
          <w:spacing w:val="-6"/>
          <w:szCs w:val="32"/>
        </w:rPr>
        <w:t>之間應儘速簽訂刑事司法互助協議</w:t>
      </w:r>
      <w:r w:rsidR="0099266A" w:rsidRPr="00CA53D4">
        <w:rPr>
          <w:rFonts w:hAnsi="標楷體" w:hint="eastAsia"/>
          <w:spacing w:val="-6"/>
        </w:rPr>
        <w:t>，以妥</w:t>
      </w:r>
      <w:r w:rsidR="0099266A" w:rsidRPr="00CA53D4">
        <w:rPr>
          <w:rFonts w:hAnsi="標楷體" w:hint="eastAsia"/>
          <w:spacing w:val="-6"/>
        </w:rPr>
        <w:lastRenderedPageBreak/>
        <w:t>善應處類此刑事案件：</w:t>
      </w:r>
    </w:p>
    <w:p w:rsidR="0099266A" w:rsidRPr="00CA53D4" w:rsidRDefault="00D83A38" w:rsidP="00D83A38">
      <w:pPr>
        <w:pStyle w:val="3"/>
        <w:numPr>
          <w:ilvl w:val="0"/>
          <w:numId w:val="0"/>
        </w:numPr>
        <w:ind w:left="1361"/>
        <w:rPr>
          <w:rFonts w:hAnsi="標楷體"/>
          <w:spacing w:val="-6"/>
        </w:rPr>
      </w:pPr>
      <w:r w:rsidRPr="00CA53D4">
        <w:rPr>
          <w:rFonts w:hAnsi="標楷體" w:cs="新細明體" w:hint="eastAsia"/>
          <w:spacing w:val="-6"/>
          <w:kern w:val="0"/>
          <w:szCs w:val="32"/>
          <w:lang w:val="x-none"/>
        </w:rPr>
        <w:t xml:space="preserve">    </w:t>
      </w:r>
      <w:r w:rsidR="0099266A" w:rsidRPr="00CA53D4">
        <w:rPr>
          <w:rFonts w:hAnsi="標楷體" w:cs="新細明體" w:hint="eastAsia"/>
          <w:spacing w:val="-6"/>
          <w:kern w:val="0"/>
          <w:szCs w:val="32"/>
          <w:lang w:val="x-none"/>
        </w:rPr>
        <w:t>國際刑事司法互助最重要的概念是互惠原則，</w:t>
      </w:r>
      <w:r w:rsidRPr="00CA53D4">
        <w:rPr>
          <w:rFonts w:hAnsi="標楷體" w:cs="新細明體" w:hint="eastAsia"/>
          <w:spacing w:val="-6"/>
          <w:kern w:val="0"/>
          <w:szCs w:val="32"/>
          <w:lang w:val="x-none"/>
        </w:rPr>
        <w:t>雙方訂立司法互助協議，雙方即有義務遵守，若未簽署協議即無義務，個案僅剩互惠原則操作。在</w:t>
      </w:r>
      <w:r w:rsidR="003810B3" w:rsidRPr="00CA53D4">
        <w:rPr>
          <w:rFonts w:hint="eastAsia"/>
          <w:spacing w:val="-6"/>
          <w:szCs w:val="48"/>
        </w:rPr>
        <w:t>海峽兩岸共同打擊犯罪及司法互助協議(下稱</w:t>
      </w:r>
      <w:r w:rsidR="003810B3" w:rsidRPr="00CA53D4">
        <w:rPr>
          <w:rFonts w:hAnsi="標楷體" w:cs="新細明體" w:hint="eastAsia"/>
          <w:spacing w:val="-6"/>
          <w:kern w:val="0"/>
          <w:szCs w:val="32"/>
          <w:lang w:val="x-none"/>
        </w:rPr>
        <w:t>兩岸司法互助協議</w:t>
      </w:r>
      <w:r w:rsidR="003810B3" w:rsidRPr="00CA53D4">
        <w:rPr>
          <w:rFonts w:hint="eastAsia"/>
          <w:spacing w:val="-6"/>
          <w:szCs w:val="48"/>
        </w:rPr>
        <w:t>)</w:t>
      </w:r>
      <w:r w:rsidRPr="00CA53D4">
        <w:rPr>
          <w:rFonts w:hAnsi="標楷體" w:cs="新細明體" w:hint="eastAsia"/>
          <w:spacing w:val="-6"/>
          <w:kern w:val="0"/>
          <w:szCs w:val="32"/>
          <w:lang w:val="x-none"/>
        </w:rPr>
        <w:t>架構下，法務部為執行兩岸司法互助協議之主體，與中國大陸公檢法司四部門指定之聯繫窗口相互執行兩岸司法互助請求，並依國際刑事司法互助法第35條「臺灣地區與大陸地區間之刑事司法互助請求，準用本法規定，並由法務部與大陸地區權責機關相互為之」規定，處理兩岸司法互助事務。此一架構並未適用於臺灣與</w:t>
      </w:r>
      <w:r w:rsidR="005D4618" w:rsidRPr="00CA53D4">
        <w:rPr>
          <w:rFonts w:hAnsi="標楷體" w:cs="新細明體" w:hint="eastAsia"/>
          <w:spacing w:val="-6"/>
          <w:kern w:val="0"/>
          <w:szCs w:val="32"/>
          <w:lang w:val="x-none"/>
        </w:rPr>
        <w:t>港、澳間</w:t>
      </w:r>
      <w:r w:rsidRPr="00CA53D4">
        <w:rPr>
          <w:rFonts w:hAnsi="標楷體" w:cs="新細明體" w:hint="eastAsia"/>
          <w:spacing w:val="-6"/>
          <w:kern w:val="0"/>
          <w:szCs w:val="32"/>
          <w:lang w:val="x-none"/>
        </w:rPr>
        <w:t>之司法互助程序，惟臺灣與</w:t>
      </w:r>
      <w:r w:rsidR="005D4618" w:rsidRPr="00CA53D4">
        <w:rPr>
          <w:rFonts w:hAnsi="標楷體" w:cs="新細明體" w:hint="eastAsia"/>
          <w:spacing w:val="-6"/>
          <w:kern w:val="0"/>
          <w:szCs w:val="32"/>
          <w:lang w:val="x-none"/>
        </w:rPr>
        <w:t>港、澳間</w:t>
      </w:r>
      <w:r w:rsidRPr="00CA53D4">
        <w:rPr>
          <w:rFonts w:hAnsi="標楷體" w:cs="新細明體" w:hint="eastAsia"/>
          <w:spacing w:val="-6"/>
          <w:kern w:val="0"/>
          <w:szCs w:val="32"/>
          <w:lang w:val="x-none"/>
        </w:rPr>
        <w:t>似可參考前揭兩岸司法互助協議架構及作法，簽訂刑事司法互助協議。</w:t>
      </w:r>
    </w:p>
    <w:p w:rsidR="00A72772" w:rsidRPr="00CA53D4" w:rsidRDefault="00A72772" w:rsidP="00A72772">
      <w:pPr>
        <w:pStyle w:val="3"/>
        <w:rPr>
          <w:rFonts w:hAnsi="標楷體"/>
          <w:spacing w:val="-6"/>
          <w:kern w:val="0"/>
          <w:szCs w:val="32"/>
          <w:lang w:val="x-none"/>
        </w:rPr>
      </w:pPr>
      <w:r w:rsidRPr="00CA53D4">
        <w:rPr>
          <w:rFonts w:hAnsi="標楷體" w:hint="eastAsia"/>
          <w:spacing w:val="-6"/>
          <w:szCs w:val="32"/>
        </w:rPr>
        <w:t>香港政府</w:t>
      </w:r>
      <w:r w:rsidRPr="00CA53D4">
        <w:rPr>
          <w:rFonts w:hAnsi="標楷體" w:hint="eastAsia"/>
          <w:spacing w:val="-6"/>
          <w:kern w:val="0"/>
          <w:szCs w:val="32"/>
          <w:lang w:val="x-none"/>
        </w:rPr>
        <w:t>保安局於</w:t>
      </w:r>
      <w:r w:rsidRPr="00CA53D4">
        <w:rPr>
          <w:rFonts w:hAnsi="標楷體" w:cs="TimesNewRoman" w:hint="eastAsia"/>
          <w:spacing w:val="-6"/>
          <w:kern w:val="0"/>
          <w:szCs w:val="32"/>
          <w:lang w:val="x-none"/>
        </w:rPr>
        <w:t>108</w:t>
      </w:r>
      <w:r w:rsidRPr="00CA53D4">
        <w:rPr>
          <w:rFonts w:hAnsi="標楷體" w:hint="eastAsia"/>
          <w:spacing w:val="-6"/>
          <w:kern w:val="0"/>
          <w:szCs w:val="32"/>
          <w:lang w:val="x-none"/>
        </w:rPr>
        <w:t>年</w:t>
      </w:r>
      <w:r w:rsidRPr="00CA53D4">
        <w:rPr>
          <w:rFonts w:hAnsi="標楷體" w:cs="TimesNewRoman" w:hint="eastAsia"/>
          <w:spacing w:val="-6"/>
          <w:kern w:val="0"/>
          <w:szCs w:val="32"/>
          <w:lang w:val="x-none"/>
        </w:rPr>
        <w:t>2</w:t>
      </w:r>
      <w:r w:rsidRPr="00CA53D4">
        <w:rPr>
          <w:rFonts w:hAnsi="標楷體" w:hint="eastAsia"/>
          <w:spacing w:val="-6"/>
          <w:kern w:val="0"/>
          <w:szCs w:val="32"/>
          <w:lang w:val="x-none"/>
        </w:rPr>
        <w:t>月</w:t>
      </w:r>
      <w:r w:rsidRPr="00CA53D4">
        <w:rPr>
          <w:rFonts w:hAnsi="標楷體" w:cs="TimesNewRoman" w:hint="eastAsia"/>
          <w:spacing w:val="-6"/>
          <w:kern w:val="0"/>
          <w:szCs w:val="32"/>
          <w:lang w:val="x-none"/>
        </w:rPr>
        <w:t>12</w:t>
      </w:r>
      <w:r w:rsidR="00DC2405" w:rsidRPr="00CA53D4">
        <w:rPr>
          <w:rFonts w:hAnsi="標楷體" w:hint="eastAsia"/>
          <w:spacing w:val="-6"/>
          <w:kern w:val="0"/>
          <w:szCs w:val="32"/>
          <w:lang w:val="x-none"/>
        </w:rPr>
        <w:t>日釋出《逃犯條例》之修訂</w:t>
      </w:r>
      <w:r w:rsidRPr="00CA53D4">
        <w:rPr>
          <w:rFonts w:hAnsi="標楷體" w:hint="eastAsia"/>
          <w:spacing w:val="-6"/>
          <w:kern w:val="0"/>
          <w:szCs w:val="32"/>
          <w:lang w:val="x-none"/>
        </w:rPr>
        <w:t>訊息，並對外公開表示，</w:t>
      </w:r>
      <w:r w:rsidR="0095563E" w:rsidRPr="00CA53D4">
        <w:rPr>
          <w:rFonts w:hAnsi="標楷體"/>
          <w:spacing w:val="-6"/>
          <w:szCs w:val="32"/>
        </w:rPr>
        <w:t>《逃犯條例》</w:t>
      </w:r>
      <w:r w:rsidR="0095563E" w:rsidRPr="00CA53D4">
        <w:rPr>
          <w:rFonts w:hAnsi="標楷體" w:hint="eastAsia"/>
          <w:spacing w:val="-6"/>
          <w:szCs w:val="32"/>
        </w:rPr>
        <w:t>之修訂</w:t>
      </w:r>
      <w:r w:rsidRPr="00CA53D4">
        <w:rPr>
          <w:rFonts w:hAnsi="標楷體" w:hint="eastAsia"/>
          <w:spacing w:val="-6"/>
          <w:kern w:val="0"/>
          <w:szCs w:val="32"/>
          <w:lang w:val="x-none"/>
        </w:rPr>
        <w:t>目的，是為了回應臺灣所提出港女命案司法互助與遣送嫌犯的請求。</w:t>
      </w:r>
      <w:r w:rsidRPr="00CA53D4">
        <w:rPr>
          <w:rFonts w:hint="eastAsia"/>
          <w:spacing w:val="-6"/>
        </w:rPr>
        <w:t>據</w:t>
      </w:r>
      <w:r w:rsidRPr="00CA53D4">
        <w:rPr>
          <w:rFonts w:hAnsi="標楷體" w:hint="eastAsia"/>
          <w:spacing w:val="-6"/>
          <w:szCs w:val="32"/>
        </w:rPr>
        <w:t>法務部到院說明表示，</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hint="eastAsia"/>
          <w:spacing w:val="-6"/>
          <w:kern w:val="0"/>
          <w:szCs w:val="32"/>
          <w:lang w:val="x-none"/>
        </w:rPr>
        <w:t>將使任何身在香港之人，不論其國籍為何，均有被送至中國大陸接受刑事調查及審判之可能，此舉已引發國際間對在港人員之人權是否可獲保障之疑慮，在此疑慮未能消除以前，實難推動任何與逃犯移交有關的刑事司法合作。香港作為獨立之司法轄區，若能在互惠及保障人權之基礎上，與臺灣建立司法合作機制，法務部本於向來積極建立國際司法合作關係，以實現司法正義的一貫立場，自然樂見其成，若沒有前揭基礎，就沒有司法合作。</w:t>
      </w:r>
      <w:r w:rsidRPr="00CA53D4">
        <w:rPr>
          <w:rFonts w:hAnsi="標楷體" w:cs="新細明體" w:hint="eastAsia"/>
          <w:spacing w:val="-6"/>
          <w:kern w:val="0"/>
          <w:szCs w:val="32"/>
          <w:lang w:val="x-none"/>
        </w:rPr>
        <w:t>有鑑於此，法務部於108年5月2日召開記者會，公開對外表達無法接受港方以</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cs="新細明體" w:hint="eastAsia"/>
          <w:spacing w:val="-6"/>
          <w:kern w:val="0"/>
          <w:szCs w:val="32"/>
          <w:lang w:val="x-none"/>
        </w:rPr>
        <w:t>作為移交港女命案人犯基礎的立場，期許香港政府能廣納外界意見，重新思考</w:t>
      </w:r>
      <w:r w:rsidR="0087280C" w:rsidRPr="00CA53D4">
        <w:rPr>
          <w:rFonts w:hAnsi="標楷體"/>
          <w:spacing w:val="-6"/>
          <w:szCs w:val="32"/>
        </w:rPr>
        <w:t>《逃犯</w:t>
      </w:r>
      <w:r w:rsidR="0087280C" w:rsidRPr="00CA53D4">
        <w:rPr>
          <w:rFonts w:hAnsi="標楷體"/>
          <w:spacing w:val="-6"/>
          <w:szCs w:val="32"/>
        </w:rPr>
        <w:lastRenderedPageBreak/>
        <w:t>條例》</w:t>
      </w:r>
      <w:r w:rsidR="0087280C" w:rsidRPr="00CA53D4">
        <w:rPr>
          <w:rFonts w:hAnsi="標楷體" w:hint="eastAsia"/>
          <w:spacing w:val="-6"/>
          <w:szCs w:val="32"/>
        </w:rPr>
        <w:t>之修訂</w:t>
      </w:r>
      <w:r w:rsidRPr="00CA53D4">
        <w:rPr>
          <w:rFonts w:hAnsi="標楷體" w:cs="新細明體" w:hint="eastAsia"/>
          <w:spacing w:val="-6"/>
          <w:kern w:val="0"/>
          <w:szCs w:val="32"/>
          <w:lang w:val="x-none"/>
        </w:rPr>
        <w:t>方向。</w:t>
      </w:r>
    </w:p>
    <w:p w:rsidR="00A72772" w:rsidRPr="00CA53D4" w:rsidRDefault="00A72772" w:rsidP="00112371">
      <w:pPr>
        <w:pStyle w:val="3"/>
        <w:rPr>
          <w:rFonts w:hAnsi="標楷體"/>
          <w:spacing w:val="-6"/>
          <w:kern w:val="0"/>
          <w:szCs w:val="32"/>
          <w:lang w:val="x-none"/>
        </w:rPr>
      </w:pPr>
      <w:r w:rsidRPr="00CA53D4">
        <w:rPr>
          <w:rFonts w:hAnsi="標楷體" w:hint="eastAsia"/>
          <w:spacing w:val="-6"/>
          <w:kern w:val="0"/>
          <w:szCs w:val="32"/>
          <w:lang w:val="x-none"/>
        </w:rPr>
        <w:t>我方提出司法互助及嫌犯遣送請求之時間點</w:t>
      </w:r>
      <w:r w:rsidR="00CA53D4" w:rsidRPr="00CA53D4">
        <w:rPr>
          <w:rFonts w:hAnsi="標楷體" w:hint="eastAsia"/>
          <w:spacing w:val="-6"/>
          <w:kern w:val="0"/>
          <w:szCs w:val="32"/>
          <w:lang w:val="x-none"/>
        </w:rPr>
        <w:t>(如下表)</w:t>
      </w:r>
      <w:r w:rsidRPr="00CA53D4">
        <w:rPr>
          <w:rFonts w:hAnsi="標楷體" w:hint="eastAsia"/>
          <w:spacing w:val="-6"/>
          <w:kern w:val="0"/>
          <w:szCs w:val="32"/>
          <w:lang w:val="x-none"/>
        </w:rPr>
        <w:t>，均在香港政府</w:t>
      </w:r>
      <w:r w:rsidR="00CA6497" w:rsidRPr="00CA53D4">
        <w:rPr>
          <w:rFonts w:hAnsi="標楷體"/>
          <w:spacing w:val="-6"/>
          <w:szCs w:val="32"/>
        </w:rPr>
        <w:t>《逃犯條例》</w:t>
      </w:r>
      <w:r w:rsidR="00CA6497" w:rsidRPr="00CA53D4">
        <w:rPr>
          <w:rFonts w:hAnsi="標楷體" w:hint="eastAsia"/>
          <w:spacing w:val="-6"/>
          <w:szCs w:val="32"/>
        </w:rPr>
        <w:t>之修訂</w:t>
      </w:r>
      <w:r w:rsidRPr="00CA53D4">
        <w:rPr>
          <w:rFonts w:hAnsi="標楷體" w:hint="eastAsia"/>
          <w:spacing w:val="-6"/>
          <w:kern w:val="0"/>
          <w:szCs w:val="32"/>
          <w:lang w:val="x-none"/>
        </w:rPr>
        <w:t>之前，</w:t>
      </w:r>
      <w:r w:rsidRPr="00CA53D4">
        <w:rPr>
          <w:rFonts w:hAnsi="標楷體" w:cs="微軟正黑體" w:hint="eastAsia"/>
          <w:spacing w:val="-6"/>
          <w:kern w:val="0"/>
          <w:szCs w:val="32"/>
          <w:lang w:val="x-none"/>
        </w:rPr>
        <w:t>並</w:t>
      </w:r>
      <w:r w:rsidRPr="00CA53D4">
        <w:rPr>
          <w:rFonts w:hAnsi="標楷體" w:cs="Adobe Gothic Std B" w:hint="eastAsia"/>
          <w:spacing w:val="-6"/>
          <w:kern w:val="0"/>
          <w:szCs w:val="32"/>
          <w:lang w:val="x-none"/>
        </w:rPr>
        <w:t>非在</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cs="Adobe Gothic Std B" w:hint="eastAsia"/>
          <w:spacing w:val="-6"/>
          <w:kern w:val="0"/>
          <w:szCs w:val="32"/>
          <w:lang w:val="x-none"/>
        </w:rPr>
        <w:t>架構下</w:t>
      </w:r>
      <w:r w:rsidRPr="00CA53D4">
        <w:rPr>
          <w:rFonts w:hAnsi="標楷體" w:cs="微軟正黑體" w:hint="eastAsia"/>
          <w:spacing w:val="-6"/>
          <w:kern w:val="0"/>
          <w:szCs w:val="32"/>
          <w:lang w:val="x-none"/>
        </w:rPr>
        <w:t>為</w:t>
      </w:r>
      <w:r w:rsidRPr="00CA53D4">
        <w:rPr>
          <w:rFonts w:hAnsi="標楷體" w:hint="eastAsia"/>
          <w:spacing w:val="-6"/>
          <w:kern w:val="0"/>
          <w:szCs w:val="32"/>
          <w:lang w:val="x-none"/>
        </w:rPr>
        <w:t>之，更無呼應香港政府</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hint="eastAsia"/>
          <w:spacing w:val="-6"/>
          <w:kern w:val="0"/>
          <w:szCs w:val="32"/>
          <w:lang w:val="x-none"/>
        </w:rPr>
        <w:t>。依據法務部及大陸委員會相關新聞稿可知，我方所提之請求，僅限於臺灣與香港間之司法互助與逃犯移交請求，而香港政府嚴重遭受</w:t>
      </w:r>
      <w:r w:rsidRPr="00CA53D4">
        <w:rPr>
          <w:rFonts w:hAnsi="標楷體" w:cs="微軟正黑體" w:hint="eastAsia"/>
          <w:spacing w:val="-6"/>
          <w:kern w:val="0"/>
          <w:szCs w:val="32"/>
          <w:lang w:val="x-none"/>
        </w:rPr>
        <w:t>詬</w:t>
      </w:r>
      <w:r w:rsidRPr="00CA53D4">
        <w:rPr>
          <w:rFonts w:hAnsi="標楷體" w:cs="Adobe Gothic Std B" w:hint="eastAsia"/>
          <w:spacing w:val="-6"/>
          <w:kern w:val="0"/>
          <w:szCs w:val="32"/>
          <w:lang w:val="x-none"/>
        </w:rPr>
        <w:t>病及</w:t>
      </w:r>
      <w:r w:rsidRPr="00CA53D4">
        <w:rPr>
          <w:rFonts w:hAnsi="標楷體" w:cs="微軟正黑體" w:hint="eastAsia"/>
          <w:spacing w:val="-6"/>
          <w:kern w:val="0"/>
          <w:szCs w:val="32"/>
          <w:lang w:val="x-none"/>
        </w:rPr>
        <w:t>抨</w:t>
      </w:r>
      <w:r w:rsidRPr="00CA53D4">
        <w:rPr>
          <w:rFonts w:hAnsi="標楷體" w:cs="Adobe Gothic Std B" w:hint="eastAsia"/>
          <w:spacing w:val="-6"/>
          <w:kern w:val="0"/>
          <w:szCs w:val="32"/>
          <w:lang w:val="x-none"/>
        </w:rPr>
        <w:t>擊的</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cs="Adobe Gothic Std B" w:hint="eastAsia"/>
          <w:spacing w:val="-6"/>
          <w:kern w:val="0"/>
          <w:szCs w:val="32"/>
          <w:lang w:val="x-none"/>
        </w:rPr>
        <w:t>，擅自</w:t>
      </w:r>
      <w:r w:rsidRPr="00CA53D4">
        <w:rPr>
          <w:rFonts w:hAnsi="標楷體" w:hint="eastAsia"/>
          <w:spacing w:val="-6"/>
          <w:kern w:val="0"/>
          <w:szCs w:val="32"/>
          <w:lang w:val="x-none"/>
        </w:rPr>
        <w:t>將中國大陸列</w:t>
      </w:r>
      <w:r w:rsidRPr="00CA53D4">
        <w:rPr>
          <w:rFonts w:hAnsi="標楷體" w:cs="微軟正黑體" w:hint="eastAsia"/>
          <w:spacing w:val="-6"/>
          <w:kern w:val="0"/>
          <w:szCs w:val="32"/>
          <w:lang w:val="x-none"/>
        </w:rPr>
        <w:t>為</w:t>
      </w:r>
      <w:r w:rsidRPr="00CA53D4">
        <w:rPr>
          <w:rFonts w:hAnsi="標楷體" w:cs="Adobe Gothic Std B" w:hint="eastAsia"/>
          <w:spacing w:val="-6"/>
          <w:kern w:val="0"/>
          <w:szCs w:val="32"/>
          <w:lang w:val="x-none"/>
        </w:rPr>
        <w:t>得向香港政府提出逃犯移交請求之主體，此等</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cs="微軟正黑體" w:hint="eastAsia"/>
          <w:bCs w:val="0"/>
          <w:spacing w:val="-6"/>
          <w:kern w:val="0"/>
          <w:szCs w:val="32"/>
          <w:lang w:val="x-none"/>
        </w:rPr>
        <w:t>内</w:t>
      </w:r>
      <w:r w:rsidRPr="00CA53D4">
        <w:rPr>
          <w:rFonts w:hAnsi="標楷體" w:cs="Adobe Gothic Std B" w:hint="eastAsia"/>
          <w:bCs w:val="0"/>
          <w:spacing w:val="-6"/>
          <w:kern w:val="0"/>
          <w:szCs w:val="32"/>
          <w:lang w:val="x-none"/>
        </w:rPr>
        <w:t>容顯然與我方所提請求無關</w:t>
      </w:r>
      <w:r w:rsidRPr="00CA53D4">
        <w:rPr>
          <w:rFonts w:hAnsi="標楷體" w:hint="eastAsia"/>
          <w:spacing w:val="-6"/>
          <w:kern w:val="0"/>
          <w:szCs w:val="32"/>
          <w:lang w:val="x-none"/>
        </w:rPr>
        <w:t>。</w:t>
      </w:r>
      <w:r w:rsidR="00112371" w:rsidRPr="00CA53D4">
        <w:rPr>
          <w:rFonts w:hAnsi="標楷體" w:cs="新細明體" w:hint="eastAsia"/>
          <w:spacing w:val="-6"/>
          <w:kern w:val="0"/>
          <w:szCs w:val="32"/>
          <w:lang w:val="x-none"/>
        </w:rPr>
        <w:t>因應</w:t>
      </w:r>
      <w:r w:rsidR="0087280C" w:rsidRPr="00CA53D4">
        <w:rPr>
          <w:rFonts w:hAnsi="標楷體"/>
          <w:spacing w:val="-6"/>
          <w:szCs w:val="32"/>
        </w:rPr>
        <w:t>《逃犯條例》</w:t>
      </w:r>
      <w:r w:rsidR="0087280C" w:rsidRPr="00CA53D4">
        <w:rPr>
          <w:rFonts w:hAnsi="標楷體" w:hint="eastAsia"/>
          <w:spacing w:val="-6"/>
          <w:szCs w:val="32"/>
        </w:rPr>
        <w:t>之修訂</w:t>
      </w:r>
      <w:r w:rsidR="00112371" w:rsidRPr="00CA53D4">
        <w:rPr>
          <w:rFonts w:hAnsi="標楷體" w:cs="新細明體" w:hint="eastAsia"/>
          <w:spacing w:val="-6"/>
          <w:kern w:val="0"/>
          <w:szCs w:val="32"/>
          <w:lang w:val="x-none"/>
        </w:rPr>
        <w:t>可能造成在港臺灣人民人身自由安全威脅，並為妥適處理港女命案之個案司法互助及嫌犯遣送事宜，法務部與大陸委員會多次召開工作會議進行研商，認為</w:t>
      </w:r>
      <w:r w:rsidR="0087280C" w:rsidRPr="00CA53D4">
        <w:rPr>
          <w:rFonts w:hAnsi="標楷體"/>
          <w:spacing w:val="-6"/>
          <w:szCs w:val="32"/>
        </w:rPr>
        <w:t>《逃犯條例》</w:t>
      </w:r>
      <w:r w:rsidR="0087280C" w:rsidRPr="00CA53D4">
        <w:rPr>
          <w:rFonts w:hAnsi="標楷體" w:hint="eastAsia"/>
          <w:spacing w:val="-6"/>
          <w:szCs w:val="32"/>
        </w:rPr>
        <w:t>之修訂</w:t>
      </w:r>
      <w:r w:rsidR="00112371" w:rsidRPr="00CA53D4">
        <w:rPr>
          <w:rFonts w:hAnsi="標楷體" w:cs="新細明體" w:hint="eastAsia"/>
          <w:spacing w:val="-6"/>
          <w:kern w:val="0"/>
          <w:szCs w:val="32"/>
          <w:lang w:val="x-none"/>
        </w:rPr>
        <w:t>内容存有高度政治及人權疑慮，有違我方在對等、尊嚴、互惠及人權保障基礎上處理司法合作事務之原則。在香港政府排除前揭疑慮前，我方不同意港方依</w:t>
      </w:r>
      <w:r w:rsidR="00D505D6" w:rsidRPr="00CA53D4">
        <w:rPr>
          <w:rFonts w:hAnsi="標楷體"/>
          <w:spacing w:val="-6"/>
          <w:szCs w:val="32"/>
        </w:rPr>
        <w:t>《逃犯條例》</w:t>
      </w:r>
      <w:r w:rsidR="00D505D6" w:rsidRPr="00CA53D4">
        <w:rPr>
          <w:rFonts w:hAnsi="標楷體" w:hint="eastAsia"/>
          <w:spacing w:val="-6"/>
          <w:szCs w:val="32"/>
        </w:rPr>
        <w:t>之修訂</w:t>
      </w:r>
      <w:r w:rsidR="00112371" w:rsidRPr="00CA53D4">
        <w:rPr>
          <w:rFonts w:hAnsi="標楷體" w:cs="新細明體" w:hint="eastAsia"/>
          <w:spacing w:val="-6"/>
          <w:kern w:val="0"/>
          <w:szCs w:val="32"/>
          <w:lang w:val="x-none"/>
        </w:rPr>
        <w:t>架構下所為之人犯移交，又</w:t>
      </w:r>
      <w:r w:rsidR="0087280C" w:rsidRPr="00CA53D4">
        <w:rPr>
          <w:rFonts w:hAnsi="標楷體"/>
          <w:spacing w:val="-6"/>
          <w:szCs w:val="32"/>
        </w:rPr>
        <w:t>《逃犯條例》</w:t>
      </w:r>
      <w:r w:rsidR="0087280C" w:rsidRPr="00CA53D4">
        <w:rPr>
          <w:rFonts w:hAnsi="標楷體" w:hint="eastAsia"/>
          <w:spacing w:val="-6"/>
          <w:szCs w:val="32"/>
        </w:rPr>
        <w:t>之修訂</w:t>
      </w:r>
      <w:r w:rsidR="00112371" w:rsidRPr="00CA53D4">
        <w:rPr>
          <w:rFonts w:hAnsi="標楷體" w:cs="新細明體" w:hint="eastAsia"/>
          <w:spacing w:val="-6"/>
          <w:kern w:val="0"/>
          <w:szCs w:val="32"/>
          <w:lang w:val="x-none"/>
        </w:rPr>
        <w:t>因人權保障疑慮，造成香港民意反彈，在香港引發自去（108)年6月間開始之反送中示威遊行活動，香港政府因而於同年10月正式撤回</w:t>
      </w:r>
      <w:r w:rsidR="0087280C" w:rsidRPr="00CA53D4">
        <w:rPr>
          <w:rFonts w:hAnsi="標楷體"/>
          <w:spacing w:val="-6"/>
          <w:szCs w:val="32"/>
        </w:rPr>
        <w:t>《逃犯條例》</w:t>
      </w:r>
      <w:r w:rsidR="0087280C" w:rsidRPr="00CA53D4">
        <w:rPr>
          <w:rFonts w:hAnsi="標楷體" w:hint="eastAsia"/>
          <w:spacing w:val="-6"/>
          <w:szCs w:val="32"/>
        </w:rPr>
        <w:t>之修訂</w:t>
      </w:r>
      <w:r w:rsidR="00112371" w:rsidRPr="00CA53D4">
        <w:rPr>
          <w:rFonts w:hAnsi="標楷體" w:cs="新細明體" w:hint="eastAsia"/>
          <w:spacing w:val="-6"/>
          <w:kern w:val="0"/>
          <w:szCs w:val="32"/>
          <w:lang w:val="x-none"/>
        </w:rPr>
        <w:t>而告終止。</w:t>
      </w:r>
    </w:p>
    <w:tbl>
      <w:tblPr>
        <w:tblStyle w:val="af6"/>
        <w:tblW w:w="0" w:type="auto"/>
        <w:tblInd w:w="1361" w:type="dxa"/>
        <w:tblLook w:val="04A0" w:firstRow="1" w:lastRow="0" w:firstColumn="1" w:lastColumn="0" w:noHBand="0" w:noVBand="1"/>
      </w:tblPr>
      <w:tblGrid>
        <w:gridCol w:w="2291"/>
        <w:gridCol w:w="5182"/>
      </w:tblGrid>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center"/>
              <w:rPr>
                <w:rFonts w:hAnsi="標楷體" w:cs="新細明體"/>
                <w:spacing w:val="-6"/>
                <w:kern w:val="0"/>
                <w:sz w:val="28"/>
                <w:szCs w:val="28"/>
                <w:lang w:val="x-none"/>
              </w:rPr>
            </w:pPr>
            <w:r w:rsidRPr="00CA53D4">
              <w:rPr>
                <w:rFonts w:hAnsi="標楷體" w:cs="新細明體" w:hint="eastAsia"/>
                <w:spacing w:val="-6"/>
                <w:kern w:val="0"/>
                <w:sz w:val="28"/>
                <w:szCs w:val="28"/>
                <w:lang w:val="x-none"/>
              </w:rPr>
              <w:t>時間</w:t>
            </w:r>
          </w:p>
        </w:tc>
        <w:tc>
          <w:tcPr>
            <w:tcW w:w="5182" w:type="dxa"/>
            <w:vAlign w:val="center"/>
          </w:tcPr>
          <w:p w:rsidR="00CA53D4" w:rsidRPr="00CA53D4" w:rsidRDefault="00CA53D4" w:rsidP="00920342">
            <w:pPr>
              <w:overflowPunct/>
              <w:adjustRightInd w:val="0"/>
              <w:snapToGrid w:val="0"/>
              <w:jc w:val="center"/>
              <w:rPr>
                <w:rFonts w:hAnsi="標楷體" w:cs="新細明體"/>
                <w:spacing w:val="-6"/>
                <w:kern w:val="0"/>
                <w:sz w:val="28"/>
                <w:szCs w:val="28"/>
                <w:lang w:val="x-none"/>
              </w:rPr>
            </w:pPr>
            <w:r w:rsidRPr="00CA53D4">
              <w:rPr>
                <w:rFonts w:hAnsi="標楷體" w:cs="新細明體" w:hint="eastAsia"/>
                <w:spacing w:val="-6"/>
                <w:kern w:val="0"/>
                <w:sz w:val="28"/>
                <w:szCs w:val="28"/>
                <w:lang w:val="x-none"/>
              </w:rPr>
              <w:t>大事記</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107年2月17日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陳嫌殺害潘姓港女並棄屍。</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107年3月11日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潘父來臺報警。</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107年3月13日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警方尋獲潘姓女子遺體。</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107年3月16日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第1次向港方提出司法互助請求。</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lastRenderedPageBreak/>
              <w:t>107年4月26日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第2次向港方提出司法互助請求。</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107年8月13日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第1次促請港方回應司法互助請求。</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107年10月4日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法務部函請大陸委員會以策協平台提出臺、港司法互助議案。</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107年11月12日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第2次促請港方回應司法互助請求。</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107年11月16日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大陸委員會藉策協平台秘書長會議與港方討論臺、港司法互助議案無果。</w:t>
            </w:r>
          </w:p>
        </w:tc>
      </w:tr>
      <w:tr w:rsidR="00CA53D4" w:rsidRPr="00CA53D4" w:rsidTr="00920342">
        <w:trPr>
          <w:trHeight w:hRule="exact" w:val="680"/>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107年12月3日</w:t>
            </w:r>
          </w:p>
        </w:tc>
        <w:tc>
          <w:tcPr>
            <w:tcW w:w="5182"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士林地檢署對嫌犯發布通緝。</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107年12月4日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向港方請求遣送嫌犯來臺接受偵查審判程序。</w:t>
            </w:r>
          </w:p>
        </w:tc>
      </w:tr>
      <w:tr w:rsidR="00CA53D4" w:rsidRPr="00CA53D4" w:rsidTr="00920342">
        <w:trPr>
          <w:trHeight w:hRule="exact" w:val="1134"/>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108年2月12日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香港政府保安局向立法會建議《刑事事宜相互法律協助條例》及</w:t>
            </w:r>
            <w:r w:rsidRPr="00CA53D4">
              <w:rPr>
                <w:rFonts w:hAnsi="標楷體" w:cs="新細明體"/>
                <w:spacing w:val="-6"/>
                <w:kern w:val="0"/>
                <w:sz w:val="28"/>
                <w:szCs w:val="28"/>
                <w:lang w:val="x-none"/>
              </w:rPr>
              <w:t>《逃犯條例》</w:t>
            </w:r>
            <w:r w:rsidRPr="00CA53D4">
              <w:rPr>
                <w:rFonts w:hAnsi="標楷體" w:cs="新細明體" w:hint="eastAsia"/>
                <w:spacing w:val="-6"/>
                <w:kern w:val="0"/>
                <w:sz w:val="28"/>
                <w:szCs w:val="28"/>
                <w:lang w:val="x-none"/>
              </w:rPr>
              <w:t>之修訂。</w:t>
            </w:r>
          </w:p>
        </w:tc>
      </w:tr>
      <w:tr w:rsidR="00CA53D4" w:rsidRPr="00CA53D4" w:rsidTr="00920342">
        <w:trPr>
          <w:trHeight w:hRule="exact" w:val="1134"/>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108年3月26日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香港政府保安局向立法會提出</w:t>
            </w:r>
            <w:r w:rsidRPr="00CA53D4">
              <w:rPr>
                <w:rFonts w:hAnsi="標楷體" w:cs="新細明體"/>
                <w:spacing w:val="-6"/>
                <w:kern w:val="0"/>
                <w:sz w:val="28"/>
                <w:szCs w:val="28"/>
                <w:lang w:val="x-none"/>
              </w:rPr>
              <w:t>《逃犯條例》</w:t>
            </w:r>
            <w:r w:rsidRPr="00CA53D4">
              <w:rPr>
                <w:rFonts w:hAnsi="標楷體" w:cs="新細明體" w:hint="eastAsia"/>
                <w:spacing w:val="-6"/>
                <w:kern w:val="0"/>
                <w:sz w:val="28"/>
                <w:szCs w:val="28"/>
                <w:lang w:val="x-none"/>
              </w:rPr>
              <w:t>之修訂。</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108年4月29日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香港法院就陳嫌涉洗黑錢罪部分宣判。</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108年6月15日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香港政府因反送中示威活動宣布暫缓</w:t>
            </w:r>
            <w:r w:rsidRPr="00CA53D4">
              <w:rPr>
                <w:rFonts w:hAnsi="標楷體" w:cs="新細明體"/>
                <w:spacing w:val="-6"/>
                <w:kern w:val="0"/>
                <w:sz w:val="28"/>
                <w:szCs w:val="28"/>
                <w:lang w:val="x-none"/>
              </w:rPr>
              <w:t>《逃犯條例》</w:t>
            </w:r>
            <w:r w:rsidRPr="00CA53D4">
              <w:rPr>
                <w:rFonts w:hAnsi="標楷體" w:cs="新細明體" w:hint="eastAsia"/>
                <w:spacing w:val="-6"/>
                <w:kern w:val="0"/>
                <w:sz w:val="28"/>
                <w:szCs w:val="28"/>
                <w:lang w:val="x-none"/>
              </w:rPr>
              <w:t>之修訂。</w:t>
            </w:r>
          </w:p>
        </w:tc>
      </w:tr>
      <w:tr w:rsidR="00CA53D4" w:rsidRPr="00CA53D4" w:rsidTr="00920342">
        <w:trPr>
          <w:trHeight w:hRule="exact" w:val="851"/>
        </w:trPr>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108年9月4日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香港政府宣布將撤回</w:t>
            </w:r>
            <w:r w:rsidRPr="00CA53D4">
              <w:rPr>
                <w:rFonts w:hAnsi="標楷體" w:cs="新細明體"/>
                <w:spacing w:val="-6"/>
                <w:kern w:val="0"/>
                <w:sz w:val="28"/>
                <w:szCs w:val="28"/>
                <w:lang w:val="x-none"/>
              </w:rPr>
              <w:t>《逃犯條例》</w:t>
            </w:r>
            <w:r w:rsidRPr="00CA53D4">
              <w:rPr>
                <w:rFonts w:hAnsi="標楷體" w:cs="新細明體" w:hint="eastAsia"/>
                <w:spacing w:val="-6"/>
                <w:kern w:val="0"/>
                <w:sz w:val="28"/>
                <w:szCs w:val="28"/>
                <w:lang w:val="x-none"/>
              </w:rPr>
              <w:t>之修訂。</w:t>
            </w:r>
          </w:p>
        </w:tc>
      </w:tr>
      <w:tr w:rsidR="00CA53D4" w:rsidRPr="00CA53D4" w:rsidTr="00920342">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108年10月17日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法務部發布新聞稿，籲請香港政府於陳嫌服刑期滿後續行偵辦所涉殺人部分，我方可依法提供相關協助。</w:t>
            </w:r>
          </w:p>
        </w:tc>
      </w:tr>
      <w:tr w:rsidR="00CA53D4" w:rsidRPr="00CA53D4" w:rsidTr="00920342">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hint="eastAsia"/>
                <w:spacing w:val="-6"/>
                <w:kern w:val="0"/>
                <w:sz w:val="28"/>
                <w:szCs w:val="28"/>
                <w:lang w:val="x-none"/>
              </w:rPr>
              <w:t>108年10月22日</w:t>
            </w:r>
          </w:p>
        </w:tc>
        <w:tc>
          <w:tcPr>
            <w:tcW w:w="5182" w:type="dxa"/>
            <w:vAlign w:val="center"/>
          </w:tcPr>
          <w:p w:rsidR="00CA53D4" w:rsidRPr="00CA53D4" w:rsidRDefault="00CA53D4" w:rsidP="00EC7BDB">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法務部與大陸委員會共同召開記者會，說明因香港政府持續表示無法繼續追訴本案，將派員赴港接人接證，籲請香港政府提供司法互助協助我方攜回在港證據，由内政</w:t>
            </w:r>
            <w:r w:rsidR="00EC7BDB">
              <w:rPr>
                <w:rFonts w:hAnsi="標楷體" w:cs="新細明體" w:hint="eastAsia"/>
                <w:spacing w:val="-6"/>
                <w:kern w:val="0"/>
                <w:sz w:val="28"/>
                <w:szCs w:val="28"/>
                <w:lang w:val="x-none"/>
              </w:rPr>
              <w:t>部警政署</w:t>
            </w:r>
            <w:r w:rsidRPr="00CA53D4">
              <w:rPr>
                <w:rFonts w:hAnsi="標楷體" w:cs="新細明體" w:hint="eastAsia"/>
                <w:spacing w:val="-6"/>
                <w:kern w:val="0"/>
                <w:sz w:val="28"/>
                <w:szCs w:val="28"/>
                <w:lang w:val="x-none"/>
              </w:rPr>
              <w:t>刑事警察局派員赴港待命。</w:t>
            </w:r>
          </w:p>
        </w:tc>
      </w:tr>
      <w:tr w:rsidR="00CA53D4" w:rsidRPr="00CA53D4" w:rsidTr="00920342">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lastRenderedPageBreak/>
              <w:t>108年10月23日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陳嫌刑滿出監，向媒體表示願意來臺投案。香港政府保安局正式撤回</w:t>
            </w:r>
            <w:r w:rsidRPr="00CA53D4">
              <w:rPr>
                <w:rFonts w:hAnsi="標楷體" w:cs="新細明體"/>
                <w:spacing w:val="-6"/>
                <w:kern w:val="0"/>
                <w:sz w:val="28"/>
                <w:szCs w:val="28"/>
                <w:lang w:val="x-none"/>
              </w:rPr>
              <w:t>《逃犯條例》</w:t>
            </w:r>
            <w:r w:rsidRPr="00CA53D4">
              <w:rPr>
                <w:rFonts w:hAnsi="標楷體" w:cs="新細明體" w:hint="eastAsia"/>
                <w:spacing w:val="-6"/>
                <w:kern w:val="0"/>
                <w:sz w:val="28"/>
                <w:szCs w:val="28"/>
                <w:lang w:val="x-none"/>
              </w:rPr>
              <w:t>之修訂。</w:t>
            </w:r>
          </w:p>
        </w:tc>
      </w:tr>
      <w:tr w:rsidR="00CA53D4" w:rsidRPr="00CA53D4" w:rsidTr="00920342">
        <w:tc>
          <w:tcPr>
            <w:tcW w:w="2291" w:type="dxa"/>
            <w:vAlign w:val="center"/>
          </w:tcPr>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108年10月25日</w:t>
            </w:r>
          </w:p>
          <w:p w:rsidR="00CA53D4" w:rsidRPr="00CA53D4" w:rsidRDefault="00CA53D4" w:rsidP="00920342">
            <w:pPr>
              <w:overflowPunct/>
              <w:adjustRightInd w:val="0"/>
              <w:snapToGrid w:val="0"/>
              <w:jc w:val="left"/>
              <w:rPr>
                <w:rFonts w:hAnsi="標楷體" w:cs="新細明體"/>
                <w:spacing w:val="-6"/>
                <w:kern w:val="0"/>
                <w:sz w:val="28"/>
                <w:szCs w:val="28"/>
                <w:lang w:val="x-none"/>
              </w:rPr>
            </w:pPr>
            <w:r w:rsidRPr="00CA53D4">
              <w:rPr>
                <w:rFonts w:hAnsi="標楷體" w:cs="新細明體"/>
                <w:spacing w:val="-6"/>
                <w:kern w:val="0"/>
                <w:sz w:val="28"/>
                <w:szCs w:val="28"/>
                <w:lang w:val="x-none"/>
              </w:rPr>
              <w:t>108年10月26日</w:t>
            </w:r>
          </w:p>
        </w:tc>
        <w:tc>
          <w:tcPr>
            <w:tcW w:w="5182" w:type="dxa"/>
            <w:vAlign w:val="center"/>
          </w:tcPr>
          <w:p w:rsidR="00CA53D4" w:rsidRPr="00CA53D4" w:rsidRDefault="00CA53D4" w:rsidP="00920342">
            <w:pPr>
              <w:overflowPunct/>
              <w:adjustRightInd w:val="0"/>
              <w:snapToGrid w:val="0"/>
              <w:rPr>
                <w:rFonts w:hAnsi="標楷體" w:cs="新細明體"/>
                <w:spacing w:val="-6"/>
                <w:kern w:val="0"/>
                <w:sz w:val="28"/>
                <w:szCs w:val="28"/>
                <w:lang w:val="x-none"/>
              </w:rPr>
            </w:pPr>
            <w:r w:rsidRPr="00CA53D4">
              <w:rPr>
                <w:rFonts w:hAnsi="標楷體" w:cs="新細明體" w:hint="eastAsia"/>
                <w:spacing w:val="-6"/>
                <w:kern w:val="0"/>
                <w:sz w:val="28"/>
                <w:szCs w:val="28"/>
                <w:lang w:val="x-none"/>
              </w:rPr>
              <w:t>内政部</w:t>
            </w:r>
            <w:r w:rsidR="00803C72">
              <w:rPr>
                <w:rFonts w:hAnsi="標楷體" w:cs="新細明體" w:hint="eastAsia"/>
                <w:spacing w:val="-6"/>
                <w:kern w:val="0"/>
                <w:sz w:val="28"/>
                <w:szCs w:val="28"/>
                <w:lang w:val="x-none"/>
              </w:rPr>
              <w:t>警政署</w:t>
            </w:r>
            <w:r w:rsidRPr="00CA53D4">
              <w:rPr>
                <w:rFonts w:hAnsi="標楷體" w:cs="新細明體" w:hint="eastAsia"/>
                <w:spacing w:val="-6"/>
                <w:kern w:val="0"/>
                <w:sz w:val="28"/>
                <w:szCs w:val="28"/>
                <w:lang w:val="x-none"/>
              </w:rPr>
              <w:t>刑事警察局赴港人員在港滯留數日，未與相關人員或陳嫌取得接觸，因而搭機返臺。</w:t>
            </w:r>
          </w:p>
        </w:tc>
      </w:tr>
    </w:tbl>
    <w:p w:rsidR="00620F81" w:rsidRPr="00CA53D4" w:rsidRDefault="00681660" w:rsidP="0099266A">
      <w:pPr>
        <w:pStyle w:val="3"/>
        <w:rPr>
          <w:spacing w:val="-6"/>
        </w:rPr>
      </w:pPr>
      <w:r w:rsidRPr="00CA53D4">
        <w:rPr>
          <w:rFonts w:hint="eastAsia"/>
          <w:spacing w:val="-6"/>
        </w:rPr>
        <w:t>綜上，有關港女命案，法務部及大陸委員會均已透過</w:t>
      </w:r>
      <w:r w:rsidR="00413F36" w:rsidRPr="00CA53D4">
        <w:rPr>
          <w:rFonts w:hint="eastAsia"/>
          <w:spacing w:val="-6"/>
        </w:rPr>
        <w:t>臺港經濟文化合作策進會</w:t>
      </w:r>
      <w:r w:rsidRPr="00CA53D4">
        <w:rPr>
          <w:rFonts w:hint="eastAsia"/>
          <w:spacing w:val="-6"/>
        </w:rPr>
        <w:t>及港臺經濟文化合作協進會平台，積極聯繫香港政府進行後續司法偵查事宜，香港政府雖表示樂於提供我方合法可行協助，惟均非正式刑事司法互助層面，僅是執法機關間之情資交換。</w:t>
      </w:r>
      <w:r w:rsidRPr="00CA53D4">
        <w:rPr>
          <w:rFonts w:hAnsi="標楷體" w:hint="eastAsia"/>
          <w:spacing w:val="-6"/>
          <w:szCs w:val="32"/>
        </w:rPr>
        <w:t>現行</w:t>
      </w:r>
      <w:r w:rsidR="00C116F6" w:rsidRPr="00CA53D4">
        <w:rPr>
          <w:rFonts w:hAnsi="標楷體" w:hint="eastAsia"/>
          <w:spacing w:val="-6"/>
          <w:szCs w:val="32"/>
        </w:rPr>
        <w:t>臺、港間</w:t>
      </w:r>
      <w:r w:rsidRPr="00CA53D4">
        <w:rPr>
          <w:rFonts w:hAnsi="標楷體" w:hint="eastAsia"/>
          <w:spacing w:val="-6"/>
          <w:szCs w:val="32"/>
        </w:rPr>
        <w:t>並無正式刑事司法互助，不利於後續司法偵查、審判之順利進行</w:t>
      </w:r>
      <w:r w:rsidRPr="00CA53D4">
        <w:rPr>
          <w:rFonts w:hint="eastAsia"/>
          <w:spacing w:val="-6"/>
        </w:rPr>
        <w:t>，亦無法確保證據之證據能力及相關事證完整呈現在偵查及審判程序中，使被告之程序基本權受充分保障，並且查明事實真相，還給被害人及其家屬應得之公道</w:t>
      </w:r>
      <w:r w:rsidRPr="00CA53D4">
        <w:rPr>
          <w:rFonts w:hAnsi="標楷體" w:hint="eastAsia"/>
          <w:spacing w:val="-6"/>
          <w:szCs w:val="32"/>
        </w:rPr>
        <w:t>；若臺</w:t>
      </w:r>
      <w:r w:rsidR="00C116F6" w:rsidRPr="00CA53D4">
        <w:rPr>
          <w:rFonts w:hAnsi="標楷體" w:hint="eastAsia"/>
          <w:spacing w:val="-6"/>
          <w:szCs w:val="32"/>
        </w:rPr>
        <w:t>、</w:t>
      </w:r>
      <w:r w:rsidRPr="00CA53D4">
        <w:rPr>
          <w:rFonts w:hAnsi="標楷體" w:hint="eastAsia"/>
          <w:spacing w:val="-6"/>
          <w:szCs w:val="32"/>
        </w:rPr>
        <w:t>港有簽訂刑事司法互助協議，才能有助於我國司法機關後續偵審程序，藉以實現國家刑罰權。</w:t>
      </w:r>
      <w:r w:rsidR="00C6227F" w:rsidRPr="00CA53D4">
        <w:rPr>
          <w:rFonts w:hint="eastAsia"/>
          <w:spacing w:val="-6"/>
        </w:rPr>
        <w:t>臺灣與中國大陸業於98年4月26日簽署</w:t>
      </w:r>
      <w:r w:rsidR="00C6227F" w:rsidRPr="00CA53D4">
        <w:rPr>
          <w:rFonts w:hAnsi="標楷體" w:hint="eastAsia"/>
          <w:spacing w:val="-6"/>
          <w:szCs w:val="32"/>
        </w:rPr>
        <w:t>兩岸司法互助協議，業已建立</w:t>
      </w:r>
      <w:r w:rsidR="00C6227F" w:rsidRPr="00CA53D4">
        <w:rPr>
          <w:rFonts w:hint="eastAsia"/>
          <w:spacing w:val="-6"/>
        </w:rPr>
        <w:t>制度化刑事司法互助機制，而</w:t>
      </w:r>
      <w:r w:rsidR="00C116F6" w:rsidRPr="00CA53D4">
        <w:rPr>
          <w:rFonts w:hint="eastAsia"/>
          <w:spacing w:val="-6"/>
        </w:rPr>
        <w:t>臺、港</w:t>
      </w:r>
      <w:r w:rsidR="00C6227F" w:rsidRPr="00CA53D4">
        <w:rPr>
          <w:rFonts w:hint="eastAsia"/>
          <w:spacing w:val="-6"/>
        </w:rPr>
        <w:t>兩地之間往來非常密切，惟迄今仍未建立制度化刑事司法互助機制</w:t>
      </w:r>
      <w:r w:rsidR="00C6227F" w:rsidRPr="00CA53D4">
        <w:rPr>
          <w:rFonts w:hAnsi="標楷體" w:cs="新細明體" w:hint="eastAsia"/>
          <w:spacing w:val="-6"/>
          <w:kern w:val="0"/>
          <w:szCs w:val="32"/>
          <w:lang w:val="x-none"/>
        </w:rPr>
        <w:t>。</w:t>
      </w:r>
      <w:r w:rsidR="00C6227F" w:rsidRPr="00CA53D4">
        <w:rPr>
          <w:rFonts w:hint="eastAsia"/>
          <w:spacing w:val="-6"/>
        </w:rPr>
        <w:t>法務部與大陸委員會應謀具體解決之道，賡續加強相互合作，積極推動</w:t>
      </w:r>
      <w:r w:rsidR="00824FC2" w:rsidRPr="00CA53D4">
        <w:rPr>
          <w:rFonts w:hint="eastAsia"/>
          <w:spacing w:val="-6"/>
        </w:rPr>
        <w:t>臺、港</w:t>
      </w:r>
      <w:r w:rsidR="00C6227F" w:rsidRPr="00CA53D4">
        <w:rPr>
          <w:rFonts w:hint="eastAsia"/>
          <w:spacing w:val="-6"/>
        </w:rPr>
        <w:t>司法互助協議簽訂等事宜</w:t>
      </w:r>
      <w:r w:rsidR="00A72772" w:rsidRPr="00CA53D4">
        <w:rPr>
          <w:rFonts w:hint="eastAsia"/>
          <w:spacing w:val="-6"/>
        </w:rPr>
        <w:t>。</w:t>
      </w:r>
    </w:p>
    <w:p w:rsidR="00620F81" w:rsidRPr="00CA53D4" w:rsidRDefault="00D83A38" w:rsidP="00DE4238">
      <w:pPr>
        <w:pStyle w:val="2"/>
        <w:rPr>
          <w:rFonts w:hAnsi="標楷體"/>
          <w:b/>
          <w:spacing w:val="-6"/>
          <w:szCs w:val="32"/>
        </w:rPr>
      </w:pPr>
      <w:r w:rsidRPr="00CA53D4">
        <w:rPr>
          <w:rFonts w:hint="eastAsia"/>
          <w:b/>
          <w:spacing w:val="-6"/>
        </w:rPr>
        <w:t>有關港女命案，</w:t>
      </w:r>
      <w:r w:rsidRPr="00CA53D4">
        <w:rPr>
          <w:rFonts w:hAnsi="標楷體" w:hint="eastAsia"/>
          <w:b/>
          <w:spacing w:val="-6"/>
          <w:szCs w:val="32"/>
        </w:rPr>
        <w:t>我方</w:t>
      </w:r>
      <w:r w:rsidRPr="00CA53D4">
        <w:rPr>
          <w:rFonts w:hint="eastAsia"/>
          <w:b/>
          <w:spacing w:val="-6"/>
        </w:rPr>
        <w:t>積極聯繫香港政府進行後續司法偵查事宜，</w:t>
      </w:r>
      <w:r w:rsidR="006F10B2" w:rsidRPr="00CA53D4">
        <w:rPr>
          <w:rFonts w:hAnsi="標楷體" w:hint="eastAsia"/>
          <w:b/>
          <w:spacing w:val="-6"/>
          <w:szCs w:val="32"/>
        </w:rPr>
        <w:t>且</w:t>
      </w:r>
      <w:r w:rsidR="00733B05" w:rsidRPr="00CA53D4">
        <w:rPr>
          <w:rFonts w:hAnsi="標楷體" w:hint="eastAsia"/>
          <w:b/>
          <w:spacing w:val="-6"/>
          <w:szCs w:val="32"/>
        </w:rPr>
        <w:t>依</w:t>
      </w:r>
      <w:r w:rsidR="006F10B2" w:rsidRPr="00CA53D4">
        <w:rPr>
          <w:rFonts w:hint="eastAsia"/>
          <w:b/>
          <w:spacing w:val="-6"/>
        </w:rPr>
        <w:t>中華民國</w:t>
      </w:r>
      <w:r w:rsidR="006F10B2" w:rsidRPr="00CA53D4">
        <w:rPr>
          <w:rFonts w:hAnsi="標楷體" w:hint="eastAsia"/>
          <w:b/>
          <w:spacing w:val="-6"/>
          <w:szCs w:val="32"/>
        </w:rPr>
        <w:t>刑法第3條「屬地原則」及第4條「隔地犯」原則，我國具有管轄權，殆無疑義</w:t>
      </w:r>
      <w:r w:rsidR="00620F81" w:rsidRPr="00CA53D4">
        <w:rPr>
          <w:rFonts w:hAnsi="標楷體" w:hint="eastAsia"/>
          <w:b/>
          <w:spacing w:val="-6"/>
          <w:szCs w:val="32"/>
        </w:rPr>
        <w:t>，且有關投案窗口及相關作業程序，</w:t>
      </w:r>
      <w:r w:rsidR="00733B05" w:rsidRPr="00CA53D4">
        <w:rPr>
          <w:rFonts w:hAnsi="標楷體" w:hint="eastAsia"/>
          <w:b/>
          <w:spacing w:val="-6"/>
          <w:szCs w:val="32"/>
        </w:rPr>
        <w:t>內政部警政署刑事警察局</w:t>
      </w:r>
      <w:r w:rsidR="00620F81" w:rsidRPr="00CA53D4">
        <w:rPr>
          <w:rFonts w:hAnsi="標楷體" w:hint="eastAsia"/>
          <w:b/>
          <w:spacing w:val="-6"/>
          <w:szCs w:val="32"/>
        </w:rPr>
        <w:t>均已</w:t>
      </w:r>
      <w:r w:rsidR="00883405" w:rsidRPr="00CA53D4">
        <w:rPr>
          <w:rFonts w:hAnsi="標楷體" w:hint="eastAsia"/>
          <w:b/>
          <w:spacing w:val="-6"/>
          <w:szCs w:val="32"/>
        </w:rPr>
        <w:t>完備</w:t>
      </w:r>
      <w:r w:rsidR="00733B05" w:rsidRPr="00CA53D4">
        <w:rPr>
          <w:rFonts w:hAnsi="標楷體" w:hint="eastAsia"/>
          <w:b/>
          <w:spacing w:val="-6"/>
          <w:szCs w:val="32"/>
        </w:rPr>
        <w:t>相關</w:t>
      </w:r>
      <w:r w:rsidR="00883405" w:rsidRPr="00CA53D4">
        <w:rPr>
          <w:rFonts w:hAnsi="標楷體" w:hint="eastAsia"/>
          <w:b/>
          <w:spacing w:val="-6"/>
          <w:szCs w:val="32"/>
        </w:rPr>
        <w:t>工作，並無拒收陳嫌情事</w:t>
      </w:r>
      <w:r w:rsidR="00883405" w:rsidRPr="00CA53D4">
        <w:rPr>
          <w:rFonts w:hint="eastAsia"/>
          <w:b/>
          <w:spacing w:val="-6"/>
        </w:rPr>
        <w:t>。</w:t>
      </w:r>
      <w:r w:rsidR="00733B05" w:rsidRPr="00CA53D4">
        <w:rPr>
          <w:rFonts w:hAnsi="標楷體" w:hint="eastAsia"/>
          <w:b/>
          <w:spacing w:val="-6"/>
          <w:szCs w:val="32"/>
        </w:rPr>
        <w:t>邇來因疫情因素，</w:t>
      </w:r>
      <w:r w:rsidR="00D353D4" w:rsidRPr="00CA53D4">
        <w:rPr>
          <w:rFonts w:hAnsi="標楷體" w:hint="eastAsia"/>
          <w:b/>
          <w:spacing w:val="-6"/>
          <w:szCs w:val="32"/>
        </w:rPr>
        <w:t>若</w:t>
      </w:r>
      <w:r w:rsidR="00733B05" w:rsidRPr="00CA53D4">
        <w:rPr>
          <w:rFonts w:hAnsi="標楷體" w:hint="eastAsia"/>
          <w:b/>
          <w:spacing w:val="-6"/>
          <w:szCs w:val="32"/>
        </w:rPr>
        <w:t>陳嫌來臺</w:t>
      </w:r>
      <w:r w:rsidR="00D353D4" w:rsidRPr="00CA53D4">
        <w:rPr>
          <w:rFonts w:hAnsi="標楷體" w:hint="eastAsia"/>
          <w:b/>
          <w:spacing w:val="-6"/>
          <w:szCs w:val="32"/>
        </w:rPr>
        <w:t>投案，中央流行疫情指揮中心、法務部與大陸委員會</w:t>
      </w:r>
      <w:r w:rsidR="00883405" w:rsidRPr="00CA53D4">
        <w:rPr>
          <w:rFonts w:hAnsi="標楷體" w:hint="eastAsia"/>
          <w:b/>
          <w:spacing w:val="-6"/>
          <w:szCs w:val="32"/>
        </w:rPr>
        <w:t>亦已研商規劃防疫期間人犯歸案及檢疫</w:t>
      </w:r>
      <w:r w:rsidR="00D353D4" w:rsidRPr="00CA53D4">
        <w:rPr>
          <w:rFonts w:hAnsi="標楷體" w:hint="eastAsia"/>
          <w:b/>
          <w:spacing w:val="-6"/>
          <w:szCs w:val="32"/>
        </w:rPr>
        <w:t>相關</w:t>
      </w:r>
      <w:r w:rsidR="00883405" w:rsidRPr="00CA53D4">
        <w:rPr>
          <w:rFonts w:hAnsi="標楷體" w:hint="eastAsia"/>
          <w:b/>
          <w:spacing w:val="-6"/>
          <w:szCs w:val="32"/>
        </w:rPr>
        <w:t>配套措施，</w:t>
      </w:r>
      <w:r w:rsidRPr="00CA53D4">
        <w:rPr>
          <w:rFonts w:hint="eastAsia"/>
          <w:b/>
          <w:spacing w:val="-6"/>
        </w:rPr>
        <w:t>做好隨時受理投案準備，屆時因應需要</w:t>
      </w:r>
      <w:r w:rsidR="00883405" w:rsidRPr="00CA53D4">
        <w:rPr>
          <w:rFonts w:hint="eastAsia"/>
          <w:b/>
          <w:spacing w:val="-6"/>
        </w:rPr>
        <w:t>啟動</w:t>
      </w:r>
      <w:r w:rsidR="00883405" w:rsidRPr="00CA53D4">
        <w:rPr>
          <w:rFonts w:hint="eastAsia"/>
          <w:b/>
          <w:spacing w:val="-6"/>
        </w:rPr>
        <w:lastRenderedPageBreak/>
        <w:t>各種相關應處機制。</w:t>
      </w:r>
    </w:p>
    <w:p w:rsidR="00620F81" w:rsidRPr="00CA53D4" w:rsidRDefault="00D83A38" w:rsidP="00EE66F8">
      <w:pPr>
        <w:pStyle w:val="3"/>
        <w:rPr>
          <w:rFonts w:hAnsi="標楷體"/>
          <w:spacing w:val="-6"/>
          <w:szCs w:val="32"/>
        </w:rPr>
      </w:pPr>
      <w:r w:rsidRPr="00CA53D4">
        <w:rPr>
          <w:rFonts w:hint="eastAsia"/>
          <w:spacing w:val="-6"/>
        </w:rPr>
        <w:t>據</w:t>
      </w:r>
      <w:r w:rsidRPr="00CA53D4">
        <w:rPr>
          <w:rFonts w:hAnsi="標楷體" w:hint="eastAsia"/>
          <w:spacing w:val="-6"/>
          <w:szCs w:val="32"/>
        </w:rPr>
        <w:t>法務部到院說明表示，香港人民來台犯案，依</w:t>
      </w:r>
      <w:r w:rsidR="00620F81" w:rsidRPr="00CA53D4">
        <w:rPr>
          <w:rFonts w:hAnsi="標楷體" w:hint="eastAsia"/>
          <w:spacing w:val="-6"/>
          <w:szCs w:val="32"/>
        </w:rPr>
        <w:t>香港侵害人</w:t>
      </w:r>
      <w:r w:rsidRPr="00CA53D4">
        <w:rPr>
          <w:rFonts w:hAnsi="標楷體" w:hint="eastAsia"/>
          <w:spacing w:val="-6"/>
          <w:szCs w:val="32"/>
        </w:rPr>
        <w:t>身罪條例規定，若</w:t>
      </w:r>
      <w:r w:rsidR="00620F81" w:rsidRPr="00CA53D4">
        <w:rPr>
          <w:rFonts w:hAnsi="標楷體" w:hint="eastAsia"/>
          <w:spacing w:val="-6"/>
          <w:szCs w:val="32"/>
        </w:rPr>
        <w:t>有預謀或共犯，即使香港採屬地主義，香港政府</w:t>
      </w:r>
      <w:r w:rsidRPr="00CA53D4">
        <w:rPr>
          <w:rFonts w:hAnsi="標楷體" w:hint="eastAsia"/>
          <w:spacing w:val="-6"/>
          <w:szCs w:val="32"/>
        </w:rPr>
        <w:t>對於港女命案</w:t>
      </w:r>
      <w:r w:rsidR="00620F81" w:rsidRPr="00CA53D4">
        <w:rPr>
          <w:rFonts w:hAnsi="標楷體" w:hint="eastAsia"/>
          <w:spacing w:val="-6"/>
          <w:szCs w:val="32"/>
        </w:rPr>
        <w:t>依然有</w:t>
      </w:r>
      <w:r w:rsidR="00682D3F" w:rsidRPr="00CA53D4">
        <w:rPr>
          <w:rFonts w:hAnsi="標楷體" w:hint="eastAsia"/>
          <w:spacing w:val="-6"/>
          <w:szCs w:val="32"/>
        </w:rPr>
        <w:t>管轄權，惟香港法院既已在判決中認定香港在本案不具有管轄權</w:t>
      </w:r>
      <w:r w:rsidR="006F5B97" w:rsidRPr="00CA53D4">
        <w:rPr>
          <w:rFonts w:hAnsi="標楷體" w:hint="eastAsia"/>
          <w:spacing w:val="-6"/>
          <w:szCs w:val="32"/>
        </w:rPr>
        <w:t>，我方</w:t>
      </w:r>
      <w:r w:rsidR="00682D3F" w:rsidRPr="00CA53D4">
        <w:rPr>
          <w:rFonts w:hAnsi="標楷體" w:hint="eastAsia"/>
          <w:spacing w:val="-6"/>
          <w:szCs w:val="32"/>
        </w:rPr>
        <w:t>予以尊重。</w:t>
      </w:r>
      <w:r w:rsidR="00EE66F8" w:rsidRPr="00CA53D4">
        <w:rPr>
          <w:rFonts w:hAnsi="標楷體" w:hint="eastAsia"/>
          <w:spacing w:val="-6"/>
          <w:szCs w:val="32"/>
        </w:rPr>
        <w:t>我方已</w:t>
      </w:r>
      <w:r w:rsidRPr="00CA53D4">
        <w:rPr>
          <w:rFonts w:hAnsi="標楷體" w:hint="eastAsia"/>
          <w:spacing w:val="-6"/>
          <w:szCs w:val="32"/>
        </w:rPr>
        <w:t>向港方多次請求司法互助，港方仍未有正面具體回應，</w:t>
      </w:r>
      <w:r w:rsidR="00682D3F" w:rsidRPr="00CA53D4">
        <w:rPr>
          <w:rFonts w:hAnsi="標楷體" w:hint="eastAsia"/>
          <w:spacing w:val="-6"/>
          <w:szCs w:val="32"/>
        </w:rPr>
        <w:t>但法務部對本案追訴的立場始終沒有改變</w:t>
      </w:r>
      <w:r w:rsidR="006F5B97" w:rsidRPr="00CA53D4">
        <w:rPr>
          <w:rFonts w:hAnsi="標楷體" w:hint="eastAsia"/>
          <w:spacing w:val="-6"/>
          <w:szCs w:val="32"/>
        </w:rPr>
        <w:t>，相關案件仍由士林地檢署積極偵辦中。</w:t>
      </w:r>
      <w:r w:rsidR="00112371" w:rsidRPr="00CA53D4">
        <w:rPr>
          <w:rFonts w:hAnsi="標楷體" w:hint="eastAsia"/>
          <w:spacing w:val="-6"/>
          <w:szCs w:val="32"/>
        </w:rPr>
        <w:t>另</w:t>
      </w:r>
      <w:r w:rsidR="006F5B97" w:rsidRPr="00CA53D4">
        <w:rPr>
          <w:rFonts w:hAnsi="標楷體" w:hint="eastAsia"/>
          <w:spacing w:val="-6"/>
          <w:szCs w:val="32"/>
        </w:rPr>
        <w:t>大陸委員會到院說明表示，士林地檢署業已通緝陳嫌，通緝犯無法使用網路便利簽使其來臺自由行影響安全，</w:t>
      </w:r>
      <w:r w:rsidR="00655D3A" w:rsidRPr="00CA53D4">
        <w:rPr>
          <w:rFonts w:hAnsi="標楷體" w:hint="eastAsia"/>
          <w:spacing w:val="-6"/>
          <w:szCs w:val="32"/>
        </w:rPr>
        <w:t>基於</w:t>
      </w:r>
      <w:r w:rsidR="00B10698" w:rsidRPr="00CA53D4">
        <w:rPr>
          <w:rFonts w:hAnsi="標楷體" w:hint="eastAsia"/>
          <w:spacing w:val="-6"/>
          <w:szCs w:val="32"/>
        </w:rPr>
        <w:t>陳嫌投案的不確定性，</w:t>
      </w:r>
      <w:r w:rsidR="00EE66F8" w:rsidRPr="00CA53D4">
        <w:rPr>
          <w:rFonts w:hAnsi="標楷體" w:hint="eastAsia"/>
          <w:spacing w:val="-6"/>
          <w:szCs w:val="32"/>
        </w:rPr>
        <w:t>我方</w:t>
      </w:r>
      <w:r w:rsidR="00655D3A" w:rsidRPr="00CA53D4">
        <w:rPr>
          <w:rFonts w:hAnsi="標楷體" w:hint="eastAsia"/>
          <w:spacing w:val="-6"/>
          <w:szCs w:val="32"/>
        </w:rPr>
        <w:t>已</w:t>
      </w:r>
      <w:r w:rsidR="00EE66F8" w:rsidRPr="00CA53D4">
        <w:rPr>
          <w:rFonts w:hAnsi="標楷體" w:hint="eastAsia"/>
          <w:spacing w:val="-6"/>
          <w:szCs w:val="32"/>
        </w:rPr>
        <w:t>於刑事警察局設立投案窗口，</w:t>
      </w:r>
      <w:r w:rsidR="006F5B97" w:rsidRPr="00CA53D4">
        <w:rPr>
          <w:rFonts w:hAnsi="標楷體" w:hint="eastAsia"/>
          <w:spacing w:val="-6"/>
          <w:szCs w:val="32"/>
        </w:rPr>
        <w:t>陳嫌可以利用投案窗口或是臨櫃辦理，我方已做好充分準備，</w:t>
      </w:r>
      <w:r w:rsidR="00EE66F8" w:rsidRPr="00CA53D4">
        <w:rPr>
          <w:rFonts w:hAnsi="標楷體" w:hint="eastAsia"/>
          <w:spacing w:val="-6"/>
          <w:szCs w:val="32"/>
        </w:rPr>
        <w:t>並非我方拒絕陳嫌來臺投案</w:t>
      </w:r>
      <w:r w:rsidR="00655D3A" w:rsidRPr="00CA53D4">
        <w:rPr>
          <w:rFonts w:hAnsi="標楷體" w:hint="eastAsia"/>
          <w:spacing w:val="-6"/>
          <w:szCs w:val="32"/>
        </w:rPr>
        <w:t>。</w:t>
      </w:r>
      <w:r w:rsidR="00B62DC2" w:rsidRPr="00CA53D4">
        <w:rPr>
          <w:rFonts w:hAnsi="標楷體" w:hint="eastAsia"/>
          <w:spacing w:val="-6"/>
          <w:szCs w:val="32"/>
        </w:rPr>
        <w:t>近期香港媒體報導，</w:t>
      </w:r>
      <w:r w:rsidR="006F5B97" w:rsidRPr="00CA53D4">
        <w:rPr>
          <w:rFonts w:hAnsi="標楷體" w:hint="eastAsia"/>
          <w:spacing w:val="-6"/>
          <w:szCs w:val="32"/>
        </w:rPr>
        <w:t>因為疫情嚴重，管</w:t>
      </w:r>
      <w:r w:rsidR="005E6150">
        <w:rPr>
          <w:rFonts w:hAnsi="標楷體" w:hint="eastAsia"/>
          <w:spacing w:val="-6"/>
          <w:szCs w:val="32"/>
        </w:rPr>
        <w:t>○○</w:t>
      </w:r>
      <w:r w:rsidR="006F5B97" w:rsidRPr="00CA53D4">
        <w:rPr>
          <w:rFonts w:hAnsi="標楷體" w:hint="eastAsia"/>
          <w:spacing w:val="-6"/>
          <w:szCs w:val="32"/>
        </w:rPr>
        <w:t>牧師表示待疫情緩和後，陳嫌會來臺灣投案。因相關訊息均係透過管牧師傳達，無法得知陳嫌真實意願，惟我方已充分準備</w:t>
      </w:r>
      <w:r w:rsidR="00EE66F8" w:rsidRPr="00CA53D4">
        <w:rPr>
          <w:rFonts w:hAnsi="標楷體" w:hint="eastAsia"/>
          <w:spacing w:val="-6"/>
          <w:szCs w:val="32"/>
        </w:rPr>
        <w:t>隨時受理</w:t>
      </w:r>
      <w:r w:rsidR="006F5B97" w:rsidRPr="00CA53D4">
        <w:rPr>
          <w:rFonts w:hAnsi="標楷體" w:hint="eastAsia"/>
          <w:spacing w:val="-6"/>
          <w:szCs w:val="32"/>
        </w:rPr>
        <w:t>，若陳嫌主動</w:t>
      </w:r>
      <w:r w:rsidR="00EE66F8" w:rsidRPr="00CA53D4">
        <w:rPr>
          <w:rFonts w:hAnsi="標楷體" w:hint="eastAsia"/>
          <w:spacing w:val="-6"/>
          <w:szCs w:val="32"/>
        </w:rPr>
        <w:t>投案，屆時因應需要啟動各種相關應變機制。</w:t>
      </w:r>
    </w:p>
    <w:p w:rsidR="006F1222" w:rsidRPr="00CA53D4" w:rsidRDefault="006F1222" w:rsidP="006301C6">
      <w:pPr>
        <w:pStyle w:val="3"/>
        <w:rPr>
          <w:spacing w:val="-6"/>
        </w:rPr>
      </w:pPr>
      <w:r w:rsidRPr="00CA53D4">
        <w:rPr>
          <w:rFonts w:hint="eastAsia"/>
          <w:spacing w:val="-6"/>
        </w:rPr>
        <w:t>法務部因應疫情流</w:t>
      </w:r>
      <w:r w:rsidR="006301C6" w:rsidRPr="00CA53D4">
        <w:rPr>
          <w:rFonts w:hint="eastAsia"/>
          <w:spacing w:val="-6"/>
        </w:rPr>
        <w:t>行期間，有關通緝犯等人犯解送歸案之應處，日前已邀集檢、警、</w:t>
      </w:r>
      <w:r w:rsidR="006301C6" w:rsidRPr="00CA53D4">
        <w:rPr>
          <w:rFonts w:hAnsi="標楷體" w:hint="eastAsia"/>
          <w:spacing w:val="-6"/>
          <w:szCs w:val="32"/>
        </w:rPr>
        <w:t>海洋委員會海巡署</w:t>
      </w:r>
      <w:r w:rsidRPr="00CA53D4">
        <w:rPr>
          <w:rFonts w:hint="eastAsia"/>
          <w:spacing w:val="-6"/>
        </w:rPr>
        <w:t>、</w:t>
      </w:r>
      <w:r w:rsidR="006301C6" w:rsidRPr="00CA53D4">
        <w:rPr>
          <w:rFonts w:hint="eastAsia"/>
          <w:spacing w:val="-6"/>
        </w:rPr>
        <w:t>內政部</w:t>
      </w:r>
      <w:r w:rsidRPr="00CA53D4">
        <w:rPr>
          <w:rFonts w:hint="eastAsia"/>
          <w:spacing w:val="-6"/>
        </w:rPr>
        <w:t>移民署及</w:t>
      </w:r>
      <w:r w:rsidR="006301C6" w:rsidRPr="00CA53D4">
        <w:rPr>
          <w:rFonts w:hint="eastAsia"/>
          <w:spacing w:val="-6"/>
        </w:rPr>
        <w:t>法務部</w:t>
      </w:r>
      <w:r w:rsidRPr="00CA53D4">
        <w:rPr>
          <w:rFonts w:hint="eastAsia"/>
          <w:spacing w:val="-6"/>
        </w:rPr>
        <w:t>矯正署等機關研商自中</w:t>
      </w:r>
      <w:r w:rsidR="0066659D" w:rsidRPr="00CA53D4">
        <w:rPr>
          <w:rFonts w:hint="eastAsia"/>
          <w:spacing w:val="-6"/>
        </w:rPr>
        <w:t>、</w:t>
      </w:r>
      <w:r w:rsidRPr="00CA53D4">
        <w:rPr>
          <w:rFonts w:hint="eastAsia"/>
          <w:spacing w:val="-6"/>
        </w:rPr>
        <w:t>港</w:t>
      </w:r>
      <w:r w:rsidR="0066659D" w:rsidRPr="00CA53D4">
        <w:rPr>
          <w:rFonts w:hint="eastAsia"/>
          <w:spacing w:val="-6"/>
        </w:rPr>
        <w:t>、</w:t>
      </w:r>
      <w:r w:rsidRPr="00CA53D4">
        <w:rPr>
          <w:rFonts w:hint="eastAsia"/>
          <w:spacing w:val="-6"/>
        </w:rPr>
        <w:t>澳等地入境通緝犯之歸案方式，基於防疫優先，律定以「遠距訊問」為人犯歸案處理原則，各地檢署應檢視署內空間及動線，妥善規劃適當的訊問處所、解送進出路線及適當拘留空間，以降低群聚感染之風險，各機關相互協調並落實通報機制，共同把關防疫。另為進一步因應通緝犯歸案後，檢察官及法官後續偵審之應處，法務部復與司法院共同邀集院、檢及司法警察等機關，研商防疫期間通緝犯等人犯歸案事宜相關會議，就檢察官、法官訊問具感染風險之被告，得視</w:t>
      </w:r>
      <w:r w:rsidRPr="00CA53D4">
        <w:rPr>
          <w:rFonts w:hint="eastAsia"/>
          <w:spacing w:val="-6"/>
        </w:rPr>
        <w:lastRenderedPageBreak/>
        <w:t>實際狀況，採行遠距訊問、就地訊問或解送至院、檢等方式處理；且於訊問完畢後為避免解送監所而發生群聚感染之風險，非有羈押之必要，應審酌是否依法予以具保、責付或限制住居，諭知責付時，不宜責付予司法警察，應協請司法警察將其送至隔離或檢疫處所，俟隔離或檢疫期滿後再行傳喚到庭；各院、檢、司法警察及矯正等機關設置各轄聯繫窗口等事項達成共識結論，以供各相關機關遵循辦理。</w:t>
      </w:r>
      <w:r w:rsidRPr="00CA53D4">
        <w:rPr>
          <w:rStyle w:val="afe"/>
          <w:rFonts w:hAnsi="標楷體"/>
          <w:spacing w:val="-6"/>
          <w:sz w:val="28"/>
          <w:szCs w:val="32"/>
        </w:rPr>
        <w:footnoteReference w:id="2"/>
      </w:r>
    </w:p>
    <w:p w:rsidR="00E14D89" w:rsidRPr="00CA53D4" w:rsidRDefault="00F36F21" w:rsidP="00ED5EF4">
      <w:pPr>
        <w:pStyle w:val="3"/>
        <w:rPr>
          <w:rFonts w:hAnsi="標楷體"/>
          <w:spacing w:val="-6"/>
          <w:sz w:val="28"/>
          <w:szCs w:val="32"/>
        </w:rPr>
      </w:pPr>
      <w:r w:rsidRPr="00CA53D4">
        <w:rPr>
          <w:rFonts w:hAnsi="標楷體" w:hint="eastAsia"/>
          <w:spacing w:val="-6"/>
          <w:szCs w:val="32"/>
        </w:rPr>
        <w:t>因應疫情持續擴大，為確保國內公衛安全，強化人流入境控管，</w:t>
      </w:r>
      <w:r w:rsidR="00DD516C" w:rsidRPr="00CA53D4">
        <w:rPr>
          <w:rFonts w:hAnsi="標楷體" w:hint="eastAsia"/>
          <w:spacing w:val="-6"/>
          <w:szCs w:val="32"/>
        </w:rPr>
        <w:t>針對香港、澳門居民來臺將採取以下措施：</w:t>
      </w:r>
    </w:p>
    <w:p w:rsidR="00E14D89" w:rsidRPr="00CA53D4" w:rsidRDefault="00DD516C" w:rsidP="00E14D89">
      <w:pPr>
        <w:pStyle w:val="4"/>
        <w:rPr>
          <w:spacing w:val="-6"/>
          <w:sz w:val="28"/>
        </w:rPr>
      </w:pPr>
      <w:r w:rsidRPr="00CA53D4">
        <w:rPr>
          <w:rFonts w:hint="eastAsia"/>
          <w:spacing w:val="-6"/>
        </w:rPr>
        <w:t>自本（109）年2月7日零</w:t>
      </w:r>
      <w:r w:rsidR="004B47CD" w:rsidRPr="00CA53D4">
        <w:rPr>
          <w:rFonts w:hint="eastAsia"/>
          <w:spacing w:val="-6"/>
        </w:rPr>
        <w:t>時起，暫停受理香港、澳門居民申請臨時入境停留（落地簽及網簽）、境外人士線上申辦系統</w:t>
      </w:r>
      <w:r w:rsidRPr="00CA53D4">
        <w:rPr>
          <w:rFonts w:hint="eastAsia"/>
          <w:spacing w:val="-6"/>
        </w:rPr>
        <w:t>（雲端申請停留）。</w:t>
      </w:r>
    </w:p>
    <w:p w:rsidR="00E14D89" w:rsidRPr="00CA53D4" w:rsidRDefault="00DD516C" w:rsidP="00E14D89">
      <w:pPr>
        <w:pStyle w:val="4"/>
        <w:rPr>
          <w:spacing w:val="-6"/>
          <w:sz w:val="28"/>
        </w:rPr>
      </w:pPr>
      <w:r w:rsidRPr="00CA53D4">
        <w:rPr>
          <w:rFonts w:hint="eastAsia"/>
          <w:spacing w:val="-6"/>
        </w:rPr>
        <w:t>遇有特殊事故有確實急須來臺者，應出具香港、澳門政府發出之入出境證明紀錄，證明14天內確無中國大陸旅遊史後，以臨櫃書面方式提出來臺申請（在香港或澳門者至</w:t>
      </w:r>
      <w:r w:rsidR="00B227D4" w:rsidRPr="00CA53D4">
        <w:rPr>
          <w:rFonts w:hint="eastAsia"/>
          <w:spacing w:val="-6"/>
        </w:rPr>
        <w:t>大陸委員會</w:t>
      </w:r>
      <w:r w:rsidRPr="00CA53D4">
        <w:rPr>
          <w:rFonts w:hint="eastAsia"/>
          <w:spacing w:val="-6"/>
        </w:rPr>
        <w:t>香港辦事處或澳門辦事處；在海外地區者，至我駐外館處）。</w:t>
      </w:r>
    </w:p>
    <w:p w:rsidR="00D353D4" w:rsidRPr="00CA53D4" w:rsidRDefault="00DD516C" w:rsidP="00E14D89">
      <w:pPr>
        <w:pStyle w:val="4"/>
        <w:rPr>
          <w:spacing w:val="-6"/>
          <w:sz w:val="28"/>
        </w:rPr>
      </w:pPr>
      <w:r w:rsidRPr="00CA53D4">
        <w:rPr>
          <w:rFonts w:hint="eastAsia"/>
          <w:spacing w:val="-6"/>
        </w:rPr>
        <w:t>香港、澳門居民不論本年2月7日以前已取得或持有我國有效入出境證件、已持有我國效期內居留證或自香港、澳門以外國家（地區）來臺者，入境後均須依我疫情指揮中心「具感染風險民眾追蹤管理機制」，進行居家檢疫14日</w:t>
      </w:r>
      <w:r w:rsidR="00D353D4" w:rsidRPr="00CA53D4">
        <w:rPr>
          <w:rFonts w:hint="eastAsia"/>
          <w:spacing w:val="-6"/>
        </w:rPr>
        <w:t>。</w:t>
      </w:r>
      <w:r w:rsidRPr="00CA53D4">
        <w:rPr>
          <w:rStyle w:val="afe"/>
          <w:rFonts w:hAnsi="標楷體"/>
          <w:spacing w:val="-6"/>
          <w:sz w:val="28"/>
          <w:szCs w:val="32"/>
        </w:rPr>
        <w:footnoteReference w:id="3"/>
      </w:r>
    </w:p>
    <w:p w:rsidR="00F36F21" w:rsidRPr="00CA53D4" w:rsidRDefault="00F36F21" w:rsidP="00ED5EF4">
      <w:pPr>
        <w:pStyle w:val="3"/>
        <w:rPr>
          <w:rFonts w:hAnsi="標楷體"/>
          <w:spacing w:val="-6"/>
          <w:szCs w:val="32"/>
        </w:rPr>
      </w:pPr>
      <w:r w:rsidRPr="00CA53D4">
        <w:rPr>
          <w:rFonts w:hint="eastAsia"/>
          <w:spacing w:val="-6"/>
        </w:rPr>
        <w:t>綜上，有關港女命案，</w:t>
      </w:r>
      <w:r w:rsidRPr="00CA53D4">
        <w:rPr>
          <w:rFonts w:hAnsi="標楷體" w:hint="eastAsia"/>
          <w:spacing w:val="-6"/>
          <w:szCs w:val="32"/>
        </w:rPr>
        <w:t>我方</w:t>
      </w:r>
      <w:r w:rsidR="00D155BC">
        <w:rPr>
          <w:rFonts w:hint="eastAsia"/>
          <w:spacing w:val="-6"/>
        </w:rPr>
        <w:t>積極聯繫香港政府進行後續司法偵查事宜</w:t>
      </w:r>
      <w:r w:rsidRPr="00CA53D4">
        <w:rPr>
          <w:rFonts w:hAnsi="標楷體" w:hint="eastAsia"/>
          <w:spacing w:val="-6"/>
          <w:szCs w:val="32"/>
        </w:rPr>
        <w:t>，且依</w:t>
      </w:r>
      <w:r w:rsidRPr="00CA53D4">
        <w:rPr>
          <w:rFonts w:hint="eastAsia"/>
          <w:spacing w:val="-6"/>
        </w:rPr>
        <w:t>中華民國</w:t>
      </w:r>
      <w:r w:rsidRPr="00CA53D4">
        <w:rPr>
          <w:rFonts w:hAnsi="標楷體" w:hint="eastAsia"/>
          <w:spacing w:val="-6"/>
          <w:szCs w:val="32"/>
        </w:rPr>
        <w:t>刑法第3條「屬地原則」及第4條「隔地犯」原則，我國具有管轄權，殆無疑義，且有關投案窗口及相關作業程序，內政部警政</w:t>
      </w:r>
      <w:r w:rsidRPr="00CA53D4">
        <w:rPr>
          <w:rFonts w:hAnsi="標楷體" w:hint="eastAsia"/>
          <w:spacing w:val="-6"/>
          <w:szCs w:val="32"/>
        </w:rPr>
        <w:lastRenderedPageBreak/>
        <w:t>署刑事警察局均已完備相關工作，並無拒收陳嫌情事</w:t>
      </w:r>
      <w:r w:rsidRPr="00CA53D4">
        <w:rPr>
          <w:rFonts w:hint="eastAsia"/>
          <w:spacing w:val="-6"/>
        </w:rPr>
        <w:t>。</w:t>
      </w:r>
      <w:r w:rsidRPr="00CA53D4">
        <w:rPr>
          <w:rFonts w:hAnsi="標楷體" w:hint="eastAsia"/>
          <w:spacing w:val="-6"/>
          <w:szCs w:val="32"/>
        </w:rPr>
        <w:t>邇來因疫情因素，若陳嫌來臺投案，中央流行疫情指揮中心、法務部</w:t>
      </w:r>
      <w:r w:rsidR="00D155BC">
        <w:rPr>
          <w:rFonts w:hAnsi="標楷體" w:hint="eastAsia"/>
          <w:spacing w:val="-6"/>
          <w:szCs w:val="32"/>
        </w:rPr>
        <w:t>與大陸委員會亦已研商規劃防疫期間人犯歸案及檢疫相關配套措施，</w:t>
      </w:r>
      <w:r w:rsidRPr="00CA53D4">
        <w:rPr>
          <w:rFonts w:hint="eastAsia"/>
          <w:spacing w:val="-6"/>
        </w:rPr>
        <w:t>做好隨時受理投案準備，屆時因應需要啟動各種相關應處機制。</w:t>
      </w:r>
    </w:p>
    <w:p w:rsidR="0018375D" w:rsidRPr="00CA53D4" w:rsidRDefault="00BC3223" w:rsidP="007F2033">
      <w:pPr>
        <w:pStyle w:val="2"/>
        <w:rPr>
          <w:rFonts w:hAnsi="標楷體"/>
          <w:b/>
          <w:spacing w:val="-6"/>
          <w:szCs w:val="32"/>
        </w:rPr>
      </w:pPr>
      <w:r w:rsidRPr="00CA53D4">
        <w:rPr>
          <w:rFonts w:hint="eastAsia"/>
          <w:b/>
          <w:spacing w:val="-6"/>
        </w:rPr>
        <w:t>港女命案</w:t>
      </w:r>
      <w:r w:rsidR="00883405" w:rsidRPr="00CA53D4">
        <w:rPr>
          <w:rFonts w:hAnsi="標楷體" w:hint="eastAsia"/>
          <w:b/>
          <w:spacing w:val="-6"/>
          <w:szCs w:val="32"/>
        </w:rPr>
        <w:t>係屬</w:t>
      </w:r>
      <w:r w:rsidR="00C116F6" w:rsidRPr="00CA53D4">
        <w:rPr>
          <w:rFonts w:hAnsi="標楷體" w:hint="eastAsia"/>
          <w:b/>
          <w:spacing w:val="-6"/>
          <w:szCs w:val="32"/>
        </w:rPr>
        <w:t>臺、港</w:t>
      </w:r>
      <w:r w:rsidR="00D353D4" w:rsidRPr="00CA53D4">
        <w:rPr>
          <w:rFonts w:hAnsi="標楷體" w:hint="eastAsia"/>
          <w:b/>
          <w:spacing w:val="-6"/>
          <w:szCs w:val="32"/>
        </w:rPr>
        <w:t>刑事</w:t>
      </w:r>
      <w:r w:rsidR="00620F81" w:rsidRPr="00CA53D4">
        <w:rPr>
          <w:rFonts w:hAnsi="標楷體" w:hint="eastAsia"/>
          <w:b/>
          <w:spacing w:val="-6"/>
          <w:szCs w:val="32"/>
        </w:rPr>
        <w:t>司法互助</w:t>
      </w:r>
      <w:r w:rsidR="00883405" w:rsidRPr="00CA53D4">
        <w:rPr>
          <w:rFonts w:hAnsi="標楷體" w:hint="eastAsia"/>
          <w:b/>
          <w:spacing w:val="-6"/>
          <w:szCs w:val="32"/>
        </w:rPr>
        <w:t>之重大案件</w:t>
      </w:r>
      <w:r w:rsidR="00620F81" w:rsidRPr="00CA53D4">
        <w:rPr>
          <w:rFonts w:hAnsi="標楷體" w:hint="eastAsia"/>
          <w:b/>
          <w:spacing w:val="-6"/>
          <w:szCs w:val="32"/>
        </w:rPr>
        <w:t>，</w:t>
      </w:r>
      <w:r w:rsidR="007F2033" w:rsidRPr="00CA53D4">
        <w:rPr>
          <w:rFonts w:hAnsi="標楷體" w:hint="eastAsia"/>
          <w:b/>
          <w:spacing w:val="-6"/>
          <w:szCs w:val="32"/>
        </w:rPr>
        <w:t>動見觀瞻，</w:t>
      </w:r>
      <w:r w:rsidR="00620F81" w:rsidRPr="00CA53D4">
        <w:rPr>
          <w:rFonts w:hAnsi="標楷體" w:hint="eastAsia"/>
          <w:b/>
          <w:spacing w:val="-6"/>
          <w:szCs w:val="32"/>
        </w:rPr>
        <w:t>對於相關案情及港方發言，大陸委員會及法務部均於第一時間主動發布新聞稿或召開記者會說明，且大陸委員會網</w:t>
      </w:r>
      <w:r w:rsidR="00620F81" w:rsidRPr="00CA53D4">
        <w:rPr>
          <w:rFonts w:hAnsi="標楷體" w:hint="eastAsia"/>
          <w:b/>
          <w:spacing w:val="-6"/>
        </w:rPr>
        <w:t>站建置「政府因應香港逃犯條例專區」，使國人及各界即時獲悉相關資訊，</w:t>
      </w:r>
      <w:r w:rsidR="00620F81" w:rsidRPr="00CA53D4">
        <w:rPr>
          <w:rFonts w:hAnsi="標楷體" w:cs="Helvetica"/>
          <w:b/>
          <w:spacing w:val="-6"/>
          <w:kern w:val="0"/>
          <w:szCs w:val="32"/>
        </w:rPr>
        <w:t>類此牽涉國際司法事務之案件，政府</w:t>
      </w:r>
      <w:r w:rsidR="0021446F" w:rsidRPr="00CA53D4">
        <w:rPr>
          <w:rFonts w:hAnsi="標楷體" w:cs="Helvetica" w:hint="eastAsia"/>
          <w:b/>
          <w:spacing w:val="-6"/>
          <w:kern w:val="0"/>
          <w:szCs w:val="32"/>
        </w:rPr>
        <w:t>應</w:t>
      </w:r>
      <w:r w:rsidR="00620F81" w:rsidRPr="00CA53D4">
        <w:rPr>
          <w:rFonts w:hAnsi="標楷體" w:cs="Helvetica" w:hint="eastAsia"/>
          <w:b/>
          <w:spacing w:val="-6"/>
          <w:kern w:val="0"/>
          <w:szCs w:val="32"/>
        </w:rPr>
        <w:t>設</w:t>
      </w:r>
      <w:r w:rsidR="00620F81" w:rsidRPr="00CA53D4">
        <w:rPr>
          <w:rFonts w:hAnsi="標楷體" w:cs="Helvetica"/>
          <w:b/>
          <w:spacing w:val="-6"/>
          <w:kern w:val="0"/>
          <w:szCs w:val="32"/>
        </w:rPr>
        <w:t>有統一窗口，讓人民有獲得「知」之權利</w:t>
      </w:r>
      <w:r w:rsidR="007F2033" w:rsidRPr="00CA53D4">
        <w:rPr>
          <w:rFonts w:hAnsi="標楷體" w:hint="eastAsia"/>
          <w:b/>
          <w:spacing w:val="-6"/>
          <w:szCs w:val="32"/>
        </w:rPr>
        <w:t>。</w:t>
      </w:r>
    </w:p>
    <w:p w:rsidR="00620F81" w:rsidRPr="00CA53D4" w:rsidRDefault="00620F81" w:rsidP="00337740">
      <w:pPr>
        <w:pStyle w:val="3"/>
        <w:rPr>
          <w:rFonts w:hAnsi="標楷體"/>
          <w:spacing w:val="-6"/>
        </w:rPr>
      </w:pPr>
      <w:r w:rsidRPr="00CA53D4">
        <w:rPr>
          <w:rFonts w:hAnsi="標楷體" w:hint="eastAsia"/>
          <w:spacing w:val="-6"/>
        </w:rPr>
        <w:t>本案同時涉</w:t>
      </w:r>
      <w:r w:rsidR="00C116F6" w:rsidRPr="00CA53D4">
        <w:rPr>
          <w:rFonts w:hAnsi="標楷體" w:hint="eastAsia"/>
          <w:spacing w:val="-6"/>
        </w:rPr>
        <w:t>臺、港</w:t>
      </w:r>
      <w:r w:rsidRPr="00CA53D4">
        <w:rPr>
          <w:rFonts w:hAnsi="標楷體" w:hint="eastAsia"/>
          <w:spacing w:val="-6"/>
        </w:rPr>
        <w:t>司法互助及在臺刑事案件司法審判，對於相關案情及港方發言，法務部發布相關新聞稿說明</w:t>
      </w:r>
      <w:r w:rsidRPr="00CA53D4">
        <w:rPr>
          <w:rFonts w:hAnsi="標楷體" w:hint="eastAsia"/>
          <w:spacing w:val="-6"/>
          <w:szCs w:val="32"/>
        </w:rPr>
        <w:t>相關情形</w:t>
      </w:r>
      <w:r w:rsidR="00DD516C" w:rsidRPr="00CA53D4">
        <w:rPr>
          <w:rFonts w:hAnsi="標楷體" w:hint="eastAsia"/>
          <w:spacing w:val="-6"/>
          <w:szCs w:val="32"/>
        </w:rPr>
        <w:t>。</w:t>
      </w:r>
      <w:r w:rsidRPr="00CA53D4">
        <w:rPr>
          <w:rFonts w:hAnsi="標楷體" w:hint="eastAsia"/>
          <w:spacing w:val="-6"/>
          <w:szCs w:val="32"/>
        </w:rPr>
        <w:t>為釐清新事證，士林地檢署向香港提出</w:t>
      </w:r>
      <w:r w:rsidR="00D20704" w:rsidRPr="00CA53D4">
        <w:rPr>
          <w:rFonts w:hAnsi="標楷體" w:hint="eastAsia"/>
          <w:spacing w:val="-6"/>
          <w:szCs w:val="32"/>
        </w:rPr>
        <w:t>第2次</w:t>
      </w:r>
      <w:r w:rsidRPr="00CA53D4">
        <w:rPr>
          <w:rFonts w:hAnsi="標楷體" w:hint="eastAsia"/>
          <w:spacing w:val="-6"/>
          <w:szCs w:val="32"/>
        </w:rPr>
        <w:t>司法互助請求，法務部107年5月3日發布新聞稿說明；為積極追訴重大犯罪向香港提出遣送請求，法務部107年12月4日發布新聞稿說明；</w:t>
      </w:r>
      <w:r w:rsidRPr="00CA53D4">
        <w:rPr>
          <w:rFonts w:hAnsi="標楷體" w:cs="新細明體" w:hint="eastAsia"/>
          <w:spacing w:val="-6"/>
          <w:kern w:val="0"/>
          <w:szCs w:val="32"/>
          <w:lang w:val="x-none"/>
        </w:rPr>
        <w:t>臺灣堅守司法主權，尊重雙方管轄權，立場始終如一，籲請香港政府履行承諾提供協助，以伸張被害港女及其家屬人權，</w:t>
      </w:r>
      <w:r w:rsidRPr="00CA53D4">
        <w:rPr>
          <w:rFonts w:hAnsi="標楷體" w:hint="eastAsia"/>
          <w:spacing w:val="-6"/>
          <w:szCs w:val="32"/>
        </w:rPr>
        <w:t>法務部108年10月23日發布新聞稿說明；對於</w:t>
      </w:r>
      <w:r w:rsidR="0087280C" w:rsidRPr="00CA53D4">
        <w:rPr>
          <w:rFonts w:hAnsi="標楷體"/>
          <w:spacing w:val="-6"/>
          <w:szCs w:val="32"/>
        </w:rPr>
        <w:t>《逃犯條例》</w:t>
      </w:r>
      <w:r w:rsidR="0087280C" w:rsidRPr="00CA53D4">
        <w:rPr>
          <w:rFonts w:hAnsi="標楷體" w:hint="eastAsia"/>
          <w:spacing w:val="-6"/>
          <w:szCs w:val="32"/>
        </w:rPr>
        <w:t>之修訂立場</w:t>
      </w:r>
      <w:r w:rsidRPr="00CA53D4">
        <w:rPr>
          <w:rFonts w:hAnsi="標楷體" w:hint="eastAsia"/>
          <w:spacing w:val="-6"/>
          <w:szCs w:val="32"/>
        </w:rPr>
        <w:t>，法務部108年6月14日發布新聞稿說明；有關香港政府宣布暫緩</w:t>
      </w:r>
      <w:r w:rsidR="0087280C" w:rsidRPr="00CA53D4">
        <w:rPr>
          <w:rFonts w:hAnsi="標楷體"/>
          <w:spacing w:val="-6"/>
          <w:szCs w:val="32"/>
        </w:rPr>
        <w:t>《逃犯條例》</w:t>
      </w:r>
      <w:r w:rsidR="0087280C" w:rsidRPr="00CA53D4">
        <w:rPr>
          <w:rFonts w:hAnsi="標楷體" w:hint="eastAsia"/>
          <w:spacing w:val="-6"/>
          <w:szCs w:val="32"/>
        </w:rPr>
        <w:t>之修訂</w:t>
      </w:r>
      <w:r w:rsidRPr="00CA53D4">
        <w:rPr>
          <w:rFonts w:hAnsi="標楷體" w:hint="eastAsia"/>
          <w:spacing w:val="-6"/>
          <w:szCs w:val="32"/>
        </w:rPr>
        <w:t>，法務部108年10月23日發布新聞稿說明。</w:t>
      </w:r>
    </w:p>
    <w:p w:rsidR="007F2033" w:rsidRPr="00CA53D4" w:rsidRDefault="007F2033" w:rsidP="003257AF">
      <w:pPr>
        <w:pStyle w:val="3"/>
        <w:rPr>
          <w:rFonts w:hAnsi="標楷體"/>
          <w:spacing w:val="-6"/>
          <w:szCs w:val="32"/>
        </w:rPr>
      </w:pPr>
      <w:r w:rsidRPr="00CA53D4">
        <w:rPr>
          <w:rFonts w:hAnsi="標楷體" w:hint="eastAsia"/>
          <w:spacing w:val="-6"/>
        </w:rPr>
        <w:t>大陸委員會網站建置「政府因應香港逃犯條例專區」</w:t>
      </w:r>
      <w:r w:rsidR="00835676" w:rsidRPr="00CA53D4">
        <w:rPr>
          <w:rStyle w:val="afe"/>
          <w:rFonts w:hAnsi="標楷體"/>
          <w:spacing w:val="-6"/>
          <w:sz w:val="28"/>
        </w:rPr>
        <w:footnoteReference w:id="4"/>
      </w:r>
      <w:r w:rsidRPr="00CA53D4">
        <w:rPr>
          <w:rFonts w:hAnsi="標楷體" w:hint="eastAsia"/>
          <w:spacing w:val="-6"/>
        </w:rPr>
        <w:t>，使國人及各界即時獲悉相關資訊，發布新聞稿表達政府立場，並整理本案大事記，使人民知悉政府相關作為。又大陸委員會在本案相關新聞稿如下，108年2月21日1則、6月15日1則、6月17日1則、10月20日1則、</w:t>
      </w:r>
      <w:r w:rsidRPr="00CA53D4">
        <w:rPr>
          <w:rFonts w:hAnsi="標楷體" w:hint="eastAsia"/>
          <w:spacing w:val="-6"/>
        </w:rPr>
        <w:lastRenderedPageBreak/>
        <w:t>10月21日1則、10月22日2則、10月23日2則。</w:t>
      </w:r>
    </w:p>
    <w:p w:rsidR="00337740" w:rsidRPr="00CA53D4" w:rsidRDefault="00337740" w:rsidP="003257AF">
      <w:pPr>
        <w:pStyle w:val="3"/>
        <w:rPr>
          <w:rFonts w:hAnsi="標楷體"/>
          <w:spacing w:val="-6"/>
          <w:szCs w:val="32"/>
        </w:rPr>
      </w:pPr>
      <w:r w:rsidRPr="00CA53D4">
        <w:rPr>
          <w:rFonts w:hAnsi="標楷體" w:hint="eastAsia"/>
          <w:spacing w:val="-6"/>
          <w:szCs w:val="32"/>
        </w:rPr>
        <w:t>綜上，本案係屬</w:t>
      </w:r>
      <w:r w:rsidR="00C116F6" w:rsidRPr="00CA53D4">
        <w:rPr>
          <w:rFonts w:hAnsi="標楷體" w:hint="eastAsia"/>
          <w:spacing w:val="-6"/>
          <w:szCs w:val="32"/>
        </w:rPr>
        <w:t>臺、港</w:t>
      </w:r>
      <w:r w:rsidRPr="00CA53D4">
        <w:rPr>
          <w:rFonts w:hAnsi="標楷體" w:hint="eastAsia"/>
          <w:spacing w:val="-6"/>
          <w:szCs w:val="32"/>
        </w:rPr>
        <w:t>刑事司法互助之重大案件，動見觀瞻，對於相關案情及港方發言，大陸委員會及法務部均於第一時間主動發布新聞稿或召開記者會說明，且大陸委員會網</w:t>
      </w:r>
      <w:r w:rsidRPr="00CA53D4">
        <w:rPr>
          <w:rFonts w:hAnsi="標楷體" w:hint="eastAsia"/>
          <w:spacing w:val="-6"/>
        </w:rPr>
        <w:t>站建置「政府因應香港逃犯條例專區」，使國人及各界即時獲悉相關資訊，</w:t>
      </w:r>
      <w:r w:rsidRPr="00CA53D4">
        <w:rPr>
          <w:rFonts w:hAnsi="標楷體" w:cs="Helvetica"/>
          <w:spacing w:val="-6"/>
          <w:kern w:val="0"/>
          <w:szCs w:val="32"/>
        </w:rPr>
        <w:t>類此牽涉國際司法事務之案件，政府</w:t>
      </w:r>
      <w:r w:rsidRPr="00CA53D4">
        <w:rPr>
          <w:rFonts w:hAnsi="標楷體" w:cs="Helvetica" w:hint="eastAsia"/>
          <w:spacing w:val="-6"/>
          <w:kern w:val="0"/>
          <w:szCs w:val="32"/>
        </w:rPr>
        <w:t>應設</w:t>
      </w:r>
      <w:r w:rsidRPr="00CA53D4">
        <w:rPr>
          <w:rFonts w:hAnsi="標楷體" w:cs="Helvetica"/>
          <w:spacing w:val="-6"/>
          <w:kern w:val="0"/>
          <w:szCs w:val="32"/>
        </w:rPr>
        <w:t>有統一窗口，讓人民有獲得「知」之權利</w:t>
      </w:r>
      <w:r w:rsidRPr="00CA53D4">
        <w:rPr>
          <w:rFonts w:hAnsi="標楷體" w:hint="eastAsia"/>
          <w:spacing w:val="-6"/>
          <w:szCs w:val="32"/>
        </w:rPr>
        <w:t>。</w:t>
      </w:r>
    </w:p>
    <w:p w:rsidR="00E25849" w:rsidRPr="00293770" w:rsidRDefault="00620F81" w:rsidP="004E05A1">
      <w:pPr>
        <w:pStyle w:val="1"/>
        <w:ind w:left="2380" w:hanging="2380"/>
        <w:rPr>
          <w:rFonts w:hAnsi="標楷體"/>
          <w:szCs w:val="32"/>
        </w:rPr>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End w:id="60"/>
      <w:r w:rsidRPr="00293770">
        <w:rPr>
          <w:rFonts w:hAnsi="標楷體" w:hint="eastAsia"/>
          <w:szCs w:val="32"/>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560DDA" w:rsidRDefault="00BC1341" w:rsidP="000825D1">
      <w:pPr>
        <w:pStyle w:val="2"/>
        <w:spacing w:beforeLines="25" w:before="114"/>
        <w:ind w:left="1020" w:hanging="680"/>
        <w:rPr>
          <w:rFonts w:hAnsi="標楷體"/>
          <w:szCs w:val="32"/>
        </w:rPr>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293770">
        <w:rPr>
          <w:rFonts w:hAnsi="標楷體" w:hint="eastAsia"/>
          <w:szCs w:val="32"/>
        </w:rPr>
        <w:t>調查意見</w:t>
      </w:r>
      <w:r w:rsidR="00C46B5B">
        <w:rPr>
          <w:rFonts w:hAnsi="標楷體" w:hint="eastAsia"/>
          <w:szCs w:val="32"/>
        </w:rPr>
        <w:t>一</w:t>
      </w:r>
      <w:r w:rsidRPr="00293770">
        <w:rPr>
          <w:rFonts w:hAnsi="標楷體" w:hint="eastAsia"/>
          <w:szCs w:val="32"/>
        </w:rPr>
        <w:t>，函請法務部、大陸委員會妥處</w:t>
      </w:r>
      <w:r w:rsidR="00E25849" w:rsidRPr="00293770">
        <w:rPr>
          <w:rFonts w:hAnsi="標楷體" w:hint="eastAsia"/>
          <w:szCs w:val="32"/>
        </w:rPr>
        <w:t>見復。</w:t>
      </w:r>
      <w:bookmarkStart w:id="112" w:name="_Toc2400397"/>
      <w:bookmarkStart w:id="113" w:name="_Toc4316191"/>
      <w:bookmarkStart w:id="114" w:name="_Toc4473332"/>
      <w:bookmarkStart w:id="115" w:name="_Toc69556901"/>
      <w:bookmarkStart w:id="116" w:name="_Toc69556950"/>
      <w:bookmarkStart w:id="117" w:name="_Toc69609824"/>
      <w:bookmarkStart w:id="118" w:name="_Toc70241822"/>
      <w:bookmarkStart w:id="119" w:name="_Toc70242211"/>
      <w:bookmarkStart w:id="120" w:name="_Toc421794881"/>
      <w:bookmarkStart w:id="121" w:name="_Toc421795447"/>
      <w:bookmarkStart w:id="122" w:name="_Toc421796028"/>
      <w:bookmarkStart w:id="123" w:name="_Toc422728963"/>
      <w:bookmarkStart w:id="124" w:name="_Toc422834166"/>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C46B5B" w:rsidRPr="00293770" w:rsidRDefault="00C46B5B" w:rsidP="000825D1">
      <w:pPr>
        <w:pStyle w:val="2"/>
        <w:spacing w:beforeLines="25" w:before="114"/>
        <w:ind w:left="1020" w:hanging="680"/>
        <w:rPr>
          <w:rFonts w:hAnsi="標楷體"/>
          <w:szCs w:val="32"/>
        </w:rPr>
      </w:pPr>
      <w:r w:rsidRPr="00293770">
        <w:rPr>
          <w:rFonts w:hAnsi="標楷體" w:hint="eastAsia"/>
          <w:szCs w:val="32"/>
        </w:rPr>
        <w:t>調查意見</w:t>
      </w:r>
      <w:r>
        <w:rPr>
          <w:rFonts w:hAnsi="標楷體" w:hint="eastAsia"/>
          <w:szCs w:val="32"/>
        </w:rPr>
        <w:t>二及三，函請法務部、大陸委員會參考</w:t>
      </w:r>
      <w:r w:rsidRPr="00293770">
        <w:rPr>
          <w:rFonts w:hAnsi="標楷體" w:hint="eastAsia"/>
          <w:szCs w:val="32"/>
        </w:rPr>
        <w:t>見復</w:t>
      </w:r>
      <w:r w:rsidR="002609AB">
        <w:rPr>
          <w:rFonts w:hAnsi="標楷體" w:hint="eastAsia"/>
          <w:szCs w:val="32"/>
        </w:rPr>
        <w:t>。</w:t>
      </w:r>
    </w:p>
    <w:p w:rsidR="00E25849" w:rsidRPr="00293770" w:rsidRDefault="00BC1341">
      <w:pPr>
        <w:pStyle w:val="2"/>
        <w:rPr>
          <w:rFonts w:hAnsi="標楷體"/>
          <w:szCs w:val="32"/>
        </w:rPr>
      </w:pPr>
      <w:r w:rsidRPr="00293770">
        <w:rPr>
          <w:rFonts w:hAnsi="標楷體" w:hint="eastAsia"/>
          <w:szCs w:val="32"/>
        </w:rPr>
        <w:t>檢附派查函及相關附件，送請司法及獄政</w:t>
      </w:r>
      <w:r w:rsidR="000F7C9F">
        <w:rPr>
          <w:rFonts w:hAnsi="標楷體" w:hint="eastAsia"/>
          <w:szCs w:val="32"/>
        </w:rPr>
        <w:t>、內政及族群</w:t>
      </w:r>
      <w:r w:rsidR="00E25849" w:rsidRPr="00293770">
        <w:rPr>
          <w:rFonts w:hAnsi="標楷體" w:hint="eastAsia"/>
          <w:szCs w:val="32"/>
        </w:rPr>
        <w:t>委員會</w:t>
      </w:r>
      <w:r w:rsidR="000F7C9F">
        <w:rPr>
          <w:rFonts w:hAnsi="標楷體" w:hint="eastAsia"/>
          <w:szCs w:val="32"/>
        </w:rPr>
        <w:t>聯席會議審查</w:t>
      </w:r>
      <w:r w:rsidR="00E25849" w:rsidRPr="00293770">
        <w:rPr>
          <w:rFonts w:hAnsi="標楷體" w:hint="eastAsia"/>
          <w:szCs w:val="32"/>
        </w:rPr>
        <w:t>。</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770453" w:rsidRPr="00293770" w:rsidRDefault="00770453" w:rsidP="00770453">
      <w:pPr>
        <w:pStyle w:val="aa"/>
        <w:spacing w:beforeLines="50" w:before="228" w:afterLines="100" w:after="457"/>
        <w:ind w:leftChars="1100" w:left="3742"/>
        <w:rPr>
          <w:rFonts w:hAnsi="標楷體"/>
          <w:b w:val="0"/>
          <w:bCs/>
          <w:snapToGrid/>
          <w:spacing w:val="12"/>
          <w:kern w:val="0"/>
          <w:sz w:val="32"/>
          <w:szCs w:val="32"/>
        </w:rPr>
      </w:pPr>
    </w:p>
    <w:p w:rsidR="00A01562" w:rsidRPr="00293770" w:rsidRDefault="00A01562" w:rsidP="00770453">
      <w:pPr>
        <w:pStyle w:val="aa"/>
        <w:spacing w:beforeLines="50" w:before="228" w:afterLines="100" w:after="457"/>
        <w:ind w:leftChars="1100" w:left="3742"/>
        <w:rPr>
          <w:rFonts w:hAnsi="標楷體"/>
          <w:b w:val="0"/>
          <w:bCs/>
          <w:snapToGrid/>
          <w:spacing w:val="12"/>
          <w:kern w:val="0"/>
          <w:sz w:val="32"/>
          <w:szCs w:val="32"/>
        </w:rPr>
      </w:pPr>
    </w:p>
    <w:p w:rsidR="00EC04D1" w:rsidRDefault="00E25849" w:rsidP="00EC04D1">
      <w:pPr>
        <w:pStyle w:val="aa"/>
        <w:spacing w:beforeLines="50" w:before="228" w:afterLines="100" w:after="457" w:line="640" w:lineRule="exact"/>
        <w:ind w:leftChars="1100" w:left="3742"/>
        <w:rPr>
          <w:rFonts w:hAnsi="標楷體"/>
          <w:b w:val="0"/>
          <w:bCs/>
          <w:snapToGrid/>
          <w:spacing w:val="12"/>
          <w:kern w:val="0"/>
          <w:sz w:val="40"/>
          <w:szCs w:val="40"/>
        </w:rPr>
      </w:pPr>
      <w:r w:rsidRPr="009F0473">
        <w:rPr>
          <w:rFonts w:hAnsi="標楷體" w:hint="eastAsia"/>
          <w:b w:val="0"/>
          <w:bCs/>
          <w:snapToGrid/>
          <w:spacing w:val="12"/>
          <w:kern w:val="0"/>
          <w:sz w:val="40"/>
          <w:szCs w:val="40"/>
        </w:rPr>
        <w:t>調查委員：</w:t>
      </w:r>
      <w:r w:rsidR="009F0473" w:rsidRPr="009F0473">
        <w:rPr>
          <w:rFonts w:hAnsi="標楷體" w:hint="eastAsia"/>
          <w:b w:val="0"/>
          <w:bCs/>
          <w:snapToGrid/>
          <w:spacing w:val="12"/>
          <w:kern w:val="0"/>
          <w:sz w:val="40"/>
          <w:szCs w:val="40"/>
        </w:rPr>
        <w:t>蔡崇義</w:t>
      </w:r>
    </w:p>
    <w:p w:rsidR="00100967" w:rsidRPr="009F0473" w:rsidRDefault="009F0473" w:rsidP="00EC04D1">
      <w:pPr>
        <w:pStyle w:val="aa"/>
        <w:spacing w:beforeLines="50" w:before="228" w:afterLines="100" w:after="457" w:line="640" w:lineRule="exact"/>
        <w:ind w:leftChars="1100" w:left="3742" w:firstLineChars="500" w:firstLine="2221"/>
        <w:rPr>
          <w:rFonts w:hAnsi="標楷體"/>
          <w:b w:val="0"/>
          <w:bCs/>
          <w:snapToGrid/>
          <w:spacing w:val="0"/>
          <w:kern w:val="0"/>
          <w:sz w:val="40"/>
          <w:szCs w:val="40"/>
        </w:rPr>
      </w:pPr>
      <w:r w:rsidRPr="009F0473">
        <w:rPr>
          <w:rFonts w:hAnsi="標楷體" w:hint="eastAsia"/>
          <w:b w:val="0"/>
          <w:bCs/>
          <w:snapToGrid/>
          <w:spacing w:val="12"/>
          <w:kern w:val="0"/>
          <w:sz w:val="40"/>
          <w:szCs w:val="40"/>
        </w:rPr>
        <w:t>王幼玲</w:t>
      </w:r>
    </w:p>
    <w:sectPr w:rsidR="00100967" w:rsidRPr="009F047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67D" w:rsidRDefault="00C0367D">
      <w:r>
        <w:separator/>
      </w:r>
    </w:p>
  </w:endnote>
  <w:endnote w:type="continuationSeparator" w:id="0">
    <w:p w:rsidR="00C0367D" w:rsidRDefault="00C0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Gothic Std B">
    <w:panose1 w:val="020B0800000000000000"/>
    <w:charset w:val="80"/>
    <w:family w:val="swiss"/>
    <w:notTrueType/>
    <w:pitch w:val="variable"/>
    <w:sig w:usb0="00000203" w:usb1="29D72C10" w:usb2="00000010" w:usb3="00000000" w:csb0="002A0005"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342" w:rsidRDefault="0092034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C04D1">
      <w:rPr>
        <w:rStyle w:val="ac"/>
        <w:noProof/>
        <w:sz w:val="24"/>
      </w:rPr>
      <w:t>1</w:t>
    </w:r>
    <w:r>
      <w:rPr>
        <w:rStyle w:val="ac"/>
        <w:sz w:val="24"/>
      </w:rPr>
      <w:fldChar w:fldCharType="end"/>
    </w:r>
  </w:p>
  <w:p w:rsidR="00920342" w:rsidRDefault="00920342">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67D" w:rsidRDefault="00C0367D">
      <w:r>
        <w:separator/>
      </w:r>
    </w:p>
  </w:footnote>
  <w:footnote w:type="continuationSeparator" w:id="0">
    <w:p w:rsidR="00C0367D" w:rsidRDefault="00C0367D">
      <w:r>
        <w:continuationSeparator/>
      </w:r>
    </w:p>
  </w:footnote>
  <w:footnote w:id="1">
    <w:p w:rsidR="00920342" w:rsidRPr="00882498" w:rsidRDefault="00920342" w:rsidP="000065BE">
      <w:pPr>
        <w:pStyle w:val="afc"/>
        <w:spacing w:line="220" w:lineRule="exact"/>
        <w:rPr>
          <w:rFonts w:hAnsi="標楷體"/>
        </w:rPr>
      </w:pPr>
      <w:r w:rsidRPr="00882498">
        <w:rPr>
          <w:rStyle w:val="afe"/>
          <w:rFonts w:hAnsi="標楷體"/>
        </w:rPr>
        <w:footnoteRef/>
      </w:r>
      <w:r w:rsidRPr="00882498">
        <w:rPr>
          <w:rFonts w:hAnsi="標楷體"/>
        </w:rPr>
        <w:t xml:space="preserve"> </w:t>
      </w:r>
      <w:r w:rsidRPr="00882498">
        <w:rPr>
          <w:rFonts w:hAnsi="標楷體" w:hint="eastAsia"/>
        </w:rPr>
        <w:t>有關</w:t>
      </w:r>
      <w:r w:rsidRPr="00882498">
        <w:rPr>
          <w:rFonts w:hAnsi="標楷體"/>
        </w:rPr>
        <w:t>《2019年逃犯及刑事事宜相互法律協助法例（修訂）條例草案》</w:t>
      </w:r>
      <w:r w:rsidRPr="00882498">
        <w:rPr>
          <w:rFonts w:hAnsi="標楷體" w:hint="eastAsia"/>
        </w:rPr>
        <w:t>之用語</w:t>
      </w:r>
      <w:r w:rsidRPr="00882498">
        <w:rPr>
          <w:rFonts w:hAnsi="標楷體" w:cs="新細明體" w:hint="eastAsia"/>
          <w:kern w:val="0"/>
        </w:rPr>
        <w:t>來源：中華人民共和國香港特別行政區立法會</w:t>
      </w:r>
      <w:r w:rsidRPr="00882498">
        <w:rPr>
          <w:rFonts w:hAnsi="標楷體" w:cs="新細明體"/>
          <w:kern w:val="0"/>
        </w:rPr>
        <w:t>www.legco.gov.hk › chinese › bills › b201903291，瀏覽日期</w:t>
      </w:r>
      <w:r>
        <w:rPr>
          <w:rFonts w:hAnsi="標楷體" w:cs="新細明體"/>
          <w:kern w:val="0"/>
        </w:rPr>
        <w:t>：</w:t>
      </w:r>
      <w:r w:rsidRPr="00882498">
        <w:rPr>
          <w:rFonts w:hAnsi="標楷體" w:cs="新細明體"/>
          <w:kern w:val="0"/>
        </w:rPr>
        <w:t>109年5月7日</w:t>
      </w:r>
      <w:r w:rsidRPr="00882498">
        <w:rPr>
          <w:rFonts w:hAnsi="標楷體" w:cs="新細明體" w:hint="eastAsia"/>
          <w:kern w:val="0"/>
        </w:rPr>
        <w:t>。</w:t>
      </w:r>
    </w:p>
  </w:footnote>
  <w:footnote w:id="2">
    <w:p w:rsidR="00920342" w:rsidRPr="00882498" w:rsidRDefault="00920342" w:rsidP="00882498">
      <w:pPr>
        <w:pStyle w:val="afc"/>
        <w:spacing w:line="220" w:lineRule="exact"/>
        <w:rPr>
          <w:rFonts w:hAnsi="標楷體"/>
        </w:rPr>
      </w:pPr>
      <w:r w:rsidRPr="00882498">
        <w:rPr>
          <w:rStyle w:val="afe"/>
          <w:rFonts w:hAnsi="標楷體"/>
        </w:rPr>
        <w:footnoteRef/>
      </w:r>
      <w:r>
        <w:rPr>
          <w:rFonts w:hAnsi="標楷體" w:hint="eastAsia"/>
        </w:rPr>
        <w:t>資料來源：法務部全球資訊網。網址：</w:t>
      </w:r>
      <w:r w:rsidRPr="00882498">
        <w:rPr>
          <w:rFonts w:hAnsi="標楷體"/>
        </w:rPr>
        <w:t xml:space="preserve"> https</w:t>
      </w:r>
      <w:r>
        <w:rPr>
          <w:rFonts w:hAnsi="標楷體"/>
        </w:rPr>
        <w:t>：</w:t>
      </w:r>
      <w:r w:rsidRPr="00882498">
        <w:rPr>
          <w:rFonts w:hAnsi="標楷體"/>
        </w:rPr>
        <w:t>//www.moj.gov.tw/cp-21-127790-5b83a-001.html，</w:t>
      </w:r>
      <w:r>
        <w:rPr>
          <w:rFonts w:hAnsi="標楷體" w:hint="eastAsia"/>
        </w:rPr>
        <w:t>瀏覽日期：</w:t>
      </w:r>
      <w:r w:rsidRPr="00882498">
        <w:rPr>
          <w:rFonts w:hAnsi="標楷體"/>
        </w:rPr>
        <w:t>109/4/16</w:t>
      </w:r>
      <w:r w:rsidRPr="00882498">
        <w:rPr>
          <w:rFonts w:hAnsi="標楷體" w:hint="eastAsia"/>
        </w:rPr>
        <w:t>。</w:t>
      </w:r>
    </w:p>
  </w:footnote>
  <w:footnote w:id="3">
    <w:p w:rsidR="00920342" w:rsidRPr="00882498" w:rsidRDefault="00920342" w:rsidP="006A6979">
      <w:pPr>
        <w:pStyle w:val="afc"/>
        <w:wordWrap w:val="0"/>
        <w:spacing w:line="220" w:lineRule="exact"/>
        <w:rPr>
          <w:rFonts w:hAnsi="標楷體"/>
        </w:rPr>
      </w:pPr>
      <w:r w:rsidRPr="00882498">
        <w:rPr>
          <w:rStyle w:val="afe"/>
          <w:rFonts w:hAnsi="標楷體"/>
        </w:rPr>
        <w:footnoteRef/>
      </w:r>
      <w:r>
        <w:rPr>
          <w:rFonts w:hAnsi="標楷體" w:hint="eastAsia"/>
        </w:rPr>
        <w:t>資料來源：大陸委員會網站。網址：</w:t>
      </w:r>
      <w:r w:rsidRPr="00882498">
        <w:rPr>
          <w:rFonts w:hAnsi="標楷體"/>
        </w:rPr>
        <w:t xml:space="preserve"> https</w:t>
      </w:r>
      <w:r>
        <w:rPr>
          <w:rFonts w:hAnsi="標楷體"/>
        </w:rPr>
        <w:t>：</w:t>
      </w:r>
      <w:r w:rsidRPr="00882498">
        <w:rPr>
          <w:rFonts w:hAnsi="標楷體"/>
        </w:rPr>
        <w:t>//www.mac.gov.tw/News.aspx?n=E0243AD02975213D&amp;sms=EF1DC35EB9749B36，</w:t>
      </w:r>
      <w:r>
        <w:rPr>
          <w:rFonts w:hAnsi="標楷體" w:hint="eastAsia"/>
        </w:rPr>
        <w:t>瀏覽日期：</w:t>
      </w:r>
      <w:r w:rsidRPr="00882498">
        <w:rPr>
          <w:rFonts w:hAnsi="標楷體" w:hint="eastAsia"/>
        </w:rPr>
        <w:t>109</w:t>
      </w:r>
      <w:r w:rsidRPr="00882498">
        <w:rPr>
          <w:rFonts w:hAnsi="標楷體"/>
        </w:rPr>
        <w:t>/</w:t>
      </w:r>
      <w:r w:rsidRPr="00882498">
        <w:rPr>
          <w:rFonts w:hAnsi="標楷體" w:hint="eastAsia"/>
        </w:rPr>
        <w:t>2</w:t>
      </w:r>
      <w:r w:rsidRPr="00882498">
        <w:rPr>
          <w:rFonts w:hAnsi="標楷體"/>
        </w:rPr>
        <w:t>/6</w:t>
      </w:r>
      <w:r w:rsidRPr="00882498">
        <w:rPr>
          <w:rFonts w:hAnsi="標楷體" w:hint="eastAsia"/>
        </w:rPr>
        <w:t>。</w:t>
      </w:r>
    </w:p>
  </w:footnote>
  <w:footnote w:id="4">
    <w:p w:rsidR="00920342" w:rsidRPr="00882498" w:rsidRDefault="00920342" w:rsidP="0019101C">
      <w:pPr>
        <w:pStyle w:val="afc"/>
        <w:wordWrap w:val="0"/>
        <w:spacing w:line="220" w:lineRule="exact"/>
        <w:rPr>
          <w:rFonts w:hAnsi="標楷體"/>
        </w:rPr>
      </w:pPr>
      <w:r w:rsidRPr="00882498">
        <w:rPr>
          <w:rStyle w:val="afe"/>
          <w:rFonts w:hAnsi="標楷體"/>
        </w:rPr>
        <w:footnoteRef/>
      </w:r>
      <w:r w:rsidRPr="00882498">
        <w:rPr>
          <w:rFonts w:hAnsi="標楷體"/>
        </w:rPr>
        <w:t xml:space="preserve"> </w:t>
      </w:r>
      <w:r>
        <w:rPr>
          <w:rFonts w:hAnsi="標楷體" w:hint="eastAsia"/>
        </w:rPr>
        <w:t>資料來源：大陸委員會網站。網址：</w:t>
      </w:r>
      <w:r w:rsidRPr="00882498">
        <w:rPr>
          <w:rFonts w:hAnsi="標楷體" w:hint="eastAsia"/>
        </w:rPr>
        <w:t>https</w:t>
      </w:r>
      <w:r>
        <w:rPr>
          <w:rFonts w:hAnsi="標楷體" w:hint="eastAsia"/>
        </w:rPr>
        <w:t>：</w:t>
      </w:r>
      <w:r w:rsidRPr="00882498">
        <w:rPr>
          <w:rFonts w:hAnsi="標楷體" w:hint="eastAsia"/>
        </w:rPr>
        <w:t>//www.mac.gov.tw/Content_List.aspx?n=942D31B2C1CA2098，</w:t>
      </w:r>
      <w:r>
        <w:rPr>
          <w:rFonts w:hAnsi="標楷體" w:hint="eastAsia"/>
        </w:rPr>
        <w:t>瀏覽日期：</w:t>
      </w:r>
      <w:r w:rsidRPr="00882498">
        <w:rPr>
          <w:rFonts w:hAnsi="標楷體" w:hint="eastAsia"/>
        </w:rPr>
        <w:t>109/4/20。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24855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x-none"/>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5BE"/>
    <w:rsid w:val="00006961"/>
    <w:rsid w:val="000112BF"/>
    <w:rsid w:val="00012233"/>
    <w:rsid w:val="00016415"/>
    <w:rsid w:val="00017318"/>
    <w:rsid w:val="000222F8"/>
    <w:rsid w:val="000229AD"/>
    <w:rsid w:val="00024253"/>
    <w:rsid w:val="000246F7"/>
    <w:rsid w:val="0002543C"/>
    <w:rsid w:val="00027452"/>
    <w:rsid w:val="000308D0"/>
    <w:rsid w:val="0003114D"/>
    <w:rsid w:val="00036D76"/>
    <w:rsid w:val="000379CA"/>
    <w:rsid w:val="00037C4C"/>
    <w:rsid w:val="000408C7"/>
    <w:rsid w:val="00046020"/>
    <w:rsid w:val="000522BD"/>
    <w:rsid w:val="00057F32"/>
    <w:rsid w:val="00062A25"/>
    <w:rsid w:val="00063E3C"/>
    <w:rsid w:val="000644AB"/>
    <w:rsid w:val="00073CB5"/>
    <w:rsid w:val="0007425C"/>
    <w:rsid w:val="00075EA4"/>
    <w:rsid w:val="00077553"/>
    <w:rsid w:val="00081670"/>
    <w:rsid w:val="000825D1"/>
    <w:rsid w:val="000851A2"/>
    <w:rsid w:val="00090393"/>
    <w:rsid w:val="0009352E"/>
    <w:rsid w:val="000954F7"/>
    <w:rsid w:val="00096B96"/>
    <w:rsid w:val="000A2F3F"/>
    <w:rsid w:val="000B0B4A"/>
    <w:rsid w:val="000B279A"/>
    <w:rsid w:val="000B61D2"/>
    <w:rsid w:val="000B70A7"/>
    <w:rsid w:val="000B73DD"/>
    <w:rsid w:val="000C1195"/>
    <w:rsid w:val="000C495F"/>
    <w:rsid w:val="000C6179"/>
    <w:rsid w:val="000D0E86"/>
    <w:rsid w:val="000D20E5"/>
    <w:rsid w:val="000D66D9"/>
    <w:rsid w:val="000E6431"/>
    <w:rsid w:val="000F0AC6"/>
    <w:rsid w:val="000F11C3"/>
    <w:rsid w:val="000F21A5"/>
    <w:rsid w:val="000F3CE9"/>
    <w:rsid w:val="000F459A"/>
    <w:rsid w:val="000F6FBD"/>
    <w:rsid w:val="000F7C9F"/>
    <w:rsid w:val="000F7D6C"/>
    <w:rsid w:val="00100967"/>
    <w:rsid w:val="00102B9F"/>
    <w:rsid w:val="0010686C"/>
    <w:rsid w:val="00111689"/>
    <w:rsid w:val="00112371"/>
    <w:rsid w:val="00112637"/>
    <w:rsid w:val="00112ABC"/>
    <w:rsid w:val="001134FD"/>
    <w:rsid w:val="0012001E"/>
    <w:rsid w:val="00126A55"/>
    <w:rsid w:val="00126AF0"/>
    <w:rsid w:val="00130796"/>
    <w:rsid w:val="00131825"/>
    <w:rsid w:val="00133F08"/>
    <w:rsid w:val="001345E6"/>
    <w:rsid w:val="00136DA9"/>
    <w:rsid w:val="001378B0"/>
    <w:rsid w:val="00141970"/>
    <w:rsid w:val="00142E00"/>
    <w:rsid w:val="00152793"/>
    <w:rsid w:val="00153B7E"/>
    <w:rsid w:val="001545A9"/>
    <w:rsid w:val="001548FE"/>
    <w:rsid w:val="00160A60"/>
    <w:rsid w:val="001637C7"/>
    <w:rsid w:val="00163912"/>
    <w:rsid w:val="0016480E"/>
    <w:rsid w:val="00165ADF"/>
    <w:rsid w:val="00166A7D"/>
    <w:rsid w:val="00174297"/>
    <w:rsid w:val="00175A6D"/>
    <w:rsid w:val="00175F2B"/>
    <w:rsid w:val="00180E06"/>
    <w:rsid w:val="001817B3"/>
    <w:rsid w:val="00183014"/>
    <w:rsid w:val="0018375D"/>
    <w:rsid w:val="0018472F"/>
    <w:rsid w:val="0018591B"/>
    <w:rsid w:val="001870A4"/>
    <w:rsid w:val="00190AC2"/>
    <w:rsid w:val="0019101C"/>
    <w:rsid w:val="001959C2"/>
    <w:rsid w:val="001A000E"/>
    <w:rsid w:val="001A04C4"/>
    <w:rsid w:val="001A1806"/>
    <w:rsid w:val="001A47DC"/>
    <w:rsid w:val="001A511B"/>
    <w:rsid w:val="001A51E3"/>
    <w:rsid w:val="001A524D"/>
    <w:rsid w:val="001A577D"/>
    <w:rsid w:val="001A5D1C"/>
    <w:rsid w:val="001A7968"/>
    <w:rsid w:val="001B13BC"/>
    <w:rsid w:val="001B259D"/>
    <w:rsid w:val="001B2E98"/>
    <w:rsid w:val="001B3483"/>
    <w:rsid w:val="001B3C1E"/>
    <w:rsid w:val="001B4494"/>
    <w:rsid w:val="001B5E87"/>
    <w:rsid w:val="001C0D8B"/>
    <w:rsid w:val="001C0DA8"/>
    <w:rsid w:val="001D33EA"/>
    <w:rsid w:val="001D4AD7"/>
    <w:rsid w:val="001E0D8A"/>
    <w:rsid w:val="001E2CB5"/>
    <w:rsid w:val="001E4271"/>
    <w:rsid w:val="001E67BA"/>
    <w:rsid w:val="001E74C2"/>
    <w:rsid w:val="001E74E0"/>
    <w:rsid w:val="001F3463"/>
    <w:rsid w:val="001F4F82"/>
    <w:rsid w:val="001F5A48"/>
    <w:rsid w:val="001F6260"/>
    <w:rsid w:val="001F6CFE"/>
    <w:rsid w:val="001F7BE6"/>
    <w:rsid w:val="00200007"/>
    <w:rsid w:val="00200E80"/>
    <w:rsid w:val="002030A5"/>
    <w:rsid w:val="00203131"/>
    <w:rsid w:val="0020732B"/>
    <w:rsid w:val="00212E88"/>
    <w:rsid w:val="00213C9C"/>
    <w:rsid w:val="00214173"/>
    <w:rsid w:val="0021446F"/>
    <w:rsid w:val="00215EA6"/>
    <w:rsid w:val="0022009E"/>
    <w:rsid w:val="00223241"/>
    <w:rsid w:val="0022425C"/>
    <w:rsid w:val="002246DE"/>
    <w:rsid w:val="00225321"/>
    <w:rsid w:val="002306FA"/>
    <w:rsid w:val="00233FC4"/>
    <w:rsid w:val="00237DEC"/>
    <w:rsid w:val="002429E2"/>
    <w:rsid w:val="002438C3"/>
    <w:rsid w:val="00246FF6"/>
    <w:rsid w:val="002471F4"/>
    <w:rsid w:val="00251E16"/>
    <w:rsid w:val="0025270B"/>
    <w:rsid w:val="00252B38"/>
    <w:rsid w:val="00252BC4"/>
    <w:rsid w:val="00254014"/>
    <w:rsid w:val="0025421E"/>
    <w:rsid w:val="00254B39"/>
    <w:rsid w:val="00255254"/>
    <w:rsid w:val="002609AB"/>
    <w:rsid w:val="00264681"/>
    <w:rsid w:val="002648BF"/>
    <w:rsid w:val="0026504D"/>
    <w:rsid w:val="00265D51"/>
    <w:rsid w:val="002679CF"/>
    <w:rsid w:val="0027141A"/>
    <w:rsid w:val="002721F8"/>
    <w:rsid w:val="00273A2F"/>
    <w:rsid w:val="0027751F"/>
    <w:rsid w:val="00280986"/>
    <w:rsid w:val="00281ECE"/>
    <w:rsid w:val="002831C7"/>
    <w:rsid w:val="002840C6"/>
    <w:rsid w:val="00287462"/>
    <w:rsid w:val="00287571"/>
    <w:rsid w:val="00293770"/>
    <w:rsid w:val="00293DF6"/>
    <w:rsid w:val="00294F17"/>
    <w:rsid w:val="00295174"/>
    <w:rsid w:val="00296172"/>
    <w:rsid w:val="00296B92"/>
    <w:rsid w:val="002A287A"/>
    <w:rsid w:val="002A2A6D"/>
    <w:rsid w:val="002A2C22"/>
    <w:rsid w:val="002A3A4A"/>
    <w:rsid w:val="002A5F8D"/>
    <w:rsid w:val="002A6C8A"/>
    <w:rsid w:val="002B02EB"/>
    <w:rsid w:val="002B42EB"/>
    <w:rsid w:val="002C0602"/>
    <w:rsid w:val="002C1810"/>
    <w:rsid w:val="002C1969"/>
    <w:rsid w:val="002C1EB8"/>
    <w:rsid w:val="002C321A"/>
    <w:rsid w:val="002C32B1"/>
    <w:rsid w:val="002C413E"/>
    <w:rsid w:val="002C59FD"/>
    <w:rsid w:val="002D4A30"/>
    <w:rsid w:val="002D5C16"/>
    <w:rsid w:val="002D7855"/>
    <w:rsid w:val="002E17CA"/>
    <w:rsid w:val="002F18FA"/>
    <w:rsid w:val="002F2476"/>
    <w:rsid w:val="002F2ECE"/>
    <w:rsid w:val="002F3DFF"/>
    <w:rsid w:val="002F5E05"/>
    <w:rsid w:val="002F6993"/>
    <w:rsid w:val="00307A76"/>
    <w:rsid w:val="0031455E"/>
    <w:rsid w:val="00315A16"/>
    <w:rsid w:val="00317053"/>
    <w:rsid w:val="0032109C"/>
    <w:rsid w:val="00322B45"/>
    <w:rsid w:val="00323809"/>
    <w:rsid w:val="00323D41"/>
    <w:rsid w:val="00325414"/>
    <w:rsid w:val="003257AF"/>
    <w:rsid w:val="00327D50"/>
    <w:rsid w:val="003302F1"/>
    <w:rsid w:val="0033496C"/>
    <w:rsid w:val="00335D74"/>
    <w:rsid w:val="003365DD"/>
    <w:rsid w:val="00337740"/>
    <w:rsid w:val="00337F3C"/>
    <w:rsid w:val="0034470E"/>
    <w:rsid w:val="00346B1B"/>
    <w:rsid w:val="00347FE3"/>
    <w:rsid w:val="00352DB0"/>
    <w:rsid w:val="00355AB9"/>
    <w:rsid w:val="00361063"/>
    <w:rsid w:val="00361B97"/>
    <w:rsid w:val="00362345"/>
    <w:rsid w:val="0037094A"/>
    <w:rsid w:val="00371ED3"/>
    <w:rsid w:val="00372659"/>
    <w:rsid w:val="00372FFC"/>
    <w:rsid w:val="0037728A"/>
    <w:rsid w:val="00377F91"/>
    <w:rsid w:val="00380B7D"/>
    <w:rsid w:val="003810B3"/>
    <w:rsid w:val="00381A99"/>
    <w:rsid w:val="003829C2"/>
    <w:rsid w:val="003830B2"/>
    <w:rsid w:val="00384724"/>
    <w:rsid w:val="003919B7"/>
    <w:rsid w:val="00391D57"/>
    <w:rsid w:val="00392292"/>
    <w:rsid w:val="00393356"/>
    <w:rsid w:val="00394F45"/>
    <w:rsid w:val="003A5927"/>
    <w:rsid w:val="003B1017"/>
    <w:rsid w:val="003B3C07"/>
    <w:rsid w:val="003B5F66"/>
    <w:rsid w:val="003B6081"/>
    <w:rsid w:val="003B6775"/>
    <w:rsid w:val="003C2714"/>
    <w:rsid w:val="003C5FE2"/>
    <w:rsid w:val="003D05FB"/>
    <w:rsid w:val="003D095E"/>
    <w:rsid w:val="003D1A08"/>
    <w:rsid w:val="003D1B16"/>
    <w:rsid w:val="003D202A"/>
    <w:rsid w:val="003D45BF"/>
    <w:rsid w:val="003D47B4"/>
    <w:rsid w:val="003D508A"/>
    <w:rsid w:val="003D537F"/>
    <w:rsid w:val="003D58F3"/>
    <w:rsid w:val="003D7B75"/>
    <w:rsid w:val="003E0208"/>
    <w:rsid w:val="003E0E7E"/>
    <w:rsid w:val="003E44F8"/>
    <w:rsid w:val="003E4B57"/>
    <w:rsid w:val="003E567F"/>
    <w:rsid w:val="003E6EC3"/>
    <w:rsid w:val="003F27E1"/>
    <w:rsid w:val="003F437A"/>
    <w:rsid w:val="003F5303"/>
    <w:rsid w:val="003F5C2B"/>
    <w:rsid w:val="00402240"/>
    <w:rsid w:val="004023E9"/>
    <w:rsid w:val="00402A34"/>
    <w:rsid w:val="00404334"/>
    <w:rsid w:val="0040454A"/>
    <w:rsid w:val="00406490"/>
    <w:rsid w:val="00413F36"/>
    <w:rsid w:val="00413F83"/>
    <w:rsid w:val="0041490C"/>
    <w:rsid w:val="00416191"/>
    <w:rsid w:val="00416721"/>
    <w:rsid w:val="00421EF0"/>
    <w:rsid w:val="004224FA"/>
    <w:rsid w:val="00423D07"/>
    <w:rsid w:val="00427936"/>
    <w:rsid w:val="0043040A"/>
    <w:rsid w:val="004313B1"/>
    <w:rsid w:val="004432C7"/>
    <w:rsid w:val="0044346F"/>
    <w:rsid w:val="00443FB2"/>
    <w:rsid w:val="00446318"/>
    <w:rsid w:val="004534D3"/>
    <w:rsid w:val="00453FF6"/>
    <w:rsid w:val="004602AC"/>
    <w:rsid w:val="00461239"/>
    <w:rsid w:val="00461A2B"/>
    <w:rsid w:val="0046520A"/>
    <w:rsid w:val="00465830"/>
    <w:rsid w:val="004672AB"/>
    <w:rsid w:val="004676F7"/>
    <w:rsid w:val="0047057E"/>
    <w:rsid w:val="004710E2"/>
    <w:rsid w:val="004714FE"/>
    <w:rsid w:val="00475C50"/>
    <w:rsid w:val="00477BAA"/>
    <w:rsid w:val="00486A51"/>
    <w:rsid w:val="004878A2"/>
    <w:rsid w:val="00492789"/>
    <w:rsid w:val="00494284"/>
    <w:rsid w:val="00495053"/>
    <w:rsid w:val="004950CB"/>
    <w:rsid w:val="0049687D"/>
    <w:rsid w:val="00497CB5"/>
    <w:rsid w:val="004A1F59"/>
    <w:rsid w:val="004A29BE"/>
    <w:rsid w:val="004A3225"/>
    <w:rsid w:val="004A33EE"/>
    <w:rsid w:val="004A3AA8"/>
    <w:rsid w:val="004A3BD7"/>
    <w:rsid w:val="004B13C7"/>
    <w:rsid w:val="004B47CD"/>
    <w:rsid w:val="004B778F"/>
    <w:rsid w:val="004B7B73"/>
    <w:rsid w:val="004C0609"/>
    <w:rsid w:val="004C5F12"/>
    <w:rsid w:val="004C6019"/>
    <w:rsid w:val="004C639F"/>
    <w:rsid w:val="004C6CBD"/>
    <w:rsid w:val="004D0FD3"/>
    <w:rsid w:val="004D141F"/>
    <w:rsid w:val="004D2742"/>
    <w:rsid w:val="004D5E02"/>
    <w:rsid w:val="004D6310"/>
    <w:rsid w:val="004E0062"/>
    <w:rsid w:val="004E05A1"/>
    <w:rsid w:val="004E65E5"/>
    <w:rsid w:val="004F20A4"/>
    <w:rsid w:val="004F2ACD"/>
    <w:rsid w:val="004F472A"/>
    <w:rsid w:val="004F5E57"/>
    <w:rsid w:val="004F6710"/>
    <w:rsid w:val="00500C3E"/>
    <w:rsid w:val="00502849"/>
    <w:rsid w:val="00504334"/>
    <w:rsid w:val="0050498D"/>
    <w:rsid w:val="005104D7"/>
    <w:rsid w:val="00510B9E"/>
    <w:rsid w:val="00517910"/>
    <w:rsid w:val="005238E1"/>
    <w:rsid w:val="00536BC2"/>
    <w:rsid w:val="00537546"/>
    <w:rsid w:val="00537996"/>
    <w:rsid w:val="005421D6"/>
    <w:rsid w:val="005425E1"/>
    <w:rsid w:val="005426C5"/>
    <w:rsid w:val="005427C5"/>
    <w:rsid w:val="00542CF6"/>
    <w:rsid w:val="005506BD"/>
    <w:rsid w:val="005533FD"/>
    <w:rsid w:val="00553C03"/>
    <w:rsid w:val="005567BD"/>
    <w:rsid w:val="00560DDA"/>
    <w:rsid w:val="00563692"/>
    <w:rsid w:val="005637C8"/>
    <w:rsid w:val="00565116"/>
    <w:rsid w:val="00566629"/>
    <w:rsid w:val="005674B0"/>
    <w:rsid w:val="005714BD"/>
    <w:rsid w:val="00571679"/>
    <w:rsid w:val="00572623"/>
    <w:rsid w:val="00583D38"/>
    <w:rsid w:val="00584235"/>
    <w:rsid w:val="005844E7"/>
    <w:rsid w:val="00585DFA"/>
    <w:rsid w:val="00587966"/>
    <w:rsid w:val="00590161"/>
    <w:rsid w:val="005908B8"/>
    <w:rsid w:val="00591A54"/>
    <w:rsid w:val="005950A7"/>
    <w:rsid w:val="0059512E"/>
    <w:rsid w:val="005A1BB1"/>
    <w:rsid w:val="005A6DD2"/>
    <w:rsid w:val="005B1FE9"/>
    <w:rsid w:val="005B3806"/>
    <w:rsid w:val="005B7BB5"/>
    <w:rsid w:val="005C1B23"/>
    <w:rsid w:val="005C385D"/>
    <w:rsid w:val="005C4313"/>
    <w:rsid w:val="005D072D"/>
    <w:rsid w:val="005D09A2"/>
    <w:rsid w:val="005D2024"/>
    <w:rsid w:val="005D3B20"/>
    <w:rsid w:val="005D4618"/>
    <w:rsid w:val="005D6851"/>
    <w:rsid w:val="005D71B7"/>
    <w:rsid w:val="005E02F8"/>
    <w:rsid w:val="005E1A7C"/>
    <w:rsid w:val="005E4759"/>
    <w:rsid w:val="005E5C68"/>
    <w:rsid w:val="005E6150"/>
    <w:rsid w:val="005E65C0"/>
    <w:rsid w:val="005F0390"/>
    <w:rsid w:val="005F408D"/>
    <w:rsid w:val="00601996"/>
    <w:rsid w:val="0060624A"/>
    <w:rsid w:val="0060703A"/>
    <w:rsid w:val="006072CD"/>
    <w:rsid w:val="00610502"/>
    <w:rsid w:val="00612023"/>
    <w:rsid w:val="00614190"/>
    <w:rsid w:val="006146C3"/>
    <w:rsid w:val="00617A02"/>
    <w:rsid w:val="00617F9C"/>
    <w:rsid w:val="00620F81"/>
    <w:rsid w:val="00622A99"/>
    <w:rsid w:val="00622E67"/>
    <w:rsid w:val="00625D2A"/>
    <w:rsid w:val="00626B57"/>
    <w:rsid w:val="00626EDC"/>
    <w:rsid w:val="006301C6"/>
    <w:rsid w:val="006319C1"/>
    <w:rsid w:val="00631FC6"/>
    <w:rsid w:val="00632402"/>
    <w:rsid w:val="00632F0F"/>
    <w:rsid w:val="00634CE3"/>
    <w:rsid w:val="006352E4"/>
    <w:rsid w:val="0063736F"/>
    <w:rsid w:val="00641AED"/>
    <w:rsid w:val="00644B68"/>
    <w:rsid w:val="00644E09"/>
    <w:rsid w:val="006452D3"/>
    <w:rsid w:val="0064537E"/>
    <w:rsid w:val="006470EC"/>
    <w:rsid w:val="0065253F"/>
    <w:rsid w:val="00652814"/>
    <w:rsid w:val="006542D6"/>
    <w:rsid w:val="00654B3F"/>
    <w:rsid w:val="0065598E"/>
    <w:rsid w:val="00655AF2"/>
    <w:rsid w:val="00655BC5"/>
    <w:rsid w:val="00655D3A"/>
    <w:rsid w:val="006568BE"/>
    <w:rsid w:val="0066025D"/>
    <w:rsid w:val="0066091A"/>
    <w:rsid w:val="00660C84"/>
    <w:rsid w:val="0066463B"/>
    <w:rsid w:val="00665F8A"/>
    <w:rsid w:val="0066659D"/>
    <w:rsid w:val="00670B64"/>
    <w:rsid w:val="006717B9"/>
    <w:rsid w:val="006726FC"/>
    <w:rsid w:val="00672EEB"/>
    <w:rsid w:val="006773EC"/>
    <w:rsid w:val="00680504"/>
    <w:rsid w:val="00681660"/>
    <w:rsid w:val="00681CD9"/>
    <w:rsid w:val="00682D3F"/>
    <w:rsid w:val="00683E30"/>
    <w:rsid w:val="00687024"/>
    <w:rsid w:val="00690793"/>
    <w:rsid w:val="006937A9"/>
    <w:rsid w:val="00695E22"/>
    <w:rsid w:val="006A1578"/>
    <w:rsid w:val="006A1697"/>
    <w:rsid w:val="006A23F0"/>
    <w:rsid w:val="006A4958"/>
    <w:rsid w:val="006A6979"/>
    <w:rsid w:val="006A6F87"/>
    <w:rsid w:val="006B7093"/>
    <w:rsid w:val="006B7417"/>
    <w:rsid w:val="006C0509"/>
    <w:rsid w:val="006C3491"/>
    <w:rsid w:val="006C719D"/>
    <w:rsid w:val="006D31F9"/>
    <w:rsid w:val="006D3691"/>
    <w:rsid w:val="006D4BDF"/>
    <w:rsid w:val="006D5DA9"/>
    <w:rsid w:val="006D652E"/>
    <w:rsid w:val="006D65CE"/>
    <w:rsid w:val="006E44C3"/>
    <w:rsid w:val="006E5EF0"/>
    <w:rsid w:val="006E689C"/>
    <w:rsid w:val="006F10B2"/>
    <w:rsid w:val="006F1222"/>
    <w:rsid w:val="006F2026"/>
    <w:rsid w:val="006F3563"/>
    <w:rsid w:val="006F42B9"/>
    <w:rsid w:val="006F5B97"/>
    <w:rsid w:val="006F6103"/>
    <w:rsid w:val="006F7705"/>
    <w:rsid w:val="006F7AA7"/>
    <w:rsid w:val="00701E16"/>
    <w:rsid w:val="00704E00"/>
    <w:rsid w:val="00705004"/>
    <w:rsid w:val="007066CB"/>
    <w:rsid w:val="00707A07"/>
    <w:rsid w:val="0071564F"/>
    <w:rsid w:val="00717A0B"/>
    <w:rsid w:val="00717CFC"/>
    <w:rsid w:val="007209E7"/>
    <w:rsid w:val="00722F38"/>
    <w:rsid w:val="00725674"/>
    <w:rsid w:val="0072615C"/>
    <w:rsid w:val="00726182"/>
    <w:rsid w:val="00727635"/>
    <w:rsid w:val="007308F6"/>
    <w:rsid w:val="00732329"/>
    <w:rsid w:val="007337CA"/>
    <w:rsid w:val="00733B05"/>
    <w:rsid w:val="007346BF"/>
    <w:rsid w:val="00734CE4"/>
    <w:rsid w:val="00734E99"/>
    <w:rsid w:val="00735123"/>
    <w:rsid w:val="00741837"/>
    <w:rsid w:val="007453E6"/>
    <w:rsid w:val="0075049D"/>
    <w:rsid w:val="00751D68"/>
    <w:rsid w:val="00752997"/>
    <w:rsid w:val="00761479"/>
    <w:rsid w:val="00764CEC"/>
    <w:rsid w:val="00770453"/>
    <w:rsid w:val="00771155"/>
    <w:rsid w:val="0077309D"/>
    <w:rsid w:val="007774EE"/>
    <w:rsid w:val="00780294"/>
    <w:rsid w:val="00781822"/>
    <w:rsid w:val="0078203C"/>
    <w:rsid w:val="00783F21"/>
    <w:rsid w:val="007845E1"/>
    <w:rsid w:val="00784A1F"/>
    <w:rsid w:val="007850C8"/>
    <w:rsid w:val="007856B3"/>
    <w:rsid w:val="007861C3"/>
    <w:rsid w:val="00787159"/>
    <w:rsid w:val="0079043A"/>
    <w:rsid w:val="00791668"/>
    <w:rsid w:val="00791AA1"/>
    <w:rsid w:val="007A3793"/>
    <w:rsid w:val="007A37F9"/>
    <w:rsid w:val="007A38BA"/>
    <w:rsid w:val="007B241B"/>
    <w:rsid w:val="007B2F03"/>
    <w:rsid w:val="007C1185"/>
    <w:rsid w:val="007C1BA2"/>
    <w:rsid w:val="007C2B48"/>
    <w:rsid w:val="007D0E77"/>
    <w:rsid w:val="007D1829"/>
    <w:rsid w:val="007D1F7D"/>
    <w:rsid w:val="007D20E9"/>
    <w:rsid w:val="007D490B"/>
    <w:rsid w:val="007D7881"/>
    <w:rsid w:val="007D7E2A"/>
    <w:rsid w:val="007D7E3A"/>
    <w:rsid w:val="007E0E10"/>
    <w:rsid w:val="007E414E"/>
    <w:rsid w:val="007E4768"/>
    <w:rsid w:val="007E6DA8"/>
    <w:rsid w:val="007E777B"/>
    <w:rsid w:val="007E7D3E"/>
    <w:rsid w:val="007F032F"/>
    <w:rsid w:val="007F2033"/>
    <w:rsid w:val="007F2070"/>
    <w:rsid w:val="007F3265"/>
    <w:rsid w:val="007F6119"/>
    <w:rsid w:val="007F63C1"/>
    <w:rsid w:val="0080393E"/>
    <w:rsid w:val="00803C72"/>
    <w:rsid w:val="008053F5"/>
    <w:rsid w:val="00807AF7"/>
    <w:rsid w:val="00810198"/>
    <w:rsid w:val="00815AD9"/>
    <w:rsid w:val="00815DA8"/>
    <w:rsid w:val="0082194D"/>
    <w:rsid w:val="008221F9"/>
    <w:rsid w:val="00824FC2"/>
    <w:rsid w:val="00826EF5"/>
    <w:rsid w:val="0082772E"/>
    <w:rsid w:val="00831693"/>
    <w:rsid w:val="00834F7C"/>
    <w:rsid w:val="00835676"/>
    <w:rsid w:val="00837A95"/>
    <w:rsid w:val="00840104"/>
    <w:rsid w:val="00840C1F"/>
    <w:rsid w:val="008411C9"/>
    <w:rsid w:val="00841FC5"/>
    <w:rsid w:val="008426EC"/>
    <w:rsid w:val="00842D71"/>
    <w:rsid w:val="00843D0F"/>
    <w:rsid w:val="00845709"/>
    <w:rsid w:val="00855259"/>
    <w:rsid w:val="008576BD"/>
    <w:rsid w:val="00857848"/>
    <w:rsid w:val="00860463"/>
    <w:rsid w:val="0086280E"/>
    <w:rsid w:val="00867405"/>
    <w:rsid w:val="008677E7"/>
    <w:rsid w:val="00870722"/>
    <w:rsid w:val="00871459"/>
    <w:rsid w:val="0087280C"/>
    <w:rsid w:val="008733DA"/>
    <w:rsid w:val="00873840"/>
    <w:rsid w:val="00873A61"/>
    <w:rsid w:val="008744E9"/>
    <w:rsid w:val="00874549"/>
    <w:rsid w:val="00882498"/>
    <w:rsid w:val="00883405"/>
    <w:rsid w:val="00883B2A"/>
    <w:rsid w:val="008850E4"/>
    <w:rsid w:val="00887F45"/>
    <w:rsid w:val="008939AB"/>
    <w:rsid w:val="0089438F"/>
    <w:rsid w:val="008A12F5"/>
    <w:rsid w:val="008A2E18"/>
    <w:rsid w:val="008A34B6"/>
    <w:rsid w:val="008A43C8"/>
    <w:rsid w:val="008A4FCD"/>
    <w:rsid w:val="008A7094"/>
    <w:rsid w:val="008B1587"/>
    <w:rsid w:val="008B1B01"/>
    <w:rsid w:val="008B1BE4"/>
    <w:rsid w:val="008B3BCD"/>
    <w:rsid w:val="008B6DF8"/>
    <w:rsid w:val="008C106C"/>
    <w:rsid w:val="008C10F1"/>
    <w:rsid w:val="008C1926"/>
    <w:rsid w:val="008C1E99"/>
    <w:rsid w:val="008C5BB7"/>
    <w:rsid w:val="008C6E86"/>
    <w:rsid w:val="008D1BFC"/>
    <w:rsid w:val="008D28B6"/>
    <w:rsid w:val="008D3F2D"/>
    <w:rsid w:val="008E0085"/>
    <w:rsid w:val="008E23D4"/>
    <w:rsid w:val="008E2AA6"/>
    <w:rsid w:val="008E2C2A"/>
    <w:rsid w:val="008E311B"/>
    <w:rsid w:val="008F46E7"/>
    <w:rsid w:val="008F50C9"/>
    <w:rsid w:val="008F64CA"/>
    <w:rsid w:val="008F6D09"/>
    <w:rsid w:val="008F6F0B"/>
    <w:rsid w:val="008F7DB9"/>
    <w:rsid w:val="008F7E4B"/>
    <w:rsid w:val="009006DF"/>
    <w:rsid w:val="00903304"/>
    <w:rsid w:val="00907287"/>
    <w:rsid w:val="00907BA7"/>
    <w:rsid w:val="0091064E"/>
    <w:rsid w:val="009111FF"/>
    <w:rsid w:val="00911FC5"/>
    <w:rsid w:val="00920342"/>
    <w:rsid w:val="00931A10"/>
    <w:rsid w:val="0093415F"/>
    <w:rsid w:val="00947967"/>
    <w:rsid w:val="0095296D"/>
    <w:rsid w:val="009542AC"/>
    <w:rsid w:val="00955201"/>
    <w:rsid w:val="0095563E"/>
    <w:rsid w:val="00961125"/>
    <w:rsid w:val="00965200"/>
    <w:rsid w:val="0096529C"/>
    <w:rsid w:val="009668B3"/>
    <w:rsid w:val="0097016E"/>
    <w:rsid w:val="00971471"/>
    <w:rsid w:val="009719C7"/>
    <w:rsid w:val="0097384D"/>
    <w:rsid w:val="0098088F"/>
    <w:rsid w:val="00983D6A"/>
    <w:rsid w:val="00983F7B"/>
    <w:rsid w:val="00984721"/>
    <w:rsid w:val="009849C2"/>
    <w:rsid w:val="00984D24"/>
    <w:rsid w:val="00985118"/>
    <w:rsid w:val="009858EB"/>
    <w:rsid w:val="00986DAB"/>
    <w:rsid w:val="00991A42"/>
    <w:rsid w:val="00991A81"/>
    <w:rsid w:val="0099266A"/>
    <w:rsid w:val="00994E73"/>
    <w:rsid w:val="0099743B"/>
    <w:rsid w:val="00997703"/>
    <w:rsid w:val="009A3F47"/>
    <w:rsid w:val="009A48FB"/>
    <w:rsid w:val="009A5E57"/>
    <w:rsid w:val="009B0046"/>
    <w:rsid w:val="009B109C"/>
    <w:rsid w:val="009B42B3"/>
    <w:rsid w:val="009B4B70"/>
    <w:rsid w:val="009B52B3"/>
    <w:rsid w:val="009B5D15"/>
    <w:rsid w:val="009B5F95"/>
    <w:rsid w:val="009B7421"/>
    <w:rsid w:val="009C1440"/>
    <w:rsid w:val="009C2107"/>
    <w:rsid w:val="009C2E84"/>
    <w:rsid w:val="009C5D9E"/>
    <w:rsid w:val="009C7828"/>
    <w:rsid w:val="009D1D36"/>
    <w:rsid w:val="009D2C3E"/>
    <w:rsid w:val="009D2CD1"/>
    <w:rsid w:val="009D4688"/>
    <w:rsid w:val="009D591D"/>
    <w:rsid w:val="009E0625"/>
    <w:rsid w:val="009E187A"/>
    <w:rsid w:val="009E3034"/>
    <w:rsid w:val="009E34F9"/>
    <w:rsid w:val="009E549F"/>
    <w:rsid w:val="009E54ED"/>
    <w:rsid w:val="009E578F"/>
    <w:rsid w:val="009E624D"/>
    <w:rsid w:val="009F0473"/>
    <w:rsid w:val="009F28A8"/>
    <w:rsid w:val="009F31E4"/>
    <w:rsid w:val="009F473E"/>
    <w:rsid w:val="009F5247"/>
    <w:rsid w:val="009F682A"/>
    <w:rsid w:val="009F76E4"/>
    <w:rsid w:val="00A00338"/>
    <w:rsid w:val="00A01562"/>
    <w:rsid w:val="00A022BE"/>
    <w:rsid w:val="00A03975"/>
    <w:rsid w:val="00A07B4B"/>
    <w:rsid w:val="00A10894"/>
    <w:rsid w:val="00A13A10"/>
    <w:rsid w:val="00A14FC1"/>
    <w:rsid w:val="00A153B7"/>
    <w:rsid w:val="00A156A8"/>
    <w:rsid w:val="00A1626A"/>
    <w:rsid w:val="00A23AC8"/>
    <w:rsid w:val="00A24C95"/>
    <w:rsid w:val="00A2599A"/>
    <w:rsid w:val="00A26094"/>
    <w:rsid w:val="00A301BF"/>
    <w:rsid w:val="00A302B2"/>
    <w:rsid w:val="00A30701"/>
    <w:rsid w:val="00A331B4"/>
    <w:rsid w:val="00A3484E"/>
    <w:rsid w:val="00A356D3"/>
    <w:rsid w:val="00A36ADA"/>
    <w:rsid w:val="00A37C4D"/>
    <w:rsid w:val="00A42367"/>
    <w:rsid w:val="00A438D8"/>
    <w:rsid w:val="00A43E40"/>
    <w:rsid w:val="00A454C9"/>
    <w:rsid w:val="00A473F5"/>
    <w:rsid w:val="00A51F9D"/>
    <w:rsid w:val="00A5416A"/>
    <w:rsid w:val="00A54DF6"/>
    <w:rsid w:val="00A570E4"/>
    <w:rsid w:val="00A62DDF"/>
    <w:rsid w:val="00A638CC"/>
    <w:rsid w:val="00A639F4"/>
    <w:rsid w:val="00A65864"/>
    <w:rsid w:val="00A65FAE"/>
    <w:rsid w:val="00A70A8A"/>
    <w:rsid w:val="00A726E3"/>
    <w:rsid w:val="00A72772"/>
    <w:rsid w:val="00A76638"/>
    <w:rsid w:val="00A80B95"/>
    <w:rsid w:val="00A81A32"/>
    <w:rsid w:val="00A82CDE"/>
    <w:rsid w:val="00A835BD"/>
    <w:rsid w:val="00A9213D"/>
    <w:rsid w:val="00A96F83"/>
    <w:rsid w:val="00A97B15"/>
    <w:rsid w:val="00AA016D"/>
    <w:rsid w:val="00AA3BBB"/>
    <w:rsid w:val="00AA3F41"/>
    <w:rsid w:val="00AA42D5"/>
    <w:rsid w:val="00AB0F43"/>
    <w:rsid w:val="00AB2807"/>
    <w:rsid w:val="00AB2FAB"/>
    <w:rsid w:val="00AB5C14"/>
    <w:rsid w:val="00AC1EE7"/>
    <w:rsid w:val="00AC333F"/>
    <w:rsid w:val="00AC585C"/>
    <w:rsid w:val="00AC7362"/>
    <w:rsid w:val="00AD1269"/>
    <w:rsid w:val="00AD1925"/>
    <w:rsid w:val="00AD2EF2"/>
    <w:rsid w:val="00AD46DE"/>
    <w:rsid w:val="00AD4A8D"/>
    <w:rsid w:val="00AD7037"/>
    <w:rsid w:val="00AE025C"/>
    <w:rsid w:val="00AE067D"/>
    <w:rsid w:val="00AF1181"/>
    <w:rsid w:val="00AF2F79"/>
    <w:rsid w:val="00AF3B09"/>
    <w:rsid w:val="00AF4653"/>
    <w:rsid w:val="00AF7DB7"/>
    <w:rsid w:val="00B01136"/>
    <w:rsid w:val="00B049B9"/>
    <w:rsid w:val="00B05459"/>
    <w:rsid w:val="00B10698"/>
    <w:rsid w:val="00B10D02"/>
    <w:rsid w:val="00B13118"/>
    <w:rsid w:val="00B16491"/>
    <w:rsid w:val="00B1712B"/>
    <w:rsid w:val="00B201E2"/>
    <w:rsid w:val="00B210CE"/>
    <w:rsid w:val="00B21C8D"/>
    <w:rsid w:val="00B227D4"/>
    <w:rsid w:val="00B22D46"/>
    <w:rsid w:val="00B34CFC"/>
    <w:rsid w:val="00B37D74"/>
    <w:rsid w:val="00B41809"/>
    <w:rsid w:val="00B443E4"/>
    <w:rsid w:val="00B500B4"/>
    <w:rsid w:val="00B54163"/>
    <w:rsid w:val="00B5484D"/>
    <w:rsid w:val="00B563EA"/>
    <w:rsid w:val="00B56CDF"/>
    <w:rsid w:val="00B60E51"/>
    <w:rsid w:val="00B62DC2"/>
    <w:rsid w:val="00B63A54"/>
    <w:rsid w:val="00B72B7F"/>
    <w:rsid w:val="00B73066"/>
    <w:rsid w:val="00B77D18"/>
    <w:rsid w:val="00B8313A"/>
    <w:rsid w:val="00B93503"/>
    <w:rsid w:val="00BA31E8"/>
    <w:rsid w:val="00BA55E0"/>
    <w:rsid w:val="00BA60F0"/>
    <w:rsid w:val="00BA63F3"/>
    <w:rsid w:val="00BA6BD4"/>
    <w:rsid w:val="00BA6C7A"/>
    <w:rsid w:val="00BA7AB6"/>
    <w:rsid w:val="00BB17D1"/>
    <w:rsid w:val="00BB1CD6"/>
    <w:rsid w:val="00BB3752"/>
    <w:rsid w:val="00BB6688"/>
    <w:rsid w:val="00BC1341"/>
    <w:rsid w:val="00BC26D4"/>
    <w:rsid w:val="00BC3223"/>
    <w:rsid w:val="00BC43AF"/>
    <w:rsid w:val="00BC6DAF"/>
    <w:rsid w:val="00BC783F"/>
    <w:rsid w:val="00BD2B5F"/>
    <w:rsid w:val="00BD6CC2"/>
    <w:rsid w:val="00BE09F0"/>
    <w:rsid w:val="00BE0C80"/>
    <w:rsid w:val="00BE0DEC"/>
    <w:rsid w:val="00BE7FD8"/>
    <w:rsid w:val="00BF2A42"/>
    <w:rsid w:val="00BF2B41"/>
    <w:rsid w:val="00BF36D4"/>
    <w:rsid w:val="00C01EFC"/>
    <w:rsid w:val="00C0367D"/>
    <w:rsid w:val="00C038B9"/>
    <w:rsid w:val="00C03D8C"/>
    <w:rsid w:val="00C055EC"/>
    <w:rsid w:val="00C10DC9"/>
    <w:rsid w:val="00C116F6"/>
    <w:rsid w:val="00C11E35"/>
    <w:rsid w:val="00C11E5D"/>
    <w:rsid w:val="00C12FB3"/>
    <w:rsid w:val="00C154ED"/>
    <w:rsid w:val="00C17341"/>
    <w:rsid w:val="00C218C2"/>
    <w:rsid w:val="00C22500"/>
    <w:rsid w:val="00C22DB8"/>
    <w:rsid w:val="00C24EEF"/>
    <w:rsid w:val="00C25CF6"/>
    <w:rsid w:val="00C26608"/>
    <w:rsid w:val="00C26C36"/>
    <w:rsid w:val="00C26DA6"/>
    <w:rsid w:val="00C32768"/>
    <w:rsid w:val="00C336BE"/>
    <w:rsid w:val="00C33EEB"/>
    <w:rsid w:val="00C36FFD"/>
    <w:rsid w:val="00C431DF"/>
    <w:rsid w:val="00C456BD"/>
    <w:rsid w:val="00C460B3"/>
    <w:rsid w:val="00C463FE"/>
    <w:rsid w:val="00C46B5B"/>
    <w:rsid w:val="00C50A68"/>
    <w:rsid w:val="00C530DC"/>
    <w:rsid w:val="00C5350D"/>
    <w:rsid w:val="00C54F86"/>
    <w:rsid w:val="00C56B3C"/>
    <w:rsid w:val="00C6123C"/>
    <w:rsid w:val="00C6227F"/>
    <w:rsid w:val="00C6311A"/>
    <w:rsid w:val="00C670C3"/>
    <w:rsid w:val="00C7084D"/>
    <w:rsid w:val="00C7315E"/>
    <w:rsid w:val="00C75895"/>
    <w:rsid w:val="00C77B3C"/>
    <w:rsid w:val="00C83C9F"/>
    <w:rsid w:val="00C85FF4"/>
    <w:rsid w:val="00C8631A"/>
    <w:rsid w:val="00C867FD"/>
    <w:rsid w:val="00C86A4D"/>
    <w:rsid w:val="00C90966"/>
    <w:rsid w:val="00C92D52"/>
    <w:rsid w:val="00C937AE"/>
    <w:rsid w:val="00C94840"/>
    <w:rsid w:val="00CA4EE3"/>
    <w:rsid w:val="00CA53D4"/>
    <w:rsid w:val="00CA6497"/>
    <w:rsid w:val="00CA65FA"/>
    <w:rsid w:val="00CB027F"/>
    <w:rsid w:val="00CB0D07"/>
    <w:rsid w:val="00CB356B"/>
    <w:rsid w:val="00CB57D2"/>
    <w:rsid w:val="00CB67DF"/>
    <w:rsid w:val="00CC0EBB"/>
    <w:rsid w:val="00CC5517"/>
    <w:rsid w:val="00CC6297"/>
    <w:rsid w:val="00CC7690"/>
    <w:rsid w:val="00CD10F7"/>
    <w:rsid w:val="00CD150C"/>
    <w:rsid w:val="00CD1986"/>
    <w:rsid w:val="00CD54BF"/>
    <w:rsid w:val="00CE08B2"/>
    <w:rsid w:val="00CE4D5C"/>
    <w:rsid w:val="00CE63B7"/>
    <w:rsid w:val="00CF05DA"/>
    <w:rsid w:val="00CF0CE3"/>
    <w:rsid w:val="00CF58EB"/>
    <w:rsid w:val="00CF6A30"/>
    <w:rsid w:val="00CF6FEC"/>
    <w:rsid w:val="00D0106E"/>
    <w:rsid w:val="00D01077"/>
    <w:rsid w:val="00D05F6F"/>
    <w:rsid w:val="00D06383"/>
    <w:rsid w:val="00D155BC"/>
    <w:rsid w:val="00D20704"/>
    <w:rsid w:val="00D20E85"/>
    <w:rsid w:val="00D24615"/>
    <w:rsid w:val="00D26D9B"/>
    <w:rsid w:val="00D315C0"/>
    <w:rsid w:val="00D33715"/>
    <w:rsid w:val="00D33DFC"/>
    <w:rsid w:val="00D34B53"/>
    <w:rsid w:val="00D353D4"/>
    <w:rsid w:val="00D37842"/>
    <w:rsid w:val="00D41376"/>
    <w:rsid w:val="00D41598"/>
    <w:rsid w:val="00D42DC2"/>
    <w:rsid w:val="00D4302B"/>
    <w:rsid w:val="00D505D6"/>
    <w:rsid w:val="00D50986"/>
    <w:rsid w:val="00D537E1"/>
    <w:rsid w:val="00D5437A"/>
    <w:rsid w:val="00D55BB2"/>
    <w:rsid w:val="00D5615B"/>
    <w:rsid w:val="00D6091A"/>
    <w:rsid w:val="00D6605A"/>
    <w:rsid w:val="00D6695F"/>
    <w:rsid w:val="00D67772"/>
    <w:rsid w:val="00D67ED5"/>
    <w:rsid w:val="00D70450"/>
    <w:rsid w:val="00D75644"/>
    <w:rsid w:val="00D76504"/>
    <w:rsid w:val="00D771E7"/>
    <w:rsid w:val="00D81656"/>
    <w:rsid w:val="00D83A38"/>
    <w:rsid w:val="00D83D87"/>
    <w:rsid w:val="00D84A6D"/>
    <w:rsid w:val="00D86A30"/>
    <w:rsid w:val="00D913C3"/>
    <w:rsid w:val="00D9200E"/>
    <w:rsid w:val="00D97CB4"/>
    <w:rsid w:val="00D97DD4"/>
    <w:rsid w:val="00DA1CC2"/>
    <w:rsid w:val="00DA39AA"/>
    <w:rsid w:val="00DA3C09"/>
    <w:rsid w:val="00DA3D9D"/>
    <w:rsid w:val="00DA5A8A"/>
    <w:rsid w:val="00DA7702"/>
    <w:rsid w:val="00DB1170"/>
    <w:rsid w:val="00DB1D58"/>
    <w:rsid w:val="00DB1F1D"/>
    <w:rsid w:val="00DB26CD"/>
    <w:rsid w:val="00DB441C"/>
    <w:rsid w:val="00DB44AF"/>
    <w:rsid w:val="00DB6E72"/>
    <w:rsid w:val="00DC1F58"/>
    <w:rsid w:val="00DC2405"/>
    <w:rsid w:val="00DC244F"/>
    <w:rsid w:val="00DC3027"/>
    <w:rsid w:val="00DC339B"/>
    <w:rsid w:val="00DC4C9E"/>
    <w:rsid w:val="00DC5D40"/>
    <w:rsid w:val="00DC68CE"/>
    <w:rsid w:val="00DC69A7"/>
    <w:rsid w:val="00DC7A4B"/>
    <w:rsid w:val="00DC7C8F"/>
    <w:rsid w:val="00DD213C"/>
    <w:rsid w:val="00DD2229"/>
    <w:rsid w:val="00DD30E9"/>
    <w:rsid w:val="00DD4F47"/>
    <w:rsid w:val="00DD516C"/>
    <w:rsid w:val="00DD7FBB"/>
    <w:rsid w:val="00DE0B9F"/>
    <w:rsid w:val="00DE2A9E"/>
    <w:rsid w:val="00DE31EC"/>
    <w:rsid w:val="00DE4238"/>
    <w:rsid w:val="00DE657F"/>
    <w:rsid w:val="00DF1218"/>
    <w:rsid w:val="00DF141F"/>
    <w:rsid w:val="00DF222E"/>
    <w:rsid w:val="00DF5F47"/>
    <w:rsid w:val="00DF6462"/>
    <w:rsid w:val="00E02435"/>
    <w:rsid w:val="00E02FA0"/>
    <w:rsid w:val="00E036DC"/>
    <w:rsid w:val="00E0429D"/>
    <w:rsid w:val="00E10454"/>
    <w:rsid w:val="00E112E5"/>
    <w:rsid w:val="00E11C95"/>
    <w:rsid w:val="00E122D8"/>
    <w:rsid w:val="00E12CC8"/>
    <w:rsid w:val="00E14D89"/>
    <w:rsid w:val="00E15352"/>
    <w:rsid w:val="00E20A73"/>
    <w:rsid w:val="00E21CC7"/>
    <w:rsid w:val="00E222D3"/>
    <w:rsid w:val="00E23800"/>
    <w:rsid w:val="00E24D9E"/>
    <w:rsid w:val="00E25849"/>
    <w:rsid w:val="00E3197E"/>
    <w:rsid w:val="00E31D72"/>
    <w:rsid w:val="00E342F8"/>
    <w:rsid w:val="00E3498F"/>
    <w:rsid w:val="00E351ED"/>
    <w:rsid w:val="00E35811"/>
    <w:rsid w:val="00E371A0"/>
    <w:rsid w:val="00E41917"/>
    <w:rsid w:val="00E41A25"/>
    <w:rsid w:val="00E42B19"/>
    <w:rsid w:val="00E42DBB"/>
    <w:rsid w:val="00E44F88"/>
    <w:rsid w:val="00E47720"/>
    <w:rsid w:val="00E6034B"/>
    <w:rsid w:val="00E620F5"/>
    <w:rsid w:val="00E6517F"/>
    <w:rsid w:val="00E6549E"/>
    <w:rsid w:val="00E65962"/>
    <w:rsid w:val="00E65EDE"/>
    <w:rsid w:val="00E676F4"/>
    <w:rsid w:val="00E70F81"/>
    <w:rsid w:val="00E711A1"/>
    <w:rsid w:val="00E71314"/>
    <w:rsid w:val="00E7192A"/>
    <w:rsid w:val="00E75DC6"/>
    <w:rsid w:val="00E77055"/>
    <w:rsid w:val="00E77460"/>
    <w:rsid w:val="00E77A33"/>
    <w:rsid w:val="00E824A6"/>
    <w:rsid w:val="00E83ABC"/>
    <w:rsid w:val="00E844F2"/>
    <w:rsid w:val="00E852CB"/>
    <w:rsid w:val="00E90AD0"/>
    <w:rsid w:val="00E92FCB"/>
    <w:rsid w:val="00E933CD"/>
    <w:rsid w:val="00EA147F"/>
    <w:rsid w:val="00EA186A"/>
    <w:rsid w:val="00EA27CF"/>
    <w:rsid w:val="00EA3914"/>
    <w:rsid w:val="00EA4554"/>
    <w:rsid w:val="00EA4A27"/>
    <w:rsid w:val="00EA4FA6"/>
    <w:rsid w:val="00EA5668"/>
    <w:rsid w:val="00EB1A25"/>
    <w:rsid w:val="00EB4305"/>
    <w:rsid w:val="00EB610A"/>
    <w:rsid w:val="00EC04D1"/>
    <w:rsid w:val="00EC0827"/>
    <w:rsid w:val="00EC7363"/>
    <w:rsid w:val="00EC7BDB"/>
    <w:rsid w:val="00ED03AB"/>
    <w:rsid w:val="00ED1963"/>
    <w:rsid w:val="00ED1CD4"/>
    <w:rsid w:val="00ED1D2B"/>
    <w:rsid w:val="00ED41A9"/>
    <w:rsid w:val="00ED4635"/>
    <w:rsid w:val="00ED58FD"/>
    <w:rsid w:val="00ED5EF4"/>
    <w:rsid w:val="00ED64B5"/>
    <w:rsid w:val="00ED66CA"/>
    <w:rsid w:val="00ED778F"/>
    <w:rsid w:val="00EE2341"/>
    <w:rsid w:val="00EE66F8"/>
    <w:rsid w:val="00EE7CCA"/>
    <w:rsid w:val="00EF38DF"/>
    <w:rsid w:val="00EF7892"/>
    <w:rsid w:val="00F018EF"/>
    <w:rsid w:val="00F052B0"/>
    <w:rsid w:val="00F0581C"/>
    <w:rsid w:val="00F05BF5"/>
    <w:rsid w:val="00F06E53"/>
    <w:rsid w:val="00F079A1"/>
    <w:rsid w:val="00F16A14"/>
    <w:rsid w:val="00F16C5E"/>
    <w:rsid w:val="00F17A9E"/>
    <w:rsid w:val="00F24269"/>
    <w:rsid w:val="00F3078C"/>
    <w:rsid w:val="00F362D7"/>
    <w:rsid w:val="00F369E9"/>
    <w:rsid w:val="00F36F21"/>
    <w:rsid w:val="00F37D7B"/>
    <w:rsid w:val="00F409F9"/>
    <w:rsid w:val="00F4188E"/>
    <w:rsid w:val="00F421D7"/>
    <w:rsid w:val="00F43F1B"/>
    <w:rsid w:val="00F5314C"/>
    <w:rsid w:val="00F55398"/>
    <w:rsid w:val="00F55CF2"/>
    <w:rsid w:val="00F55E8B"/>
    <w:rsid w:val="00F5688C"/>
    <w:rsid w:val="00F5785D"/>
    <w:rsid w:val="00F60048"/>
    <w:rsid w:val="00F635DD"/>
    <w:rsid w:val="00F65CDF"/>
    <w:rsid w:val="00F6627B"/>
    <w:rsid w:val="00F6716F"/>
    <w:rsid w:val="00F7336E"/>
    <w:rsid w:val="00F734F2"/>
    <w:rsid w:val="00F75052"/>
    <w:rsid w:val="00F76A0B"/>
    <w:rsid w:val="00F804D3"/>
    <w:rsid w:val="00F814AD"/>
    <w:rsid w:val="00F816CB"/>
    <w:rsid w:val="00F81CD2"/>
    <w:rsid w:val="00F81FDD"/>
    <w:rsid w:val="00F82641"/>
    <w:rsid w:val="00F86D1A"/>
    <w:rsid w:val="00F90AAA"/>
    <w:rsid w:val="00F90F18"/>
    <w:rsid w:val="00F92BA9"/>
    <w:rsid w:val="00F937E4"/>
    <w:rsid w:val="00F95EE7"/>
    <w:rsid w:val="00F96B63"/>
    <w:rsid w:val="00FA39E6"/>
    <w:rsid w:val="00FA6B8A"/>
    <w:rsid w:val="00FA7953"/>
    <w:rsid w:val="00FA7BC9"/>
    <w:rsid w:val="00FB1D31"/>
    <w:rsid w:val="00FB378E"/>
    <w:rsid w:val="00FB37F1"/>
    <w:rsid w:val="00FB3833"/>
    <w:rsid w:val="00FB47C0"/>
    <w:rsid w:val="00FB4B8A"/>
    <w:rsid w:val="00FB501B"/>
    <w:rsid w:val="00FB5B3F"/>
    <w:rsid w:val="00FB719A"/>
    <w:rsid w:val="00FB7770"/>
    <w:rsid w:val="00FC104D"/>
    <w:rsid w:val="00FC4C6D"/>
    <w:rsid w:val="00FC5FCC"/>
    <w:rsid w:val="00FC67D3"/>
    <w:rsid w:val="00FD3506"/>
    <w:rsid w:val="00FD3B91"/>
    <w:rsid w:val="00FD42C3"/>
    <w:rsid w:val="00FD568D"/>
    <w:rsid w:val="00FD576B"/>
    <w:rsid w:val="00FD579E"/>
    <w:rsid w:val="00FD6845"/>
    <w:rsid w:val="00FE1438"/>
    <w:rsid w:val="00FE29A1"/>
    <w:rsid w:val="00FE4516"/>
    <w:rsid w:val="00FE59E1"/>
    <w:rsid w:val="00FE64C8"/>
    <w:rsid w:val="00FF159A"/>
    <w:rsid w:val="00FF3F42"/>
    <w:rsid w:val="00FF58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CD4E8"/>
  <w15:docId w15:val="{2505C7F2-322F-48BD-B329-4A82815B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780294"/>
    <w:pPr>
      <w:snapToGrid w:val="0"/>
      <w:jc w:val="left"/>
    </w:pPr>
    <w:rPr>
      <w:sz w:val="20"/>
    </w:rPr>
  </w:style>
  <w:style w:type="character" w:customStyle="1" w:styleId="afd">
    <w:name w:val="註腳文字 字元"/>
    <w:basedOn w:val="a7"/>
    <w:link w:val="afc"/>
    <w:uiPriority w:val="99"/>
    <w:semiHidden/>
    <w:rsid w:val="00780294"/>
    <w:rPr>
      <w:rFonts w:ascii="標楷體" w:eastAsia="標楷體"/>
      <w:kern w:val="2"/>
    </w:rPr>
  </w:style>
  <w:style w:type="character" w:styleId="afe">
    <w:name w:val="footnote reference"/>
    <w:basedOn w:val="a7"/>
    <w:uiPriority w:val="99"/>
    <w:semiHidden/>
    <w:unhideWhenUsed/>
    <w:rsid w:val="007802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02472">
      <w:bodyDiv w:val="1"/>
      <w:marLeft w:val="0"/>
      <w:marRight w:val="0"/>
      <w:marTop w:val="0"/>
      <w:marBottom w:val="0"/>
      <w:divBdr>
        <w:top w:val="none" w:sz="0" w:space="0" w:color="auto"/>
        <w:left w:val="none" w:sz="0" w:space="0" w:color="auto"/>
        <w:bottom w:val="none" w:sz="0" w:space="0" w:color="auto"/>
        <w:right w:val="none" w:sz="0" w:space="0" w:color="auto"/>
      </w:divBdr>
    </w:div>
    <w:div w:id="405421934">
      <w:bodyDiv w:val="1"/>
      <w:marLeft w:val="0"/>
      <w:marRight w:val="0"/>
      <w:marTop w:val="0"/>
      <w:marBottom w:val="0"/>
      <w:divBdr>
        <w:top w:val="none" w:sz="0" w:space="0" w:color="auto"/>
        <w:left w:val="none" w:sz="0" w:space="0" w:color="auto"/>
        <w:bottom w:val="none" w:sz="0" w:space="0" w:color="auto"/>
        <w:right w:val="none" w:sz="0" w:space="0" w:color="auto"/>
      </w:divBdr>
    </w:div>
    <w:div w:id="7883567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21572371">
      <w:bodyDiv w:val="1"/>
      <w:marLeft w:val="0"/>
      <w:marRight w:val="0"/>
      <w:marTop w:val="0"/>
      <w:marBottom w:val="0"/>
      <w:divBdr>
        <w:top w:val="none" w:sz="0" w:space="0" w:color="auto"/>
        <w:left w:val="none" w:sz="0" w:space="0" w:color="auto"/>
        <w:bottom w:val="none" w:sz="0" w:space="0" w:color="auto"/>
        <w:right w:val="none" w:sz="0" w:space="0" w:color="auto"/>
      </w:divBdr>
    </w:div>
    <w:div w:id="18768460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E6C43-5FAA-4FF7-9D75-D2183E11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14</Pages>
  <Words>2015</Words>
  <Characters>6288</Characters>
  <Application>Microsoft Office Word</Application>
  <DocSecurity>0</DocSecurity>
  <Lines>1572</Lines>
  <Paragraphs>1186</Paragraphs>
  <ScaleCrop>false</ScaleCrop>
  <Company>cy</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2020-05-13T00:42:00Z</cp:lastPrinted>
  <dcterms:created xsi:type="dcterms:W3CDTF">2020-09-11T08:55:00Z</dcterms:created>
  <dcterms:modified xsi:type="dcterms:W3CDTF">2020-09-11T08:55:00Z</dcterms:modified>
</cp:coreProperties>
</file>