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E562A" w:rsidRDefault="00D75644" w:rsidP="00F37D7B">
      <w:pPr>
        <w:pStyle w:val="af2"/>
        <w:rPr>
          <w:rFonts w:hAnsi="標楷體"/>
        </w:rPr>
      </w:pPr>
      <w:r w:rsidRPr="00BE562A">
        <w:rPr>
          <w:rFonts w:hAnsi="標楷體" w:hint="eastAsia"/>
        </w:rPr>
        <w:t>調查</w:t>
      </w:r>
      <w:r w:rsidR="00D54C85">
        <w:rPr>
          <w:rFonts w:hAnsi="標楷體" w:hint="eastAsia"/>
        </w:rPr>
        <w:t>意見</w:t>
      </w:r>
    </w:p>
    <w:p w:rsidR="00073CB5" w:rsidRPr="00BE562A" w:rsidRDefault="005A3D96" w:rsidP="00852875">
      <w:pPr>
        <w:pStyle w:val="2"/>
        <w:spacing w:beforeLines="50" w:before="228"/>
        <w:ind w:left="1020" w:hanging="680"/>
        <w:rPr>
          <w:rFonts w:hAnsi="標楷體"/>
          <w:b/>
        </w:rPr>
      </w:pPr>
      <w:bookmarkStart w:id="0" w:name="_Toc524902730"/>
      <w:r w:rsidRPr="00BE562A">
        <w:rPr>
          <w:rFonts w:hAnsi="標楷體" w:hint="eastAsia"/>
          <w:b/>
        </w:rPr>
        <w:t>臺灣醫療資源整體而言早已飽和，然卻分布不均，</w:t>
      </w:r>
      <w:r w:rsidR="003F0036" w:rsidRPr="00BE562A">
        <w:rPr>
          <w:rFonts w:hAnsi="標楷體" w:hint="eastAsia"/>
          <w:b/>
        </w:rPr>
        <w:t>衛福部為促進醫療資源均衡發展，訂有醫療網計畫，鑑於</w:t>
      </w:r>
      <w:r w:rsidR="0058638A" w:rsidRPr="00BE562A">
        <w:rPr>
          <w:rFonts w:hAnsi="標楷體" w:hint="eastAsia"/>
          <w:b/>
          <w:lang w:eastAsia="zh-HK"/>
        </w:rPr>
        <w:t>該部</w:t>
      </w:r>
      <w:r w:rsidR="0058638A" w:rsidRPr="00BE562A">
        <w:rPr>
          <w:rFonts w:hAnsi="標楷體" w:hint="eastAsia"/>
          <w:b/>
        </w:rPr>
        <w:t>部立醫院</w:t>
      </w:r>
      <w:r w:rsidR="003F0036" w:rsidRPr="00BE562A">
        <w:rPr>
          <w:rFonts w:hAnsi="標楷體" w:hint="eastAsia"/>
          <w:b/>
        </w:rPr>
        <w:t>多數位處偏遠或醫療資源缺乏之地區，其營運狀況、醫療設備、醫師人力科別需求各有不同，爰檢討盤整各院專科醫師人力結構，提供偏遠地區</w:t>
      </w:r>
      <w:r w:rsidR="0058638A" w:rsidRPr="00BE562A">
        <w:rPr>
          <w:rFonts w:hAnsi="標楷體" w:hint="eastAsia"/>
          <w:b/>
        </w:rPr>
        <w:t>部立醫院</w:t>
      </w:r>
      <w:r w:rsidR="003F0036" w:rsidRPr="00BE562A">
        <w:rPr>
          <w:rFonts w:hAnsi="標楷體" w:hint="eastAsia"/>
          <w:b/>
        </w:rPr>
        <w:t>欠缺之診療科別及人力，以符合醫院運作。目前衛福部所屬26家醫院，扣除5家精神專科醫院因資格未符「</w:t>
      </w:r>
      <w:r w:rsidR="00974CBF" w:rsidRPr="00BE562A">
        <w:rPr>
          <w:rFonts w:hAnsi="標楷體" w:hint="eastAsia"/>
          <w:b/>
        </w:rPr>
        <w:t>全民健康保險</w:t>
      </w:r>
      <w:r w:rsidR="003F0036" w:rsidRPr="00BE562A">
        <w:rPr>
          <w:rFonts w:hAnsi="標楷體" w:hint="eastAsia"/>
          <w:b/>
        </w:rPr>
        <w:t>急性後期</w:t>
      </w:r>
      <w:r w:rsidR="00974CBF" w:rsidRPr="00BE562A">
        <w:rPr>
          <w:rFonts w:hAnsi="標楷體" w:hint="eastAsia"/>
          <w:b/>
        </w:rPr>
        <w:t>整合</w:t>
      </w:r>
      <w:r w:rsidR="003F0036" w:rsidRPr="00BE562A">
        <w:rPr>
          <w:rFonts w:hAnsi="標楷體" w:hint="eastAsia"/>
          <w:b/>
        </w:rPr>
        <w:t>照護計畫」、「</w:t>
      </w:r>
      <w:r w:rsidR="00974CBF" w:rsidRPr="00BE562A">
        <w:rPr>
          <w:rFonts w:hAnsi="標楷體" w:hint="eastAsia"/>
          <w:b/>
        </w:rPr>
        <w:t>全民健康保險</w:t>
      </w:r>
      <w:r w:rsidR="003F0036" w:rsidRPr="00BE562A">
        <w:rPr>
          <w:rFonts w:hAnsi="標楷體" w:hint="eastAsia"/>
          <w:b/>
        </w:rPr>
        <w:t>居家醫療照護整合計畫」、「</w:t>
      </w:r>
      <w:r w:rsidR="00974CBF" w:rsidRPr="00BE562A">
        <w:rPr>
          <w:rFonts w:hAnsi="標楷體" w:hint="eastAsia"/>
          <w:b/>
        </w:rPr>
        <w:t>全民健康保險</w:t>
      </w:r>
      <w:r w:rsidR="0085589C" w:rsidRPr="00BE562A">
        <w:rPr>
          <w:rFonts w:hAnsi="標楷體" w:hint="eastAsia"/>
          <w:b/>
        </w:rPr>
        <w:t>家庭醫師整合性照護計畫</w:t>
      </w:r>
      <w:r w:rsidR="003F0036" w:rsidRPr="00BE562A">
        <w:rPr>
          <w:rFonts w:hAnsi="標楷體" w:hint="eastAsia"/>
          <w:b/>
        </w:rPr>
        <w:t>」而未加入外，都已加入計畫。由於各該計畫之醫師人力資格，涉及神經科、神經外科、內科、家醫科或復健科、整形外科、骨科、心臟內/外科……等專科醫師之參與及執行。然據本院調查發現，目前部立醫院各專科醫師人力仍處於短缺之狀態，致衛福部</w:t>
      </w:r>
      <w:r w:rsidR="0058638A" w:rsidRPr="00BE562A">
        <w:rPr>
          <w:rFonts w:hAnsi="標楷體" w:hint="eastAsia"/>
          <w:b/>
        </w:rPr>
        <w:t>部立醫院</w:t>
      </w:r>
      <w:r w:rsidR="003F0036" w:rsidRPr="00BE562A">
        <w:rPr>
          <w:rFonts w:hAnsi="標楷體" w:hint="eastAsia"/>
          <w:b/>
        </w:rPr>
        <w:t>雖已加入上開計畫，近3年部分醫院辦理成效並不佳，衛福部允應盤整各部立醫院所有醫療資源，並依據</w:t>
      </w:r>
      <w:r w:rsidR="0058638A" w:rsidRPr="00BE562A">
        <w:rPr>
          <w:rFonts w:hAnsi="標楷體" w:hint="eastAsia"/>
          <w:b/>
        </w:rPr>
        <w:t>部立醫院</w:t>
      </w:r>
      <w:r w:rsidR="003F0036" w:rsidRPr="00BE562A">
        <w:rPr>
          <w:rFonts w:hAnsi="標楷體" w:hint="eastAsia"/>
          <w:b/>
        </w:rPr>
        <w:t>之發展特性配合在地醫療需求，提供所需之醫療服務為主，以發揮其在地之角色與功能</w:t>
      </w:r>
    </w:p>
    <w:p w:rsidR="00573111" w:rsidRPr="00BE562A" w:rsidRDefault="001743EC" w:rsidP="00302B8E">
      <w:pPr>
        <w:pStyle w:val="3"/>
        <w:rPr>
          <w:rFonts w:hAnsi="標楷體"/>
        </w:rPr>
      </w:pPr>
      <w:r w:rsidRPr="00BE562A">
        <w:rPr>
          <w:rFonts w:hAnsi="標楷體" w:hint="eastAsia"/>
        </w:rPr>
        <w:t>依</w:t>
      </w:r>
      <w:r w:rsidR="008547F8" w:rsidRPr="00BE562A">
        <w:rPr>
          <w:rFonts w:hAnsi="標楷體" w:hint="eastAsia"/>
        </w:rPr>
        <w:t>衛福部組織法第2條規定</w:t>
      </w:r>
      <w:r w:rsidR="00447786" w:rsidRPr="00BE562A">
        <w:rPr>
          <w:rFonts w:hAnsi="標楷體" w:hint="eastAsia"/>
        </w:rPr>
        <w:t>：</w:t>
      </w:r>
      <w:r w:rsidR="008547F8" w:rsidRPr="00BE562A">
        <w:rPr>
          <w:rFonts w:hAnsi="標楷體" w:hint="eastAsia"/>
        </w:rPr>
        <w:t>「本部掌理下列事項：</w:t>
      </w:r>
      <w:r w:rsidR="008547F8" w:rsidRPr="00BE562A">
        <w:rPr>
          <w:rFonts w:hAnsi="標楷體"/>
        </w:rPr>
        <w:t>……</w:t>
      </w:r>
      <w:r w:rsidR="008547F8" w:rsidRPr="00BE562A">
        <w:rPr>
          <w:rFonts w:hAnsi="標楷體" w:hint="eastAsia"/>
        </w:rPr>
        <w:t>六、醫事人員、醫事機構、醫事團體與全國醫療網、緊急醫療業務之政策規劃、管理及督導。」</w:t>
      </w:r>
      <w:r w:rsidR="00573111" w:rsidRPr="00BE562A">
        <w:rPr>
          <w:rFonts w:hAnsi="標楷體" w:hint="eastAsia"/>
        </w:rPr>
        <w:t>醫療法第88條規定</w:t>
      </w:r>
      <w:r w:rsidR="00447786" w:rsidRPr="00BE562A">
        <w:rPr>
          <w:rFonts w:hAnsi="標楷體" w:hint="eastAsia"/>
        </w:rPr>
        <w:t>：</w:t>
      </w:r>
      <w:r w:rsidR="00573111" w:rsidRPr="00BE562A">
        <w:rPr>
          <w:rFonts w:hAnsi="標楷體" w:hint="eastAsia"/>
        </w:rPr>
        <w:t>「中央主管機關為促進醫療資源均衡發展，統籌規劃現有公私立醫療機構及人力合理分布，得劃分醫療區域，建立分級醫療制度，訂定醫療網計畫。</w:t>
      </w:r>
      <w:r w:rsidR="00573111" w:rsidRPr="00BE562A">
        <w:rPr>
          <w:rFonts w:hAnsi="標楷體"/>
        </w:rPr>
        <w:t>(第1項)主管機關得依前項醫療網計畫，對醫療資源缺乏區域，獎勵民間設立醫</w:t>
      </w:r>
      <w:r w:rsidR="00573111" w:rsidRPr="00BE562A">
        <w:rPr>
          <w:rFonts w:hAnsi="標楷體"/>
        </w:rPr>
        <w:lastRenderedPageBreak/>
        <w:t>療機構、護理之家機構；必要時，得由政府設立。(第2項)」</w:t>
      </w:r>
      <w:r w:rsidRPr="00BE562A">
        <w:rPr>
          <w:rFonts w:hAnsi="標楷體" w:hint="eastAsia"/>
        </w:rPr>
        <w:t>次依</w:t>
      </w:r>
      <w:r w:rsidR="00B83099" w:rsidRPr="00BE562A">
        <w:rPr>
          <w:rFonts w:hAnsi="標楷體" w:hint="eastAsia"/>
        </w:rPr>
        <w:t>衛福部</w:t>
      </w:r>
      <w:r w:rsidR="00C4768B" w:rsidRPr="00BE562A">
        <w:rPr>
          <w:rFonts w:hAnsi="標楷體" w:hint="eastAsia"/>
        </w:rPr>
        <w:t>各醫院組織準則第1條規定</w:t>
      </w:r>
      <w:r w:rsidR="00447786" w:rsidRPr="00BE562A">
        <w:rPr>
          <w:rFonts w:hAnsi="標楷體" w:hint="eastAsia"/>
        </w:rPr>
        <w:t>：</w:t>
      </w:r>
      <w:r w:rsidR="000C1302">
        <w:rPr>
          <w:rFonts w:hAnsi="標楷體" w:hint="eastAsia"/>
        </w:rPr>
        <w:t>「衛生福利部</w:t>
      </w:r>
      <w:r w:rsidR="00447786" w:rsidRPr="00BE562A">
        <w:rPr>
          <w:rFonts w:hAnsi="標楷體"/>
        </w:rPr>
        <w:t>(</w:t>
      </w:r>
      <w:r w:rsidR="00C4768B" w:rsidRPr="00BE562A">
        <w:rPr>
          <w:rFonts w:hAnsi="標楷體" w:hint="eastAsia"/>
        </w:rPr>
        <w:t>以下簡稱本部</w:t>
      </w:r>
      <w:r w:rsidR="00447786" w:rsidRPr="00BE562A">
        <w:rPr>
          <w:rFonts w:hAnsi="標楷體"/>
        </w:rPr>
        <w:t>)</w:t>
      </w:r>
      <w:r w:rsidR="00C4768B" w:rsidRPr="00BE562A">
        <w:rPr>
          <w:rFonts w:hAnsi="標楷體" w:hint="eastAsia"/>
        </w:rPr>
        <w:t>為辦理民眾衛生醫療保健業務，特設所屬各醫院，為四級機構，並受本部指揮監督。」</w:t>
      </w:r>
    </w:p>
    <w:p w:rsidR="005A3D96" w:rsidRPr="00BE562A" w:rsidRDefault="005A3D96" w:rsidP="005A3D96">
      <w:pPr>
        <w:pStyle w:val="3"/>
        <w:numPr>
          <w:ilvl w:val="2"/>
          <w:numId w:val="1"/>
        </w:numPr>
      </w:pPr>
      <w:r w:rsidRPr="00BE562A">
        <w:rPr>
          <w:rFonts w:hint="eastAsia"/>
        </w:rPr>
        <w:t>聯合報於2018年</w:t>
      </w:r>
      <w:r w:rsidRPr="00BE562A">
        <w:t>諮詢專家、偏鄉醫生</w:t>
      </w:r>
      <w:r w:rsidRPr="00BE562A">
        <w:rPr>
          <w:rFonts w:hint="eastAsia"/>
        </w:rPr>
        <w:t>並</w:t>
      </w:r>
      <w:r w:rsidRPr="00BE562A">
        <w:t>根據</w:t>
      </w:r>
      <w:r w:rsidRPr="00BE562A">
        <w:rPr>
          <w:rFonts w:hint="eastAsia"/>
        </w:rPr>
        <w:t>衛福部醫療服務量統計資料</w:t>
      </w:r>
      <w:r w:rsidRPr="00BE562A">
        <w:t>結合地圖</w:t>
      </w:r>
      <w:r w:rsidRPr="00BE562A">
        <w:rPr>
          <w:rFonts w:hint="eastAsia"/>
        </w:rPr>
        <w:t>，</w:t>
      </w:r>
      <w:r w:rsidRPr="00BE562A">
        <w:t>畫出全國醫學中心及區域醫院位置，發現大型醫療院所多集中在北部和西部，東部較少，顯示全國醫療資源分布落差，</w:t>
      </w:r>
      <w:r w:rsidRPr="00BE562A">
        <w:rPr>
          <w:rFonts w:hint="eastAsia"/>
        </w:rPr>
        <w:t>而</w:t>
      </w:r>
      <w:r w:rsidRPr="00BE562A">
        <w:t>每一個縣市也有醫療資源分配不均情況。透過地圖</w:t>
      </w:r>
      <w:r w:rsidRPr="00BE562A">
        <w:rPr>
          <w:rFonts w:hint="eastAsia"/>
        </w:rPr>
        <w:t>顯示:</w:t>
      </w:r>
      <w:r w:rsidRPr="00BE562A">
        <w:t>花蓮縣地廣、醫院數少，</w:t>
      </w:r>
      <w:r w:rsidRPr="00BE562A">
        <w:rPr>
          <w:rFonts w:hint="eastAsia"/>
        </w:rPr>
        <w:t>轄區</w:t>
      </w:r>
      <w:r w:rsidRPr="00BE562A">
        <w:rPr>
          <w:b/>
        </w:rPr>
        <w:t>三</w:t>
      </w:r>
      <w:r w:rsidRPr="00BE562A">
        <w:t>家大型醫院都集中花蓮市，花蓮中南區偏鄉民眾就醫極度不便</w:t>
      </w:r>
      <w:r w:rsidRPr="00BE562A">
        <w:rPr>
          <w:rFonts w:hint="eastAsia"/>
        </w:rPr>
        <w:t>；臺</w:t>
      </w:r>
      <w:r w:rsidRPr="00BE562A">
        <w:t>東縣只有一家區域醫院馬偕台東分院，位於台東市，池上鄉居民若要就醫，最短車程得花上1小時11分</w:t>
      </w:r>
      <w:r w:rsidRPr="00BE562A">
        <w:rPr>
          <w:rFonts w:hint="eastAsia"/>
        </w:rPr>
        <w:t>；</w:t>
      </w:r>
      <w:r w:rsidRPr="00BE562A">
        <w:t>屏東縣醫療資源多集中在屏東市，南北狹長的地理位置，南端的恆春半島包含恆春鎮、車城、滿州、牡丹鄉，居民就醫極度不便。反觀</w:t>
      </w:r>
      <w:r w:rsidRPr="00BE562A">
        <w:rPr>
          <w:rFonts w:hint="eastAsia"/>
        </w:rPr>
        <w:t>臺</w:t>
      </w:r>
      <w:r w:rsidRPr="00BE562A">
        <w:t>北市，市區有20家大型醫院，以大安區居民為例，最短只需要6分鐘，便可抵達鄰近的</w:t>
      </w:r>
      <w:r w:rsidRPr="00BE562A">
        <w:rPr>
          <w:rFonts w:hint="eastAsia"/>
        </w:rPr>
        <w:t>臺</w:t>
      </w:r>
      <w:r w:rsidRPr="00BE562A">
        <w:t>大醫院，與偏鄉居民就醫時間形成極大落差</w:t>
      </w:r>
      <w:r w:rsidRPr="00BE562A">
        <w:rPr>
          <w:rStyle w:val="aff"/>
        </w:rPr>
        <w:footnoteReference w:id="1"/>
      </w:r>
      <w:r w:rsidRPr="00BE562A">
        <w:t>。</w:t>
      </w:r>
      <w:r w:rsidRPr="00BE562A">
        <w:rPr>
          <w:rFonts w:hint="eastAsia"/>
        </w:rPr>
        <w:t>再據衛福部第八期醫療網分析:</w:t>
      </w:r>
      <w:r w:rsidRPr="00BE562A">
        <w:rPr>
          <w:rFonts w:hAnsi="標楷體" w:hint="eastAsia"/>
        </w:rPr>
        <w:t>「自84年3月1日開辦全民健康保險以來，已降低民眾因疾病所造成的經濟壓力，病人亦可自由選擇就醫院所，惟部分民眾對基層醫療、家庭醫師之功能仍然認識不夠且信心不足，致初級醫療照護及慢性病人佔據重症醫療資源</w:t>
      </w:r>
      <w:r w:rsidRPr="00BE562A">
        <w:rPr>
          <w:rFonts w:hAnsi="標楷體"/>
        </w:rPr>
        <w:t>……</w:t>
      </w:r>
      <w:r w:rsidRPr="00BE562A">
        <w:rPr>
          <w:rStyle w:val="aff"/>
          <w:rFonts w:hAnsi="標楷體"/>
        </w:rPr>
        <w:footnoteReference w:id="2"/>
      </w:r>
      <w:r w:rsidRPr="00BE562A">
        <w:rPr>
          <w:rFonts w:hAnsi="標楷體" w:hint="eastAsia"/>
        </w:rPr>
        <w:t>」可知，臺灣醫療資源整體而言早已飽和，然卻過度集中於都會區，造成資源分布不均，再因我國有世界上最好的健保</w:t>
      </w:r>
      <w:r w:rsidRPr="00BE562A">
        <w:rPr>
          <w:rFonts w:hAnsi="標楷體" w:hint="eastAsia"/>
        </w:rPr>
        <w:lastRenderedPageBreak/>
        <w:t>制度且就醫費用不高，致民眾除非病情嚴重，否則愛逛醫院，且民眾就醫有大醫院及名醫之迷思，就醫行為偏頗，一定到醫學中心就醫。</w:t>
      </w:r>
    </w:p>
    <w:p w:rsidR="001743EC" w:rsidRPr="00BE562A" w:rsidRDefault="001743EC" w:rsidP="00573111">
      <w:pPr>
        <w:pStyle w:val="3"/>
        <w:rPr>
          <w:rFonts w:hAnsi="標楷體"/>
        </w:rPr>
      </w:pPr>
      <w:r w:rsidRPr="00BE562A">
        <w:rPr>
          <w:rFonts w:hAnsi="標楷體" w:hint="eastAsia"/>
        </w:rPr>
        <w:t>衛福部第八期醫療網計畫有關部立醫院發展之工作項目，</w:t>
      </w:r>
      <w:r w:rsidR="00E62FE8" w:rsidRPr="00BE562A">
        <w:rPr>
          <w:rFonts w:hAnsi="標楷體" w:hint="eastAsia"/>
        </w:rPr>
        <w:t>規劃於</w:t>
      </w:r>
      <w:r w:rsidRPr="00BE562A">
        <w:rPr>
          <w:rFonts w:hAnsi="標楷體" w:hint="eastAsia"/>
        </w:rPr>
        <w:t>肆、執行策略及方法摘述如下</w:t>
      </w:r>
      <w:r w:rsidR="00447786" w:rsidRPr="00BE562A">
        <w:rPr>
          <w:rFonts w:hAnsi="標楷體" w:hint="eastAsia"/>
        </w:rPr>
        <w:t>：</w:t>
      </w:r>
    </w:p>
    <w:p w:rsidR="001743EC" w:rsidRPr="00BE562A" w:rsidRDefault="00E62FE8" w:rsidP="001743EC">
      <w:pPr>
        <w:pStyle w:val="4"/>
        <w:numPr>
          <w:ilvl w:val="3"/>
          <w:numId w:val="31"/>
        </w:numPr>
        <w:rPr>
          <w:rFonts w:hAnsi="標楷體"/>
        </w:rPr>
      </w:pPr>
      <w:r w:rsidRPr="00BE562A">
        <w:rPr>
          <w:rFonts w:hAnsi="標楷體" w:hint="eastAsia"/>
        </w:rPr>
        <w:t>「</w:t>
      </w:r>
      <w:r w:rsidR="001743EC" w:rsidRPr="00BE562A">
        <w:rPr>
          <w:rFonts w:hAnsi="標楷體" w:hint="eastAsia"/>
        </w:rPr>
        <w:t>二、分年執行策略與分工</w:t>
      </w:r>
      <w:r w:rsidRPr="00BE562A">
        <w:rPr>
          <w:rFonts w:hAnsi="標楷體" w:hint="eastAsia"/>
        </w:rPr>
        <w:t>」</w:t>
      </w:r>
      <w:r w:rsidR="00447786" w:rsidRPr="00BE562A">
        <w:rPr>
          <w:rFonts w:hAnsi="標楷體" w:hint="eastAsia"/>
        </w:rPr>
        <w:t>：</w:t>
      </w:r>
      <w:r w:rsidR="001743EC" w:rsidRPr="00BE562A">
        <w:rPr>
          <w:rFonts w:hAnsi="標楷體"/>
        </w:rPr>
        <w:t>……</w:t>
      </w:r>
      <w:r w:rsidR="001743EC" w:rsidRPr="00BE562A">
        <w:rPr>
          <w:rFonts w:hAnsi="標楷體" w:hint="eastAsia"/>
        </w:rPr>
        <w:t>三、「改善醫事人員執業環境，充實醫事人力」工作項目之策略分工如下</w:t>
      </w:r>
      <w:r w:rsidR="00447786" w:rsidRPr="00BE562A">
        <w:rPr>
          <w:rFonts w:hAnsi="標楷體" w:hint="eastAsia"/>
        </w:rPr>
        <w:t>：</w:t>
      </w:r>
    </w:p>
    <w:tbl>
      <w:tblPr>
        <w:tblStyle w:val="af6"/>
        <w:tblW w:w="3960" w:type="pct"/>
        <w:tblInd w:w="1838" w:type="dxa"/>
        <w:tblLook w:val="04A0" w:firstRow="1" w:lastRow="0" w:firstColumn="1" w:lastColumn="0" w:noHBand="0" w:noVBand="1"/>
      </w:tblPr>
      <w:tblGrid>
        <w:gridCol w:w="1843"/>
        <w:gridCol w:w="992"/>
        <w:gridCol w:w="992"/>
        <w:gridCol w:w="992"/>
        <w:gridCol w:w="994"/>
        <w:gridCol w:w="1184"/>
      </w:tblGrid>
      <w:tr w:rsidR="00BE562A" w:rsidRPr="00BE562A" w:rsidTr="00BE562A">
        <w:tc>
          <w:tcPr>
            <w:tcW w:w="1317" w:type="pct"/>
            <w:tcBorders>
              <w:tl2br w:val="single" w:sz="4" w:space="0" w:color="auto"/>
            </w:tcBorders>
            <w:shd w:val="clear" w:color="auto" w:fill="EEECE1" w:themeFill="background2"/>
          </w:tcPr>
          <w:p w:rsidR="001743EC" w:rsidRPr="00BE562A" w:rsidRDefault="001743EC" w:rsidP="00433577">
            <w:pPr>
              <w:pStyle w:val="120"/>
              <w:spacing w:line="260" w:lineRule="exact"/>
              <w:jc w:val="right"/>
              <w:rPr>
                <w:rFonts w:hAnsi="標楷體"/>
              </w:rPr>
            </w:pPr>
            <w:r w:rsidRPr="00BE562A">
              <w:rPr>
                <w:rFonts w:hAnsi="標楷體" w:hint="eastAsia"/>
              </w:rPr>
              <w:t>年度</w:t>
            </w:r>
          </w:p>
          <w:p w:rsidR="001743EC" w:rsidRPr="00BE562A" w:rsidRDefault="001743EC" w:rsidP="00433577">
            <w:pPr>
              <w:pStyle w:val="120"/>
              <w:spacing w:line="260" w:lineRule="exact"/>
              <w:rPr>
                <w:rFonts w:hAnsi="標楷體"/>
              </w:rPr>
            </w:pPr>
            <w:r w:rsidRPr="00BE562A">
              <w:rPr>
                <w:rFonts w:hAnsi="標楷體" w:hint="eastAsia"/>
              </w:rPr>
              <w:t>項目</w:t>
            </w:r>
          </w:p>
        </w:tc>
        <w:tc>
          <w:tcPr>
            <w:tcW w:w="709" w:type="pct"/>
            <w:shd w:val="clear" w:color="auto" w:fill="EEECE1" w:themeFill="background2"/>
            <w:vAlign w:val="center"/>
          </w:tcPr>
          <w:p w:rsidR="001743EC" w:rsidRPr="00BE562A" w:rsidRDefault="001743EC" w:rsidP="00433577">
            <w:pPr>
              <w:pStyle w:val="120"/>
              <w:spacing w:line="260" w:lineRule="exact"/>
              <w:jc w:val="center"/>
              <w:rPr>
                <w:rFonts w:hAnsi="標楷體"/>
              </w:rPr>
            </w:pPr>
            <w:r w:rsidRPr="00BE562A">
              <w:rPr>
                <w:rFonts w:hAnsi="標楷體" w:hint="eastAsia"/>
              </w:rPr>
              <w:t>106年</w:t>
            </w:r>
          </w:p>
        </w:tc>
        <w:tc>
          <w:tcPr>
            <w:tcW w:w="709" w:type="pct"/>
            <w:shd w:val="clear" w:color="auto" w:fill="EEECE1" w:themeFill="background2"/>
            <w:vAlign w:val="center"/>
          </w:tcPr>
          <w:p w:rsidR="001743EC" w:rsidRPr="00BE562A" w:rsidRDefault="001743EC" w:rsidP="00433577">
            <w:pPr>
              <w:pStyle w:val="120"/>
              <w:spacing w:line="260" w:lineRule="exact"/>
              <w:jc w:val="center"/>
              <w:rPr>
                <w:rFonts w:hAnsi="標楷體"/>
              </w:rPr>
            </w:pPr>
            <w:r w:rsidRPr="00BE562A">
              <w:rPr>
                <w:rFonts w:hAnsi="標楷體" w:hint="eastAsia"/>
              </w:rPr>
              <w:t>107年</w:t>
            </w:r>
          </w:p>
        </w:tc>
        <w:tc>
          <w:tcPr>
            <w:tcW w:w="709" w:type="pct"/>
            <w:shd w:val="clear" w:color="auto" w:fill="EEECE1" w:themeFill="background2"/>
            <w:vAlign w:val="center"/>
          </w:tcPr>
          <w:p w:rsidR="001743EC" w:rsidRPr="00BE562A" w:rsidRDefault="001743EC" w:rsidP="00433577">
            <w:pPr>
              <w:pStyle w:val="120"/>
              <w:spacing w:line="260" w:lineRule="exact"/>
              <w:jc w:val="center"/>
              <w:rPr>
                <w:rFonts w:hAnsi="標楷體"/>
              </w:rPr>
            </w:pPr>
            <w:r w:rsidRPr="00BE562A">
              <w:rPr>
                <w:rFonts w:hAnsi="標楷體" w:hint="eastAsia"/>
              </w:rPr>
              <w:t>108年</w:t>
            </w:r>
          </w:p>
        </w:tc>
        <w:tc>
          <w:tcPr>
            <w:tcW w:w="710" w:type="pct"/>
            <w:shd w:val="clear" w:color="auto" w:fill="EEECE1" w:themeFill="background2"/>
            <w:vAlign w:val="center"/>
          </w:tcPr>
          <w:p w:rsidR="001743EC" w:rsidRPr="00BE562A" w:rsidRDefault="001743EC" w:rsidP="00433577">
            <w:pPr>
              <w:pStyle w:val="120"/>
              <w:spacing w:line="260" w:lineRule="exact"/>
              <w:jc w:val="center"/>
              <w:rPr>
                <w:rFonts w:hAnsi="標楷體"/>
              </w:rPr>
            </w:pPr>
            <w:r w:rsidRPr="00BE562A">
              <w:rPr>
                <w:rFonts w:hAnsi="標楷體" w:hint="eastAsia"/>
              </w:rPr>
              <w:t>109年</w:t>
            </w:r>
          </w:p>
        </w:tc>
        <w:tc>
          <w:tcPr>
            <w:tcW w:w="846" w:type="pct"/>
            <w:shd w:val="clear" w:color="auto" w:fill="EEECE1" w:themeFill="background2"/>
            <w:vAlign w:val="center"/>
          </w:tcPr>
          <w:p w:rsidR="001743EC" w:rsidRPr="00BE562A" w:rsidRDefault="001743EC" w:rsidP="00433577">
            <w:pPr>
              <w:pStyle w:val="120"/>
              <w:spacing w:line="260" w:lineRule="exact"/>
              <w:jc w:val="center"/>
              <w:rPr>
                <w:rFonts w:hAnsi="標楷體"/>
              </w:rPr>
            </w:pPr>
            <w:r w:rsidRPr="00BE562A">
              <w:rPr>
                <w:rFonts w:hAnsi="標楷體" w:hint="eastAsia"/>
              </w:rPr>
              <w:t>執行單位</w:t>
            </w:r>
          </w:p>
        </w:tc>
      </w:tr>
      <w:tr w:rsidR="00BE562A" w:rsidRPr="00BE562A" w:rsidTr="00BE562A">
        <w:tc>
          <w:tcPr>
            <w:tcW w:w="1317" w:type="pct"/>
            <w:vAlign w:val="center"/>
          </w:tcPr>
          <w:p w:rsidR="001743EC" w:rsidRPr="00BE562A" w:rsidRDefault="001743EC" w:rsidP="00433577">
            <w:pPr>
              <w:pStyle w:val="120"/>
              <w:spacing w:line="260" w:lineRule="exact"/>
              <w:jc w:val="left"/>
              <w:rPr>
                <w:rFonts w:hAnsi="標楷體"/>
              </w:rPr>
            </w:pPr>
            <w:r w:rsidRPr="00BE562A">
              <w:rPr>
                <w:rFonts w:hAnsi="標楷體" w:hint="eastAsia"/>
              </w:rPr>
              <w:t>充實並留置偏遠地區醫事人力</w:t>
            </w:r>
          </w:p>
        </w:tc>
        <w:tc>
          <w:tcPr>
            <w:tcW w:w="2837" w:type="pct"/>
            <w:gridSpan w:val="4"/>
            <w:vAlign w:val="center"/>
          </w:tcPr>
          <w:p w:rsidR="001743EC" w:rsidRPr="00BE562A" w:rsidRDefault="001743EC" w:rsidP="00433577">
            <w:pPr>
              <w:pStyle w:val="120"/>
              <w:spacing w:line="260" w:lineRule="exact"/>
              <w:jc w:val="left"/>
              <w:rPr>
                <w:rFonts w:hAnsi="標楷體"/>
              </w:rPr>
            </w:pPr>
            <w:r w:rsidRPr="00BE562A">
              <w:rPr>
                <w:rFonts w:hAnsi="標楷體" w:hint="eastAsia"/>
              </w:rPr>
              <w:t>4.調整偏遠地區本部</w:t>
            </w:r>
            <w:r w:rsidR="00165928" w:rsidRPr="00BE562A">
              <w:rPr>
                <w:rFonts w:hAnsi="標楷體" w:hint="eastAsia"/>
                <w:lang w:eastAsia="zh-HK"/>
              </w:rPr>
              <w:t>所屬醫院</w:t>
            </w:r>
            <w:r w:rsidRPr="00BE562A">
              <w:rPr>
                <w:rFonts w:hAnsi="標楷體" w:hint="eastAsia"/>
              </w:rPr>
              <w:t>人力結構，強化在地角色與功能。</w:t>
            </w:r>
          </w:p>
        </w:tc>
        <w:tc>
          <w:tcPr>
            <w:tcW w:w="846" w:type="pct"/>
            <w:vAlign w:val="center"/>
          </w:tcPr>
          <w:p w:rsidR="001743EC" w:rsidRPr="00BE562A" w:rsidRDefault="001743EC" w:rsidP="00433577">
            <w:pPr>
              <w:pStyle w:val="120"/>
              <w:spacing w:line="260" w:lineRule="exact"/>
              <w:jc w:val="center"/>
              <w:rPr>
                <w:rFonts w:hAnsi="標楷體"/>
              </w:rPr>
            </w:pPr>
            <w:r w:rsidRPr="00BE562A">
              <w:rPr>
                <w:rFonts w:hAnsi="標楷體" w:hint="eastAsia"/>
              </w:rPr>
              <w:t>醫福會</w:t>
            </w:r>
          </w:p>
        </w:tc>
      </w:tr>
    </w:tbl>
    <w:p w:rsidR="001743EC" w:rsidRPr="00BE562A" w:rsidRDefault="001743EC" w:rsidP="00BE562A">
      <w:pPr>
        <w:pStyle w:val="3"/>
        <w:numPr>
          <w:ilvl w:val="0"/>
          <w:numId w:val="0"/>
        </w:numPr>
        <w:ind w:leftChars="550" w:left="1871"/>
        <w:rPr>
          <w:rFonts w:hAnsi="標楷體"/>
          <w:sz w:val="24"/>
          <w:szCs w:val="24"/>
        </w:rPr>
      </w:pPr>
      <w:r w:rsidRPr="00BE562A">
        <w:rPr>
          <w:rFonts w:hAnsi="標楷體" w:hint="eastAsia"/>
          <w:sz w:val="24"/>
          <w:szCs w:val="24"/>
        </w:rPr>
        <w:t>資料來源</w:t>
      </w:r>
      <w:r w:rsidR="00447786" w:rsidRPr="00BE562A">
        <w:rPr>
          <w:rFonts w:hAnsi="標楷體" w:hint="eastAsia"/>
          <w:sz w:val="24"/>
          <w:szCs w:val="24"/>
        </w:rPr>
        <w:t>：</w:t>
      </w:r>
      <w:r w:rsidRPr="00BE562A">
        <w:rPr>
          <w:rFonts w:hAnsi="標楷體" w:hint="eastAsia"/>
          <w:sz w:val="24"/>
          <w:szCs w:val="24"/>
        </w:rPr>
        <w:t>衛福部108年2月21日衛部管字第1083260280號函。</w:t>
      </w:r>
    </w:p>
    <w:p w:rsidR="00E64F25" w:rsidRPr="00BE562A" w:rsidRDefault="00E64F25" w:rsidP="001743EC">
      <w:pPr>
        <w:pStyle w:val="3"/>
        <w:numPr>
          <w:ilvl w:val="0"/>
          <w:numId w:val="0"/>
        </w:numPr>
        <w:ind w:leftChars="209" w:left="1902" w:hangingChars="458" w:hanging="1191"/>
        <w:rPr>
          <w:rFonts w:hAnsi="標楷體"/>
          <w:sz w:val="24"/>
          <w:szCs w:val="24"/>
        </w:rPr>
      </w:pPr>
    </w:p>
    <w:p w:rsidR="001743EC" w:rsidRPr="00BE562A" w:rsidRDefault="00E62FE8" w:rsidP="001743EC">
      <w:pPr>
        <w:pStyle w:val="4"/>
        <w:rPr>
          <w:rFonts w:hAnsi="標楷體"/>
        </w:rPr>
      </w:pPr>
      <w:r w:rsidRPr="00BE562A">
        <w:rPr>
          <w:rFonts w:hAnsi="標楷體" w:hint="eastAsia"/>
        </w:rPr>
        <w:t>「</w:t>
      </w:r>
      <w:r w:rsidR="001743EC" w:rsidRPr="00BE562A">
        <w:rPr>
          <w:rFonts w:hAnsi="標楷體" w:hint="eastAsia"/>
        </w:rPr>
        <w:t>三、計畫執行步驟與方法</w:t>
      </w:r>
      <w:r w:rsidRPr="00BE562A">
        <w:rPr>
          <w:rFonts w:hAnsi="標楷體" w:hint="eastAsia"/>
        </w:rPr>
        <w:t>」</w:t>
      </w:r>
      <w:r w:rsidR="00447786" w:rsidRPr="00BE562A">
        <w:rPr>
          <w:rFonts w:hAnsi="標楷體" w:hint="eastAsia"/>
        </w:rPr>
        <w:t>：</w:t>
      </w:r>
      <w:r w:rsidR="001743EC" w:rsidRPr="00BE562A">
        <w:rPr>
          <w:rFonts w:hAnsi="標楷體"/>
        </w:rPr>
        <w:t>……</w:t>
      </w:r>
      <w:r w:rsidR="001743EC" w:rsidRPr="00BE562A">
        <w:rPr>
          <w:rFonts w:hAnsi="標楷體" w:hint="eastAsia"/>
        </w:rPr>
        <w:t>第三章、改善醫事人員執業環境，充實醫事人力</w:t>
      </w:r>
      <w:r w:rsidR="00447786" w:rsidRPr="00BE562A">
        <w:rPr>
          <w:rFonts w:hAnsi="標楷體" w:hint="eastAsia"/>
        </w:rPr>
        <w:t>：</w:t>
      </w:r>
      <w:r w:rsidR="001743EC" w:rsidRPr="00BE562A">
        <w:rPr>
          <w:rFonts w:hAnsi="標楷體"/>
        </w:rPr>
        <w:t>……</w:t>
      </w:r>
      <w:r w:rsidR="001743EC" w:rsidRPr="00BE562A">
        <w:rPr>
          <w:rFonts w:hAnsi="標楷體" w:hint="eastAsia"/>
        </w:rPr>
        <w:t>第五節、充實並留置偏遠地區醫事人力</w:t>
      </w:r>
      <w:r w:rsidR="00447786" w:rsidRPr="00BE562A">
        <w:rPr>
          <w:rFonts w:hAnsi="標楷體" w:hint="eastAsia"/>
        </w:rPr>
        <w:t>：</w:t>
      </w:r>
      <w:r w:rsidR="001743EC" w:rsidRPr="00BE562A">
        <w:rPr>
          <w:rFonts w:hAnsi="標楷體" w:hint="eastAsia"/>
        </w:rPr>
        <w:t>「</w:t>
      </w:r>
      <w:r w:rsidR="001743EC" w:rsidRPr="00BE562A">
        <w:rPr>
          <w:rFonts w:hAnsi="標楷體"/>
        </w:rPr>
        <w:t>……</w:t>
      </w:r>
      <w:r w:rsidR="001743EC" w:rsidRPr="00BE562A">
        <w:rPr>
          <w:rFonts w:hAnsi="標楷體" w:hint="eastAsia"/>
        </w:rPr>
        <w:t>目前本部所屬醫院多數位處偏遠或醫療資源缺乏之地區，其營運狀況、醫療設備、醫師人力科別需求各有不同</w:t>
      </w:r>
      <w:r w:rsidR="00C747FA" w:rsidRPr="00BE562A">
        <w:rPr>
          <w:rFonts w:hAnsi="標楷體"/>
        </w:rPr>
        <w:t>……</w:t>
      </w:r>
      <w:r w:rsidR="001743EC" w:rsidRPr="00BE562A">
        <w:rPr>
          <w:rFonts w:hAnsi="標楷體" w:hint="eastAsia"/>
        </w:rPr>
        <w:t>。此外，各院缺乏明確的在地功能定位，及院際間總體統合調度之機制，故人力運用多僅限於短期救急，以致偏遠醫院運用服務模式運作，一直未有專科人力支援策略性規劃。</w:t>
      </w:r>
      <w:r w:rsidR="00C747FA" w:rsidRPr="00BE562A">
        <w:rPr>
          <w:rFonts w:hAnsi="標楷體"/>
        </w:rPr>
        <w:t>……</w:t>
      </w:r>
      <w:r w:rsidR="001743EC" w:rsidRPr="00BE562A">
        <w:rPr>
          <w:rFonts w:hAnsi="標楷體" w:hint="eastAsia"/>
        </w:rPr>
        <w:t>」，其策略作法</w:t>
      </w:r>
      <w:r w:rsidR="00447786" w:rsidRPr="00BE562A">
        <w:rPr>
          <w:rFonts w:hAnsi="標楷體" w:hint="eastAsia"/>
        </w:rPr>
        <w:t>：</w:t>
      </w:r>
      <w:r w:rsidR="001743EC" w:rsidRPr="00BE562A">
        <w:rPr>
          <w:rFonts w:hAnsi="標楷體" w:hint="eastAsia"/>
        </w:rPr>
        <w:t>「</w:t>
      </w:r>
      <w:r w:rsidR="001743EC" w:rsidRPr="00BE562A">
        <w:rPr>
          <w:rFonts w:hAnsi="標楷體"/>
        </w:rPr>
        <w:t>……(六)調查偏遠地區本部所屬醫院欠缺之基本專科需求，並盤整專科醫師人力結構，提供偏遠地區本部所屬醫院欠缺之診療科別及人力，以符合醫院運作，強化偏遠醫院在地角色與功能。」</w:t>
      </w:r>
      <w:r w:rsidR="00D42B40" w:rsidRPr="00BE562A">
        <w:rPr>
          <w:rFonts w:hAnsi="標楷體" w:hint="eastAsia"/>
        </w:rPr>
        <w:t>基上，衛福部為促進醫療資源均衡發展，訂有醫療網計畫，</w:t>
      </w:r>
      <w:r w:rsidR="00A6719F" w:rsidRPr="00BE562A">
        <w:rPr>
          <w:rFonts w:hAnsi="標楷體" w:hint="eastAsia"/>
        </w:rPr>
        <w:t>鑑於</w:t>
      </w:r>
      <w:r w:rsidR="00D42B40" w:rsidRPr="00BE562A">
        <w:rPr>
          <w:rFonts w:hAnsi="標楷體" w:hint="eastAsia"/>
        </w:rPr>
        <w:t>該部</w:t>
      </w:r>
      <w:r w:rsidR="00046175" w:rsidRPr="00BE562A">
        <w:rPr>
          <w:rFonts w:hAnsi="標楷體" w:hint="eastAsia"/>
        </w:rPr>
        <w:t>部立醫院</w:t>
      </w:r>
      <w:r w:rsidR="00D42B40" w:rsidRPr="00BE562A">
        <w:rPr>
          <w:rFonts w:hAnsi="標楷體" w:hint="eastAsia"/>
        </w:rPr>
        <w:t>多數位處偏遠或醫療資源缺乏之地區，其營運狀況、醫療設備、醫師人力科別需求各有不同，</w:t>
      </w:r>
      <w:r w:rsidR="00A6719F" w:rsidRPr="00BE562A">
        <w:rPr>
          <w:rFonts w:hAnsi="標楷體" w:hint="eastAsia"/>
        </w:rPr>
        <w:t>爰</w:t>
      </w:r>
      <w:r w:rsidR="00A6719F" w:rsidRPr="00BE562A">
        <w:rPr>
          <w:rFonts w:hAnsi="標楷體" w:hint="eastAsia"/>
        </w:rPr>
        <w:lastRenderedPageBreak/>
        <w:t>檢討</w:t>
      </w:r>
      <w:r w:rsidR="00D42B40" w:rsidRPr="00BE562A">
        <w:rPr>
          <w:rFonts w:hAnsi="標楷體" w:hint="eastAsia"/>
        </w:rPr>
        <w:t>盤整</w:t>
      </w:r>
      <w:r w:rsidR="00A6719F" w:rsidRPr="00BE562A">
        <w:rPr>
          <w:rFonts w:hAnsi="標楷體" w:hint="eastAsia"/>
        </w:rPr>
        <w:t>各院</w:t>
      </w:r>
      <w:r w:rsidR="00D42B40" w:rsidRPr="00BE562A">
        <w:rPr>
          <w:rFonts w:hAnsi="標楷體" w:hint="eastAsia"/>
        </w:rPr>
        <w:t>專科醫師人力結構，提供偏遠地區</w:t>
      </w:r>
      <w:r w:rsidR="00046175" w:rsidRPr="00BE562A">
        <w:rPr>
          <w:rFonts w:hAnsi="標楷體" w:hint="eastAsia"/>
        </w:rPr>
        <w:t>部立醫院</w:t>
      </w:r>
      <w:r w:rsidR="00D42B40" w:rsidRPr="00BE562A">
        <w:rPr>
          <w:rFonts w:hAnsi="標楷體" w:hint="eastAsia"/>
        </w:rPr>
        <w:t>欠缺之診療科別及人力，以符合醫院運作，強化該院在地角色與功能。</w:t>
      </w:r>
    </w:p>
    <w:p w:rsidR="00CC104D" w:rsidRPr="00BE562A" w:rsidRDefault="00490711" w:rsidP="00CC104D">
      <w:pPr>
        <w:pStyle w:val="3"/>
        <w:rPr>
          <w:rFonts w:hAnsi="標楷體"/>
          <w:kern w:val="0"/>
          <w:szCs w:val="52"/>
        </w:rPr>
      </w:pPr>
      <w:r w:rsidRPr="00BE562A">
        <w:rPr>
          <w:rFonts w:hAnsi="標楷體" w:hint="eastAsia"/>
          <w:kern w:val="0"/>
          <w:szCs w:val="52"/>
        </w:rPr>
        <w:t>衛福部</w:t>
      </w:r>
      <w:r w:rsidR="00CC104D" w:rsidRPr="00BE562A">
        <w:rPr>
          <w:rFonts w:hAnsi="標楷體" w:hint="eastAsia"/>
          <w:kern w:val="0"/>
          <w:szCs w:val="52"/>
        </w:rPr>
        <w:t>為達成</w:t>
      </w:r>
      <w:r w:rsidR="00046175" w:rsidRPr="00BE562A">
        <w:rPr>
          <w:rFonts w:hAnsi="標楷體" w:hint="eastAsia"/>
          <w:kern w:val="0"/>
          <w:szCs w:val="52"/>
        </w:rPr>
        <w:t>部立醫院</w:t>
      </w:r>
      <w:r w:rsidR="00CC104D" w:rsidRPr="00BE562A">
        <w:rPr>
          <w:rFonts w:hAnsi="標楷體" w:hint="eastAsia"/>
          <w:kern w:val="0"/>
          <w:szCs w:val="52"/>
        </w:rPr>
        <w:t>轉型目標及改善醫事人力服務量能，</w:t>
      </w:r>
      <w:r w:rsidR="00CC104D" w:rsidRPr="00BE562A">
        <w:rPr>
          <w:rFonts w:hAnsi="標楷體" w:hint="eastAsia"/>
        </w:rPr>
        <w:t>自103年辦理</w:t>
      </w:r>
      <w:r w:rsidR="000C1302">
        <w:rPr>
          <w:rFonts w:hAnsi="標楷體" w:hint="eastAsia"/>
        </w:rPr>
        <w:t>「衛生福利部</w:t>
      </w:r>
      <w:r w:rsidR="00CC104D" w:rsidRPr="00BE562A">
        <w:rPr>
          <w:rFonts w:hAnsi="標楷體" w:hint="eastAsia"/>
        </w:rPr>
        <w:t>所屬醫療機構種子醫院計畫</w:t>
      </w:r>
      <w:r w:rsidR="00DF201A" w:rsidRPr="00BE562A">
        <w:rPr>
          <w:rStyle w:val="aff"/>
          <w:rFonts w:hAnsi="標楷體"/>
        </w:rPr>
        <w:footnoteReference w:id="3"/>
      </w:r>
      <w:r w:rsidR="00CC104D" w:rsidRPr="00BE562A">
        <w:rPr>
          <w:rFonts w:hAnsi="標楷體" w:hint="eastAsia"/>
        </w:rPr>
        <w:t>」及自102年推動</w:t>
      </w:r>
      <w:r w:rsidR="000C1302">
        <w:rPr>
          <w:rFonts w:hAnsi="標楷體" w:hint="eastAsia"/>
        </w:rPr>
        <w:t>「衛生福利部</w:t>
      </w:r>
      <w:r w:rsidR="00CC104D" w:rsidRPr="00BE562A">
        <w:rPr>
          <w:rFonts w:hAnsi="標楷體" w:hint="eastAsia"/>
        </w:rPr>
        <w:t>所屬偏遠地區醫院重整服務效能計畫</w:t>
      </w:r>
      <w:r w:rsidR="00DF201A" w:rsidRPr="00BE562A">
        <w:rPr>
          <w:rStyle w:val="aff"/>
          <w:rFonts w:hAnsi="標楷體"/>
        </w:rPr>
        <w:footnoteReference w:id="4"/>
      </w:r>
      <w:r w:rsidR="00CC104D" w:rsidRPr="00BE562A">
        <w:rPr>
          <w:rFonts w:hAnsi="標楷體" w:hint="eastAsia"/>
        </w:rPr>
        <w:t>」</w:t>
      </w:r>
      <w:r w:rsidR="00DF201A" w:rsidRPr="00BE562A">
        <w:rPr>
          <w:rFonts w:hAnsi="標楷體" w:hint="eastAsia"/>
        </w:rPr>
        <w:t>，</w:t>
      </w:r>
      <w:r w:rsidR="0000626D" w:rsidRPr="00BE562A">
        <w:rPr>
          <w:rFonts w:hAnsi="標楷體" w:hint="eastAsia"/>
        </w:rPr>
        <w:t>經審計部查核衛福部醫療藥品基金106年1至8月財務收支情形，</w:t>
      </w:r>
      <w:r w:rsidR="00CC104D" w:rsidRPr="00BE562A">
        <w:rPr>
          <w:rFonts w:hAnsi="標楷體" w:hint="eastAsia"/>
          <w:kern w:val="0"/>
          <w:szCs w:val="52"/>
        </w:rPr>
        <w:t>相關業務推動有：「所屬醫院定位為社區型醫院，多數已加入健保腦中風急性後期照護計畫，惟囿於專科醫師人力不足或未主動與當地基層診所合作，仍有部分醫院未加入健保居家醫療照護整合計畫及健保家庭醫師整合性照護計畫社區醫療群，</w:t>
      </w:r>
      <w:r w:rsidR="00C338FF" w:rsidRPr="00BE562A">
        <w:rPr>
          <w:rFonts w:hAnsi="標楷體"/>
          <w:kern w:val="0"/>
          <w:szCs w:val="52"/>
        </w:rPr>
        <w:t>……</w:t>
      </w:r>
      <w:r w:rsidR="00CC104D" w:rsidRPr="00BE562A">
        <w:rPr>
          <w:rFonts w:hAnsi="標楷體" w:hint="eastAsia"/>
          <w:kern w:val="0"/>
          <w:szCs w:val="52"/>
        </w:rPr>
        <w:t>」一項缺失</w:t>
      </w:r>
      <w:r w:rsidR="00D97DB4" w:rsidRPr="00BE562A">
        <w:rPr>
          <w:rFonts w:hAnsi="標楷體" w:hint="eastAsia"/>
          <w:kern w:val="0"/>
          <w:szCs w:val="52"/>
        </w:rPr>
        <w:t>略以</w:t>
      </w:r>
      <w:r w:rsidR="00CC104D" w:rsidRPr="00BE562A">
        <w:rPr>
          <w:rFonts w:hAnsi="標楷體" w:hint="eastAsia"/>
          <w:kern w:val="0"/>
          <w:szCs w:val="52"/>
        </w:rPr>
        <w:t>：</w:t>
      </w:r>
    </w:p>
    <w:p w:rsidR="00CC104D" w:rsidRPr="00BE562A" w:rsidRDefault="00CC104D" w:rsidP="00CC104D">
      <w:pPr>
        <w:pStyle w:val="4"/>
        <w:numPr>
          <w:ilvl w:val="3"/>
          <w:numId w:val="32"/>
        </w:numPr>
        <w:rPr>
          <w:rFonts w:hAnsi="標楷體"/>
        </w:rPr>
      </w:pPr>
      <w:r w:rsidRPr="00BE562A">
        <w:rPr>
          <w:rFonts w:hAnsi="標楷體" w:hint="eastAsia"/>
        </w:rPr>
        <w:t>統計105年</w:t>
      </w:r>
      <w:r w:rsidR="00046175" w:rsidRPr="00BE562A">
        <w:rPr>
          <w:rFonts w:hAnsi="標楷體" w:hint="eastAsia"/>
        </w:rPr>
        <w:t>部立醫院</w:t>
      </w:r>
      <w:r w:rsidRPr="00BE562A">
        <w:rPr>
          <w:rFonts w:hAnsi="標楷體" w:hint="eastAsia"/>
        </w:rPr>
        <w:t>參加</w:t>
      </w:r>
      <w:r w:rsidR="00DE215B" w:rsidRPr="00BE562A">
        <w:rPr>
          <w:rFonts w:hAnsi="標楷體" w:hint="eastAsia"/>
          <w:kern w:val="0"/>
          <w:szCs w:val="52"/>
        </w:rPr>
        <w:t>「</w:t>
      </w:r>
      <w:r w:rsidR="0073536E" w:rsidRPr="00BE562A">
        <w:rPr>
          <w:rFonts w:hAnsi="標楷體" w:hint="eastAsia"/>
        </w:rPr>
        <w:t>全民健康保險</w:t>
      </w:r>
      <w:r w:rsidRPr="00BE562A">
        <w:rPr>
          <w:rFonts w:hAnsi="標楷體" w:hint="eastAsia"/>
        </w:rPr>
        <w:t>急性後期</w:t>
      </w:r>
      <w:r w:rsidR="0073536E" w:rsidRPr="00BE562A">
        <w:rPr>
          <w:rFonts w:hAnsi="標楷體" w:hint="eastAsia"/>
        </w:rPr>
        <w:t>整合</w:t>
      </w:r>
      <w:r w:rsidRPr="00BE562A">
        <w:rPr>
          <w:rFonts w:hAnsi="標楷體" w:hint="eastAsia"/>
        </w:rPr>
        <w:t>照護計畫</w:t>
      </w:r>
      <w:r w:rsidR="00DE215B" w:rsidRPr="00BE562A">
        <w:rPr>
          <w:rFonts w:hAnsi="標楷體" w:hint="eastAsia"/>
          <w:kern w:val="0"/>
          <w:szCs w:val="52"/>
        </w:rPr>
        <w:t>」</w:t>
      </w:r>
      <w:r w:rsidR="0073536E" w:rsidRPr="00BE562A">
        <w:rPr>
          <w:rFonts w:hAnsi="標楷體" w:hint="eastAsia"/>
        </w:rPr>
        <w:t>(下稱急性後期整合照護計畫)</w:t>
      </w:r>
      <w:r w:rsidRPr="00BE562A">
        <w:rPr>
          <w:rFonts w:hAnsi="標楷體" w:hint="eastAsia"/>
        </w:rPr>
        <w:t>情形，26家所屬醫院及4家分院中，除5家精神專科醫院外，餘25家醫院已有20家參與計畫提供服務，占</w:t>
      </w:r>
      <w:r w:rsidR="00046175" w:rsidRPr="00BE562A">
        <w:rPr>
          <w:rFonts w:hAnsi="標楷體" w:hint="eastAsia"/>
        </w:rPr>
        <w:t>部立醫院</w:t>
      </w:r>
      <w:r w:rsidRPr="00BE562A">
        <w:rPr>
          <w:rFonts w:hAnsi="標楷體" w:hint="eastAsia"/>
        </w:rPr>
        <w:t>多數，餘未參與者多為分院等小規模醫院。</w:t>
      </w:r>
    </w:p>
    <w:p w:rsidR="00CC104D" w:rsidRPr="00BE562A" w:rsidRDefault="00CC104D" w:rsidP="00CC104D">
      <w:pPr>
        <w:pStyle w:val="4"/>
        <w:rPr>
          <w:rFonts w:hAnsi="標楷體"/>
        </w:rPr>
      </w:pPr>
      <w:r w:rsidRPr="00BE562A">
        <w:rPr>
          <w:rFonts w:hAnsi="標楷體" w:hint="eastAsia"/>
        </w:rPr>
        <w:t>截至審計部查核截止日</w:t>
      </w:r>
      <w:r w:rsidR="00447786" w:rsidRPr="00BE562A">
        <w:rPr>
          <w:rFonts w:hAnsi="標楷體"/>
        </w:rPr>
        <w:t>(</w:t>
      </w:r>
      <w:r w:rsidRPr="00BE562A">
        <w:rPr>
          <w:rFonts w:hAnsi="標楷體" w:hint="eastAsia"/>
        </w:rPr>
        <w:t>106年11月10日</w:t>
      </w:r>
      <w:r w:rsidR="00447786" w:rsidRPr="00BE562A">
        <w:rPr>
          <w:rFonts w:hAnsi="標楷體"/>
        </w:rPr>
        <w:t>)</w:t>
      </w:r>
      <w:r w:rsidRPr="00BE562A">
        <w:rPr>
          <w:rFonts w:hAnsi="標楷體" w:hint="eastAsia"/>
        </w:rPr>
        <w:t>，26家所屬醫院及4家分院中，除5家精神專科醫院不符參與條件外，仍有5家醫院尚未參與</w:t>
      </w:r>
      <w:r w:rsidR="00DE215B" w:rsidRPr="00BE562A">
        <w:rPr>
          <w:rFonts w:hAnsi="標楷體" w:hint="eastAsia"/>
          <w:kern w:val="0"/>
          <w:szCs w:val="52"/>
        </w:rPr>
        <w:t>「</w:t>
      </w:r>
      <w:r w:rsidR="0073536E" w:rsidRPr="00BE562A">
        <w:rPr>
          <w:rFonts w:hAnsi="標楷體" w:hint="eastAsia"/>
        </w:rPr>
        <w:t>全民健康保險</w:t>
      </w:r>
      <w:r w:rsidRPr="00BE562A">
        <w:rPr>
          <w:rFonts w:hAnsi="標楷體" w:hint="eastAsia"/>
        </w:rPr>
        <w:t>居家醫療照護整合計畫</w:t>
      </w:r>
      <w:r w:rsidR="00DE215B" w:rsidRPr="00BE562A">
        <w:rPr>
          <w:rFonts w:hAnsi="標楷體" w:hint="eastAsia"/>
          <w:kern w:val="0"/>
          <w:szCs w:val="52"/>
        </w:rPr>
        <w:t>」</w:t>
      </w:r>
      <w:r w:rsidR="0073536E" w:rsidRPr="00BE562A">
        <w:rPr>
          <w:rFonts w:hAnsi="標楷體" w:hint="eastAsia"/>
        </w:rPr>
        <w:t>(下稱居家醫療照護整合計畫)</w:t>
      </w:r>
      <w:r w:rsidRPr="00BE562A">
        <w:rPr>
          <w:rFonts w:hAnsi="標楷體" w:hint="eastAsia"/>
        </w:rPr>
        <w:t>，據衛福部說明，主要係專科醫師人力不足或資格欠缺，爰無法符合計畫參與條件。</w:t>
      </w:r>
    </w:p>
    <w:p w:rsidR="00CC104D" w:rsidRPr="00BE562A" w:rsidRDefault="00CC104D" w:rsidP="00CC104D">
      <w:pPr>
        <w:pStyle w:val="4"/>
        <w:rPr>
          <w:rFonts w:hAnsi="標楷體"/>
        </w:rPr>
      </w:pPr>
      <w:r w:rsidRPr="00BE562A">
        <w:rPr>
          <w:rFonts w:hAnsi="標楷體" w:hint="eastAsia"/>
        </w:rPr>
        <w:t>截至106年9月25日止，26家所屬醫院及4家分院中，除</w:t>
      </w:r>
      <w:r w:rsidR="00F8105D" w:rsidRPr="00BE562A">
        <w:rPr>
          <w:rFonts w:hAnsi="標楷體" w:hint="eastAsia"/>
        </w:rPr>
        <w:t>衛福部</w:t>
      </w:r>
      <w:r w:rsidRPr="00BE562A">
        <w:rPr>
          <w:rFonts w:hAnsi="標楷體" w:hint="eastAsia"/>
        </w:rPr>
        <w:t>花蓮醫院豐濱原住民分院</w:t>
      </w:r>
      <w:r w:rsidR="00F8105D" w:rsidRPr="00BE562A">
        <w:rPr>
          <w:rFonts w:hAnsi="標楷體" w:hint="eastAsia"/>
        </w:rPr>
        <w:t>(下稱花</w:t>
      </w:r>
      <w:r w:rsidR="00F8105D" w:rsidRPr="00BE562A">
        <w:rPr>
          <w:rFonts w:hAnsi="標楷體" w:hint="eastAsia"/>
        </w:rPr>
        <w:lastRenderedPageBreak/>
        <w:t>蓮醫院豐濱分院)</w:t>
      </w:r>
      <w:r w:rsidRPr="00BE562A">
        <w:rPr>
          <w:rFonts w:hAnsi="標楷體" w:hint="eastAsia"/>
        </w:rPr>
        <w:t>所處豐濱鄉無其他診所可合作成立社區醫療群外，仍有9家醫院尚未參與社區醫療群，未主動與當地基層診所合作。</w:t>
      </w:r>
    </w:p>
    <w:p w:rsidR="00A625BC" w:rsidRPr="00BE562A" w:rsidRDefault="00EE0CD9" w:rsidP="001743EC">
      <w:pPr>
        <w:pStyle w:val="3"/>
        <w:rPr>
          <w:rFonts w:hAnsi="標楷體"/>
        </w:rPr>
      </w:pPr>
      <w:r w:rsidRPr="00BE562A">
        <w:rPr>
          <w:rFonts w:hAnsi="標楷體" w:hint="eastAsia"/>
        </w:rPr>
        <w:t>衛福部針對</w:t>
      </w:r>
      <w:r w:rsidR="00F4114B" w:rsidRPr="00BE562A">
        <w:rPr>
          <w:rFonts w:hAnsi="標楷體" w:hint="eastAsia"/>
        </w:rPr>
        <w:t>上開</w:t>
      </w:r>
      <w:r w:rsidRPr="00BE562A">
        <w:rPr>
          <w:rFonts w:hAnsi="標楷體" w:hint="eastAsia"/>
        </w:rPr>
        <w:t>審計部之查核說明如下</w:t>
      </w:r>
      <w:r w:rsidR="00447786" w:rsidRPr="00BE562A">
        <w:rPr>
          <w:rFonts w:hAnsi="標楷體" w:hint="eastAsia"/>
        </w:rPr>
        <w:t>：</w:t>
      </w:r>
    </w:p>
    <w:p w:rsidR="00EE0CD9" w:rsidRPr="00BE562A" w:rsidRDefault="00F4114B" w:rsidP="00DF60C6">
      <w:pPr>
        <w:pStyle w:val="4"/>
        <w:rPr>
          <w:rFonts w:hAnsi="標楷體"/>
        </w:rPr>
      </w:pPr>
      <w:r w:rsidRPr="00BE562A">
        <w:rPr>
          <w:rFonts w:hAnsi="標楷體" w:hint="eastAsia"/>
        </w:rPr>
        <w:t>有關</w:t>
      </w:r>
      <w:r w:rsidR="00046175" w:rsidRPr="00BE562A">
        <w:rPr>
          <w:rFonts w:hAnsi="標楷體" w:hint="eastAsia"/>
        </w:rPr>
        <w:t>部立醫院</w:t>
      </w:r>
      <w:r w:rsidR="00EE0CD9" w:rsidRPr="00BE562A">
        <w:rPr>
          <w:rFonts w:hAnsi="標楷體" w:hint="eastAsia"/>
        </w:rPr>
        <w:t>參加</w:t>
      </w:r>
      <w:r w:rsidR="009A3002" w:rsidRPr="00BE562A">
        <w:rPr>
          <w:rFonts w:hAnsi="標楷體" w:hint="eastAsia"/>
        </w:rPr>
        <w:t>急性後期整合照護計畫</w:t>
      </w:r>
      <w:r w:rsidR="00DA4433" w:rsidRPr="00BE562A">
        <w:rPr>
          <w:rFonts w:hAnsi="標楷體" w:hint="eastAsia"/>
        </w:rPr>
        <w:t>一項</w:t>
      </w:r>
      <w:r w:rsidR="00EE0CD9" w:rsidRPr="00BE562A">
        <w:rPr>
          <w:rFonts w:hAnsi="標楷體" w:hint="eastAsia"/>
        </w:rPr>
        <w:t>：</w:t>
      </w:r>
      <w:r w:rsidR="00DF60C6" w:rsidRPr="00BE562A">
        <w:rPr>
          <w:rFonts w:hAnsi="標楷體" w:hint="eastAsia"/>
        </w:rPr>
        <w:t>除</w:t>
      </w:r>
      <w:r w:rsidR="009A3002" w:rsidRPr="00BE562A">
        <w:rPr>
          <w:rFonts w:hAnsi="標楷體" w:hint="eastAsia"/>
        </w:rPr>
        <w:t>衛福部之</w:t>
      </w:r>
      <w:r w:rsidR="00DF60C6" w:rsidRPr="00BE562A">
        <w:rPr>
          <w:rFonts w:hAnsi="標楷體" w:hint="eastAsia"/>
        </w:rPr>
        <w:t>八里療養院、桃園療養院、草屯療養院、嘉南療養院、玉里醫院等5家精神專科醫院，未符合參與計畫之資格，故未參與。</w:t>
      </w:r>
      <w:r w:rsidR="009A3002" w:rsidRPr="00BE562A">
        <w:rPr>
          <w:rFonts w:hAnsi="標楷體" w:hint="eastAsia"/>
        </w:rPr>
        <w:t>衛福部之</w:t>
      </w:r>
      <w:r w:rsidR="00EE0CD9" w:rsidRPr="00BE562A">
        <w:rPr>
          <w:rFonts w:hAnsi="標楷體" w:hint="eastAsia"/>
        </w:rPr>
        <w:t>嘉義醫院已於105年9月申請計畫</w:t>
      </w:r>
      <w:r w:rsidR="00AC769C" w:rsidRPr="00BE562A">
        <w:rPr>
          <w:rFonts w:hAnsi="標楷體" w:hint="eastAsia"/>
        </w:rPr>
        <w:t>，</w:t>
      </w:r>
      <w:r w:rsidR="009A3002" w:rsidRPr="00BE562A">
        <w:rPr>
          <w:rFonts w:hAnsi="標楷體" w:hint="eastAsia"/>
        </w:rPr>
        <w:t>該部之</w:t>
      </w:r>
      <w:r w:rsidR="00EE0CD9" w:rsidRPr="00BE562A">
        <w:rPr>
          <w:rFonts w:hAnsi="標楷體" w:hint="eastAsia"/>
        </w:rPr>
        <w:t>臺南醫院新化分院、臺東醫院成功分院、花蓮醫院豐濱分院因屬分院及人力受限，未參與計畫，但其院本部皆有參與該是項計畫，可提供相關服務。</w:t>
      </w:r>
    </w:p>
    <w:p w:rsidR="00EE0CD9" w:rsidRPr="00BE562A" w:rsidRDefault="00DA4433" w:rsidP="00CA7771">
      <w:pPr>
        <w:pStyle w:val="4"/>
        <w:rPr>
          <w:rFonts w:hAnsi="標楷體"/>
          <w:kern w:val="0"/>
          <w:szCs w:val="52"/>
        </w:rPr>
      </w:pPr>
      <w:r w:rsidRPr="00BE562A">
        <w:rPr>
          <w:rFonts w:hAnsi="標楷體" w:hint="eastAsia"/>
        </w:rPr>
        <w:t>有關</w:t>
      </w:r>
      <w:r w:rsidR="00046175" w:rsidRPr="00BE562A">
        <w:rPr>
          <w:rFonts w:hAnsi="標楷體" w:hint="eastAsia"/>
        </w:rPr>
        <w:t>部立醫院</w:t>
      </w:r>
      <w:r w:rsidR="00EE0CD9" w:rsidRPr="00BE562A">
        <w:rPr>
          <w:rFonts w:hAnsi="標楷體" w:hint="eastAsia"/>
        </w:rPr>
        <w:t>未參與</w:t>
      </w:r>
      <w:r w:rsidR="009A3002" w:rsidRPr="00BE562A">
        <w:rPr>
          <w:rFonts w:hAnsi="標楷體" w:hint="eastAsia"/>
        </w:rPr>
        <w:t>居家醫療照護整合計畫</w:t>
      </w:r>
      <w:r w:rsidRPr="00BE562A">
        <w:rPr>
          <w:rFonts w:hAnsi="標楷體" w:hint="eastAsia"/>
        </w:rPr>
        <w:t>一項</w:t>
      </w:r>
      <w:r w:rsidR="00EE0CD9" w:rsidRPr="00BE562A">
        <w:rPr>
          <w:rFonts w:hAnsi="標楷體" w:hint="eastAsia"/>
        </w:rPr>
        <w:t>：所屬26家醫院，扣除5家精神專科醫院未能符合資格而未加入外，其餘醫院均已加入</w:t>
      </w:r>
      <w:r w:rsidR="009A3002" w:rsidRPr="00BE562A">
        <w:rPr>
          <w:rFonts w:hAnsi="標楷體" w:hint="eastAsia"/>
        </w:rPr>
        <w:t>居家醫療照護整合計畫</w:t>
      </w:r>
      <w:r w:rsidR="00CA7771" w:rsidRPr="00BE562A">
        <w:rPr>
          <w:rFonts w:hAnsi="標楷體" w:hint="eastAsia"/>
        </w:rPr>
        <w:t>，而</w:t>
      </w:r>
      <w:r w:rsidR="009A3002" w:rsidRPr="00BE562A">
        <w:rPr>
          <w:rFonts w:hAnsi="標楷體" w:hint="eastAsia"/>
        </w:rPr>
        <w:t>衛福部</w:t>
      </w:r>
      <w:r w:rsidR="00EE0CD9" w:rsidRPr="00BE562A">
        <w:rPr>
          <w:rFonts w:hAnsi="標楷體" w:hint="eastAsia"/>
        </w:rPr>
        <w:t>臺東醫院成功分院因地處偏遠，大部分專科醫師人力尚需靠臺東醫院本院支援，</w:t>
      </w:r>
      <w:r w:rsidR="00CA7771" w:rsidRPr="00BE562A">
        <w:rPr>
          <w:rFonts w:hAnsi="標楷體" w:hint="eastAsia"/>
        </w:rPr>
        <w:t>無法</w:t>
      </w:r>
      <w:r w:rsidR="00EE0CD9" w:rsidRPr="00BE562A">
        <w:rPr>
          <w:rFonts w:hAnsi="標楷體" w:hint="eastAsia"/>
        </w:rPr>
        <w:t>提供外展式的居家醫療服務，故未提出申請。</w:t>
      </w:r>
    </w:p>
    <w:p w:rsidR="004E4C5F" w:rsidRPr="00BE562A" w:rsidRDefault="00CA7771" w:rsidP="00A53259">
      <w:pPr>
        <w:pStyle w:val="4"/>
        <w:rPr>
          <w:rFonts w:hAnsi="標楷體"/>
          <w:bCs/>
          <w:kern w:val="0"/>
          <w:szCs w:val="52"/>
        </w:rPr>
      </w:pPr>
      <w:r w:rsidRPr="00BE562A">
        <w:rPr>
          <w:rFonts w:hAnsi="標楷體" w:hint="eastAsia"/>
        </w:rPr>
        <w:t>有關</w:t>
      </w:r>
      <w:r w:rsidR="00046175" w:rsidRPr="00BE562A">
        <w:rPr>
          <w:rFonts w:hAnsi="標楷體" w:hint="eastAsia"/>
        </w:rPr>
        <w:t>部立醫院</w:t>
      </w:r>
      <w:r w:rsidR="00EE0CD9" w:rsidRPr="00BE562A">
        <w:rPr>
          <w:rFonts w:hAnsi="標楷體" w:hint="eastAsia"/>
        </w:rPr>
        <w:t>未參與</w:t>
      </w:r>
      <w:r w:rsidR="00DE215B" w:rsidRPr="00BE562A">
        <w:rPr>
          <w:rFonts w:hAnsi="標楷體" w:hint="eastAsia"/>
          <w:kern w:val="0"/>
          <w:szCs w:val="52"/>
        </w:rPr>
        <w:t>「</w:t>
      </w:r>
      <w:r w:rsidR="009A3002" w:rsidRPr="00BE562A">
        <w:rPr>
          <w:rFonts w:hAnsi="標楷體" w:hint="eastAsia"/>
        </w:rPr>
        <w:t>全民健康保險</w:t>
      </w:r>
      <w:r w:rsidR="0085589C" w:rsidRPr="00BE562A">
        <w:rPr>
          <w:rFonts w:hAnsi="標楷體" w:hint="eastAsia"/>
        </w:rPr>
        <w:t>家庭醫師整合性照護計畫</w:t>
      </w:r>
      <w:r w:rsidR="00DE215B" w:rsidRPr="00BE562A">
        <w:rPr>
          <w:rFonts w:hAnsi="標楷體" w:hint="eastAsia"/>
          <w:kern w:val="0"/>
          <w:szCs w:val="52"/>
        </w:rPr>
        <w:t>」</w:t>
      </w:r>
      <w:r w:rsidR="009A3002" w:rsidRPr="00BE562A">
        <w:rPr>
          <w:rFonts w:hAnsi="標楷體" w:hint="eastAsia"/>
        </w:rPr>
        <w:t>(下稱家庭醫師整合性照護計畫)</w:t>
      </w:r>
      <w:r w:rsidRPr="00BE562A">
        <w:rPr>
          <w:rFonts w:hAnsi="標楷體" w:hint="eastAsia"/>
        </w:rPr>
        <w:t>一項</w:t>
      </w:r>
      <w:r w:rsidR="00EE0CD9" w:rsidRPr="00BE562A">
        <w:rPr>
          <w:rFonts w:hAnsi="標楷體" w:hint="eastAsia"/>
        </w:rPr>
        <w:t>：</w:t>
      </w:r>
      <w:r w:rsidR="004E4C5F" w:rsidRPr="00BE562A">
        <w:rPr>
          <w:rFonts w:hAnsi="標楷體" w:hint="eastAsia"/>
        </w:rPr>
        <w:t>所屬26家醫院扣除部分精神專科醫院未能符合</w:t>
      </w:r>
      <w:r w:rsidR="0085589C" w:rsidRPr="00BE562A">
        <w:rPr>
          <w:rFonts w:hAnsi="標楷體" w:hint="eastAsia"/>
        </w:rPr>
        <w:t>家庭醫師整合性照護計畫</w:t>
      </w:r>
      <w:r w:rsidR="004E4C5F" w:rsidRPr="00BE562A">
        <w:rPr>
          <w:rFonts w:hAnsi="標楷體" w:hint="eastAsia"/>
        </w:rPr>
        <w:t>參加資格，及花蓮醫院豐濱分院、</w:t>
      </w:r>
      <w:r w:rsidR="009A3002" w:rsidRPr="00BE562A">
        <w:rPr>
          <w:rFonts w:hAnsi="標楷體" w:hint="eastAsia"/>
        </w:rPr>
        <w:t>衛福部</w:t>
      </w:r>
      <w:r w:rsidR="004E4C5F" w:rsidRPr="00BE562A">
        <w:rPr>
          <w:rFonts w:hAnsi="標楷體" w:hint="eastAsia"/>
        </w:rPr>
        <w:t>胸腔病院等醫院，因地處偏遠，附近基層醫療診所不足，</w:t>
      </w:r>
      <w:r w:rsidR="00E466EF" w:rsidRPr="00BE562A">
        <w:rPr>
          <w:rFonts w:hAnsi="標楷體" w:hint="eastAsia"/>
        </w:rPr>
        <w:t>及</w:t>
      </w:r>
      <w:r w:rsidR="004E4C5F" w:rsidRPr="00BE562A">
        <w:rPr>
          <w:rFonts w:hAnsi="標楷體" w:hint="eastAsia"/>
        </w:rPr>
        <w:t>肩負特殊公共任務之胸腔專責醫院，專科醫師科別不足，而未能加入外，</w:t>
      </w:r>
      <w:r w:rsidR="00046175" w:rsidRPr="00BE562A">
        <w:rPr>
          <w:rFonts w:hAnsi="標楷體" w:hint="eastAsia"/>
        </w:rPr>
        <w:t>部立醫院</w:t>
      </w:r>
      <w:r w:rsidR="004E4C5F" w:rsidRPr="00BE562A">
        <w:rPr>
          <w:rFonts w:hAnsi="標楷體" w:hint="eastAsia"/>
        </w:rPr>
        <w:t>共計20家加入</w:t>
      </w:r>
      <w:r w:rsidR="00E466EF" w:rsidRPr="00BE562A">
        <w:rPr>
          <w:rFonts w:hAnsi="標楷體" w:hint="eastAsia"/>
        </w:rPr>
        <w:t>；</w:t>
      </w:r>
      <w:r w:rsidR="004E4C5F" w:rsidRPr="00BE562A">
        <w:rPr>
          <w:rFonts w:hAnsi="標楷體" w:hint="eastAsia"/>
        </w:rPr>
        <w:t>另</w:t>
      </w:r>
      <w:r w:rsidR="009A3002" w:rsidRPr="00BE562A">
        <w:rPr>
          <w:rFonts w:hAnsi="標楷體" w:hint="eastAsia"/>
        </w:rPr>
        <w:t>衛福部</w:t>
      </w:r>
      <w:r w:rsidR="004E4C5F" w:rsidRPr="00BE562A">
        <w:rPr>
          <w:rFonts w:hAnsi="標楷體" w:hint="eastAsia"/>
          <w:bCs/>
          <w:kern w:val="0"/>
          <w:szCs w:val="52"/>
        </w:rPr>
        <w:t>屏東醫院雖符合申請資格，惟大</w:t>
      </w:r>
      <w:r w:rsidR="008E733E" w:rsidRPr="00BE562A">
        <w:rPr>
          <w:rFonts w:hAnsi="標楷體" w:hint="eastAsia"/>
          <w:bCs/>
          <w:kern w:val="0"/>
          <w:szCs w:val="52"/>
        </w:rPr>
        <w:t>部分</w:t>
      </w:r>
      <w:r w:rsidR="004E4C5F" w:rsidRPr="00BE562A">
        <w:rPr>
          <w:rFonts w:hAnsi="標楷體" w:hint="eastAsia"/>
          <w:bCs/>
          <w:kern w:val="0"/>
          <w:szCs w:val="52"/>
        </w:rPr>
        <w:t>基層醫療院所皆已跟其他鄰近醫院簽約</w:t>
      </w:r>
      <w:r w:rsidR="00A53259" w:rsidRPr="00BE562A">
        <w:rPr>
          <w:rFonts w:hAnsi="標楷體" w:hint="eastAsia"/>
          <w:bCs/>
          <w:kern w:val="0"/>
          <w:szCs w:val="52"/>
        </w:rPr>
        <w:t>，</w:t>
      </w:r>
      <w:r w:rsidR="004E4C5F" w:rsidRPr="00BE562A">
        <w:rPr>
          <w:rFonts w:hAnsi="標楷體" w:hint="eastAsia"/>
          <w:bCs/>
          <w:kern w:val="0"/>
          <w:szCs w:val="52"/>
        </w:rPr>
        <w:t>故未參與。</w:t>
      </w:r>
    </w:p>
    <w:p w:rsidR="009E2A6C" w:rsidRPr="00BE562A" w:rsidRDefault="009E2A6C" w:rsidP="009E2A6C">
      <w:pPr>
        <w:pStyle w:val="4"/>
        <w:numPr>
          <w:ilvl w:val="0"/>
          <w:numId w:val="0"/>
        </w:numPr>
        <w:ind w:left="1418" w:firstLineChars="166" w:firstLine="565"/>
        <w:rPr>
          <w:rFonts w:hAnsi="標楷體"/>
          <w:bCs/>
          <w:kern w:val="0"/>
          <w:szCs w:val="52"/>
        </w:rPr>
      </w:pPr>
      <w:r w:rsidRPr="00BE562A">
        <w:rPr>
          <w:rFonts w:hAnsi="標楷體" w:hint="eastAsia"/>
          <w:bCs/>
          <w:kern w:val="0"/>
          <w:szCs w:val="52"/>
        </w:rPr>
        <w:t>基上可知，衛福部所屬</w:t>
      </w:r>
      <w:r w:rsidR="00EE0CD9" w:rsidRPr="00BE562A">
        <w:rPr>
          <w:rFonts w:hAnsi="標楷體" w:hint="eastAsia"/>
          <w:bCs/>
          <w:kern w:val="0"/>
          <w:szCs w:val="52"/>
        </w:rPr>
        <w:t>26家醫院，扣除5家精神</w:t>
      </w:r>
      <w:r w:rsidR="00EE0CD9" w:rsidRPr="00BE562A">
        <w:rPr>
          <w:rFonts w:hAnsi="標楷體" w:hint="eastAsia"/>
          <w:bCs/>
          <w:kern w:val="0"/>
          <w:szCs w:val="52"/>
        </w:rPr>
        <w:lastRenderedPageBreak/>
        <w:t>專科醫院</w:t>
      </w:r>
      <w:r w:rsidRPr="00BE562A">
        <w:rPr>
          <w:rFonts w:hAnsi="標楷體" w:hint="eastAsia"/>
          <w:bCs/>
          <w:kern w:val="0"/>
          <w:szCs w:val="52"/>
        </w:rPr>
        <w:t>因</w:t>
      </w:r>
      <w:r w:rsidR="00EE0CD9" w:rsidRPr="00BE562A">
        <w:rPr>
          <w:rFonts w:hAnsi="標楷體" w:hint="eastAsia"/>
          <w:bCs/>
          <w:kern w:val="0"/>
          <w:szCs w:val="52"/>
        </w:rPr>
        <w:t>資格</w:t>
      </w:r>
      <w:r w:rsidRPr="00BE562A">
        <w:rPr>
          <w:rFonts w:hAnsi="標楷體" w:hint="eastAsia"/>
          <w:bCs/>
          <w:kern w:val="0"/>
          <w:szCs w:val="52"/>
        </w:rPr>
        <w:t>未符</w:t>
      </w:r>
      <w:r w:rsidR="009A3002" w:rsidRPr="00BE562A">
        <w:rPr>
          <w:rFonts w:hAnsi="標楷體" w:hint="eastAsia"/>
          <w:bCs/>
          <w:kern w:val="0"/>
          <w:szCs w:val="52"/>
        </w:rPr>
        <w:t>急性後期整合照護計畫</w:t>
      </w:r>
      <w:r w:rsidRPr="00BE562A">
        <w:rPr>
          <w:rFonts w:hAnsi="標楷體" w:hint="eastAsia"/>
          <w:bCs/>
          <w:kern w:val="0"/>
          <w:szCs w:val="52"/>
        </w:rPr>
        <w:t>、</w:t>
      </w:r>
      <w:r w:rsidR="009A3002" w:rsidRPr="00BE562A">
        <w:rPr>
          <w:rFonts w:hAnsi="標楷體" w:hint="eastAsia"/>
          <w:bCs/>
          <w:kern w:val="0"/>
          <w:szCs w:val="52"/>
        </w:rPr>
        <w:t>居家醫療照護整合計畫</w:t>
      </w:r>
      <w:r w:rsidRPr="00BE562A">
        <w:rPr>
          <w:rFonts w:hAnsi="標楷體" w:hint="eastAsia"/>
          <w:bCs/>
          <w:kern w:val="0"/>
          <w:szCs w:val="52"/>
        </w:rPr>
        <w:t>、</w:t>
      </w:r>
      <w:r w:rsidR="0085589C" w:rsidRPr="00BE562A">
        <w:rPr>
          <w:rFonts w:hAnsi="標楷體" w:hint="eastAsia"/>
          <w:bCs/>
          <w:kern w:val="0"/>
          <w:szCs w:val="52"/>
        </w:rPr>
        <w:t>家庭醫師整合性照護計畫</w:t>
      </w:r>
      <w:r w:rsidR="00EE0CD9" w:rsidRPr="00BE562A">
        <w:rPr>
          <w:rFonts w:hAnsi="標楷體" w:hint="eastAsia"/>
          <w:bCs/>
          <w:kern w:val="0"/>
          <w:szCs w:val="52"/>
        </w:rPr>
        <w:t>而未加入外，</w:t>
      </w:r>
      <w:r w:rsidR="0049426B" w:rsidRPr="00BE562A">
        <w:rPr>
          <w:rFonts w:hAnsi="標楷體" w:hint="eastAsia"/>
          <w:bCs/>
          <w:kern w:val="0"/>
          <w:szCs w:val="52"/>
        </w:rPr>
        <w:t>幾乎皆</w:t>
      </w:r>
      <w:r w:rsidR="00EE0CD9" w:rsidRPr="00BE562A">
        <w:rPr>
          <w:rFonts w:hAnsi="標楷體" w:hint="eastAsia"/>
          <w:bCs/>
          <w:kern w:val="0"/>
          <w:szCs w:val="52"/>
        </w:rPr>
        <w:t>已加入</w:t>
      </w:r>
      <w:r w:rsidR="00052F84" w:rsidRPr="00BE562A">
        <w:rPr>
          <w:rFonts w:hAnsi="標楷體" w:hint="eastAsia"/>
          <w:bCs/>
          <w:kern w:val="0"/>
          <w:szCs w:val="52"/>
        </w:rPr>
        <w:t>計畫</w:t>
      </w:r>
      <w:r w:rsidRPr="00BE562A">
        <w:rPr>
          <w:rFonts w:hAnsi="標楷體" w:hint="eastAsia"/>
          <w:bCs/>
          <w:kern w:val="0"/>
          <w:szCs w:val="52"/>
        </w:rPr>
        <w:t>。</w:t>
      </w:r>
    </w:p>
    <w:p w:rsidR="00E06CF9" w:rsidRPr="00BE562A" w:rsidRDefault="00E06CF9" w:rsidP="00E06CF9">
      <w:pPr>
        <w:pStyle w:val="3"/>
        <w:rPr>
          <w:rFonts w:hAnsi="標楷體"/>
        </w:rPr>
      </w:pPr>
      <w:r w:rsidRPr="00BE562A">
        <w:rPr>
          <w:rFonts w:hAnsi="標楷體" w:hint="eastAsia"/>
        </w:rPr>
        <w:t>查各計畫之醫事人力需求</w:t>
      </w:r>
      <w:r w:rsidR="00447786" w:rsidRPr="00BE562A">
        <w:rPr>
          <w:rFonts w:hAnsi="標楷體" w:hint="eastAsia"/>
        </w:rPr>
        <w:t>：</w:t>
      </w:r>
    </w:p>
    <w:p w:rsidR="00E06CF9" w:rsidRPr="00BE562A" w:rsidRDefault="00E06CF9" w:rsidP="00E06CF9">
      <w:pPr>
        <w:pStyle w:val="4"/>
        <w:rPr>
          <w:rFonts w:hAnsi="標楷體"/>
        </w:rPr>
      </w:pPr>
      <w:r w:rsidRPr="00BE562A">
        <w:rPr>
          <w:rFonts w:hAnsi="標楷體" w:hint="eastAsia"/>
        </w:rPr>
        <w:t>急性後期整合照護計畫：</w:t>
      </w:r>
    </w:p>
    <w:p w:rsidR="00E06CF9" w:rsidRPr="00BE562A" w:rsidRDefault="00E06CF9" w:rsidP="00E06CF9">
      <w:pPr>
        <w:pStyle w:val="5"/>
        <w:rPr>
          <w:rFonts w:hAnsi="標楷體"/>
        </w:rPr>
      </w:pPr>
      <w:r w:rsidRPr="00BE562A">
        <w:rPr>
          <w:rFonts w:hAnsi="標楷體" w:hint="eastAsia"/>
        </w:rPr>
        <w:t>腦中風：PAC-CVD相關科別醫師</w:t>
      </w:r>
      <w:r w:rsidR="00447786" w:rsidRPr="00BE562A">
        <w:rPr>
          <w:rFonts w:hAnsi="標楷體"/>
        </w:rPr>
        <w:t>(</w:t>
      </w:r>
      <w:r w:rsidRPr="00BE562A">
        <w:rPr>
          <w:rFonts w:hAnsi="標楷體" w:hint="eastAsia"/>
        </w:rPr>
        <w:t>專任之神經科、神經外科、內科、</w:t>
      </w:r>
      <w:r w:rsidR="00546F34" w:rsidRPr="00BE562A">
        <w:rPr>
          <w:rFonts w:hAnsi="標楷體" w:hint="eastAsia"/>
        </w:rPr>
        <w:t>家庭醫學科(下稱</w:t>
      </w:r>
      <w:r w:rsidR="00546F34" w:rsidRPr="00BE562A">
        <w:rPr>
          <w:rFonts w:hAnsi="標楷體"/>
        </w:rPr>
        <w:t>家醫科</w:t>
      </w:r>
      <w:r w:rsidR="00546F34" w:rsidRPr="00BE562A">
        <w:rPr>
          <w:rFonts w:hAnsi="標楷體" w:hint="eastAsia"/>
        </w:rPr>
        <w:t>)</w:t>
      </w:r>
      <w:r w:rsidRPr="00BE562A">
        <w:rPr>
          <w:rFonts w:hAnsi="標楷體" w:hint="eastAsia"/>
        </w:rPr>
        <w:t>或復健科任一有腦血管疾病照護經驗醫師</w:t>
      </w:r>
      <w:r w:rsidR="00447786" w:rsidRPr="00BE562A">
        <w:rPr>
          <w:rFonts w:hAnsi="標楷體"/>
        </w:rPr>
        <w:t>)</w:t>
      </w:r>
      <w:r w:rsidRPr="00BE562A">
        <w:rPr>
          <w:rFonts w:hAnsi="標楷體" w:hint="eastAsia"/>
        </w:rPr>
        <w:t>以及物理治療師、職能治療師、語言治療師、藥師、營養師、社工師(人員)、護理人員，至少各1名。</w:t>
      </w:r>
    </w:p>
    <w:p w:rsidR="00E06CF9" w:rsidRPr="00BE562A" w:rsidRDefault="00E06CF9" w:rsidP="00E06CF9">
      <w:pPr>
        <w:pStyle w:val="5"/>
        <w:rPr>
          <w:rFonts w:hAnsi="標楷體"/>
        </w:rPr>
      </w:pPr>
      <w:r w:rsidRPr="00BE562A">
        <w:rPr>
          <w:rFonts w:hAnsi="標楷體" w:hint="eastAsia"/>
        </w:rPr>
        <w:t>燒燙傷：專任之整形外科醫師或復健科醫師、物理治療師、職能治療師、臨床心理師(或專兼任精神科醫師)、語言治療師、社工師(人員)、營養師、護理人員、個案管理人員及燒燙傷諮詢衛教人員。團隊另需有專任。</w:t>
      </w:r>
    </w:p>
    <w:p w:rsidR="00E06CF9" w:rsidRPr="00BE562A" w:rsidRDefault="00E06CF9" w:rsidP="00E06CF9">
      <w:pPr>
        <w:pStyle w:val="5"/>
        <w:rPr>
          <w:rFonts w:hAnsi="標楷體"/>
        </w:rPr>
      </w:pPr>
      <w:r w:rsidRPr="00BE562A">
        <w:rPr>
          <w:rFonts w:hAnsi="標楷體" w:hint="eastAsia"/>
        </w:rPr>
        <w:t>創傷性神經損傷：神經外科醫師或專任神經內科醫師或專任復健科醫師、物理治療師、職能治療師、臨床心理師(或專/兼任精神科醫師)、社工師(人員)、營養師、語言治療師、護理人員。</w:t>
      </w:r>
    </w:p>
    <w:p w:rsidR="00E06CF9" w:rsidRPr="00BE562A" w:rsidRDefault="00E06CF9" w:rsidP="00E06CF9">
      <w:pPr>
        <w:pStyle w:val="5"/>
        <w:rPr>
          <w:rFonts w:hAnsi="標楷體"/>
        </w:rPr>
      </w:pPr>
      <w:r w:rsidRPr="00BE562A">
        <w:rPr>
          <w:rFonts w:hAnsi="標楷體" w:hint="eastAsia"/>
        </w:rPr>
        <w:t>脆弱性骨折：專任骨科醫師或專任復健科醫師或專任神經外科醫師、物理治療師、職能治療師、社工師(人員)、營養師、護理人員。</w:t>
      </w:r>
    </w:p>
    <w:p w:rsidR="00E06CF9" w:rsidRPr="00BE562A" w:rsidRDefault="00E06CF9" w:rsidP="00E06CF9">
      <w:pPr>
        <w:pStyle w:val="5"/>
        <w:rPr>
          <w:rFonts w:hAnsi="標楷體"/>
        </w:rPr>
      </w:pPr>
      <w:r w:rsidRPr="00BE562A">
        <w:rPr>
          <w:rFonts w:hAnsi="標楷體" w:hint="eastAsia"/>
        </w:rPr>
        <w:t>心臟衰竭：專任之心臟內科專科醫師或心臟外科專科醫師與心臟衰竭個案管理師之整合性服務</w:t>
      </w:r>
      <w:r w:rsidRPr="00BE562A">
        <w:rPr>
          <w:rFonts w:hAnsi="標楷體"/>
        </w:rPr>
        <w:t xml:space="preserve"> </w:t>
      </w:r>
      <w:r w:rsidRPr="00BE562A">
        <w:rPr>
          <w:rFonts w:hAnsi="標楷體" w:hint="eastAsia"/>
        </w:rPr>
        <w:t>(每位個管師之個案上限以50例為原則)、復健專科醫師、物理治療師、職能治療師、臨床心理師、社工師、營養師、藥師。</w:t>
      </w:r>
    </w:p>
    <w:p w:rsidR="00E06CF9" w:rsidRPr="00BE562A" w:rsidRDefault="00E06CF9" w:rsidP="00E06CF9">
      <w:pPr>
        <w:pStyle w:val="5"/>
        <w:rPr>
          <w:rFonts w:hAnsi="標楷體"/>
        </w:rPr>
      </w:pPr>
      <w:r w:rsidRPr="00BE562A">
        <w:rPr>
          <w:rFonts w:hAnsi="標楷體" w:hint="eastAsia"/>
        </w:rPr>
        <w:t>衰弱高齡病患：專任之內科、或家醫科、或復</w:t>
      </w:r>
      <w:r w:rsidRPr="00BE562A">
        <w:rPr>
          <w:rFonts w:hAnsi="標楷體" w:hint="eastAsia"/>
        </w:rPr>
        <w:lastRenderedPageBreak/>
        <w:t>健科、或神經科、或神經外科、或骨科醫師，個案管理師、物理治療師、職能治療師、語言治療師、營養師、社工師(人員)、藥師、護理人員。</w:t>
      </w:r>
    </w:p>
    <w:p w:rsidR="00E06CF9" w:rsidRPr="00BE562A" w:rsidRDefault="00E06CF9" w:rsidP="00E06CF9">
      <w:pPr>
        <w:pStyle w:val="4"/>
        <w:rPr>
          <w:rFonts w:hAnsi="標楷體" w:cs="Arial"/>
          <w:szCs w:val="32"/>
        </w:rPr>
      </w:pPr>
      <w:r w:rsidRPr="00BE562A">
        <w:rPr>
          <w:rFonts w:hAnsi="標楷體" w:hint="eastAsia"/>
        </w:rPr>
        <w:t>居家醫療照護整合計畫訪視人員資格包括：專科醫師、</w:t>
      </w:r>
      <w:r w:rsidRPr="00BE562A">
        <w:rPr>
          <w:rFonts w:hAnsi="標楷體" w:cs="Arial" w:hint="eastAsia"/>
          <w:szCs w:val="32"/>
        </w:rPr>
        <w:t>牙醫師、中醫師、藥師、個案管理人員。</w:t>
      </w:r>
    </w:p>
    <w:p w:rsidR="00E06CF9" w:rsidRPr="00BE562A" w:rsidRDefault="0085589C" w:rsidP="00E06CF9">
      <w:pPr>
        <w:pStyle w:val="4"/>
        <w:rPr>
          <w:rFonts w:hAnsi="標楷體"/>
        </w:rPr>
      </w:pPr>
      <w:r w:rsidRPr="00BE562A">
        <w:rPr>
          <w:rFonts w:hAnsi="標楷體" w:hint="eastAsia"/>
        </w:rPr>
        <w:t>家庭醫師整合性照護計畫</w:t>
      </w:r>
      <w:r w:rsidR="00E06CF9" w:rsidRPr="00BE562A">
        <w:rPr>
          <w:rFonts w:hAnsi="標楷體" w:hint="eastAsia"/>
        </w:rPr>
        <w:t>參與之醫師人員資格：以同一地區5家以上(含)特約西醫診所為單位組成，其中1/2以上診所專任醫師需具有內科、外科、婦產科、小兒科或家醫科專科醫師資格或1/5以上診所專任醫師具有家醫科專科醫師資格。</w:t>
      </w:r>
    </w:p>
    <w:p w:rsidR="00E06CF9" w:rsidRPr="00BE562A" w:rsidRDefault="00E06CF9" w:rsidP="00E06CF9">
      <w:pPr>
        <w:pStyle w:val="4"/>
        <w:numPr>
          <w:ilvl w:val="0"/>
          <w:numId w:val="0"/>
        </w:numPr>
        <w:ind w:left="1418" w:firstLineChars="208" w:firstLine="708"/>
        <w:rPr>
          <w:rFonts w:hAnsi="標楷體"/>
        </w:rPr>
      </w:pPr>
      <w:r w:rsidRPr="00BE562A">
        <w:rPr>
          <w:rFonts w:hAnsi="標楷體" w:hint="eastAsia"/>
        </w:rPr>
        <w:t>據上</w:t>
      </w:r>
      <w:r w:rsidR="005B5EAF" w:rsidRPr="00BE562A">
        <w:rPr>
          <w:rFonts w:hAnsi="標楷體" w:hint="eastAsia"/>
        </w:rPr>
        <w:t>，</w:t>
      </w:r>
      <w:r w:rsidRPr="00BE562A">
        <w:rPr>
          <w:rFonts w:hAnsi="標楷體" w:hint="eastAsia"/>
        </w:rPr>
        <w:t>各該計畫之醫師人力資格，涉及神經科、神經外科、內科、家醫科或復健科、整形外科、骨科、心臟內/外科</w:t>
      </w:r>
      <w:r w:rsidRPr="00BE562A">
        <w:rPr>
          <w:rFonts w:hAnsi="標楷體"/>
        </w:rPr>
        <w:t>……</w:t>
      </w:r>
      <w:r w:rsidRPr="00BE562A">
        <w:rPr>
          <w:rFonts w:hAnsi="標楷體" w:hint="eastAsia"/>
        </w:rPr>
        <w:t>等專科醫師之參與及執行。</w:t>
      </w:r>
    </w:p>
    <w:p w:rsidR="00E06CF9" w:rsidRPr="00BE562A" w:rsidRDefault="00E06CF9" w:rsidP="00E06CF9">
      <w:pPr>
        <w:pStyle w:val="3"/>
        <w:rPr>
          <w:rFonts w:hAnsi="標楷體"/>
        </w:rPr>
      </w:pPr>
      <w:r w:rsidRPr="00BE562A">
        <w:rPr>
          <w:rFonts w:hAnsi="標楷體" w:hint="eastAsia"/>
        </w:rPr>
        <w:t>據本院</w:t>
      </w:r>
      <w:r w:rsidR="000973C9" w:rsidRPr="00BE562A">
        <w:rPr>
          <w:rFonts w:hAnsi="標楷體" w:hint="eastAsia"/>
        </w:rPr>
        <w:t>109年之</w:t>
      </w:r>
      <w:r w:rsidRPr="00BE562A">
        <w:rPr>
          <w:rFonts w:hAnsi="標楷體" w:hint="eastAsia"/>
        </w:rPr>
        <w:t>調查「</w:t>
      </w:r>
      <w:r w:rsidR="005D2317" w:rsidRPr="00BE562A">
        <w:rPr>
          <w:rFonts w:hAnsi="標楷體" w:hint="eastAsia"/>
        </w:rPr>
        <w:t>審計部</w:t>
      </w:r>
      <w:r w:rsidR="005D2317" w:rsidRPr="00BE562A">
        <w:rPr>
          <w:rFonts w:hAnsi="標楷體"/>
        </w:rPr>
        <w:t>106</w:t>
      </w:r>
      <w:r w:rsidR="005D2317" w:rsidRPr="00BE562A">
        <w:rPr>
          <w:rFonts w:hAnsi="標楷體" w:hint="eastAsia"/>
        </w:rPr>
        <w:t>年度中央政府總決算審核報告，</w:t>
      </w:r>
      <w:r w:rsidR="00B83099" w:rsidRPr="00BE562A">
        <w:rPr>
          <w:rFonts w:hAnsi="標楷體" w:hint="eastAsia"/>
        </w:rPr>
        <w:t>衛福部</w:t>
      </w:r>
      <w:r w:rsidR="005D2317" w:rsidRPr="00BE562A">
        <w:rPr>
          <w:rFonts w:hAnsi="標楷體" w:hint="eastAsia"/>
        </w:rPr>
        <w:t>為達成所屬醫院轉型目標及改善其醫事人力，推動醫療資源整合相關措施，惟所屬醫院間人力支援以短期為主，且未建立定期調查醫院人力需求機制，影響支援成效及醫病關係建立等情</w:t>
      </w:r>
      <w:r w:rsidRPr="00BE562A">
        <w:rPr>
          <w:rFonts w:hAnsi="標楷體" w:hint="eastAsia"/>
        </w:rPr>
        <w:t>」案，</w:t>
      </w:r>
      <w:r w:rsidR="000973C9" w:rsidRPr="00BE562A">
        <w:rPr>
          <w:rFonts w:hAnsi="標楷體" w:hint="eastAsia"/>
        </w:rPr>
        <w:t>其中</w:t>
      </w:r>
      <w:r w:rsidRPr="00BE562A">
        <w:rPr>
          <w:rFonts w:hAnsi="標楷體" w:hint="eastAsia"/>
        </w:rPr>
        <w:t>調查意見</w:t>
      </w:r>
      <w:r w:rsidR="00447786" w:rsidRPr="00BE562A">
        <w:rPr>
          <w:rFonts w:hAnsi="標楷體" w:hint="eastAsia"/>
        </w:rPr>
        <w:t>：</w:t>
      </w:r>
      <w:r w:rsidR="000C1302">
        <w:rPr>
          <w:rFonts w:hAnsi="標楷體" w:hint="eastAsia"/>
        </w:rPr>
        <w:t>「衛福部</w:t>
      </w:r>
      <w:r w:rsidRPr="00BE562A">
        <w:rPr>
          <w:rFonts w:hAnsi="標楷體" w:hint="eastAsia"/>
        </w:rPr>
        <w:t>基於所屬醫院指揮監督並統籌規劃公、私立醫療機構人力合理分布及均衡醫療資源等職責，早應建立全國醫事人力資源供需調查、支援及衡平機制，</w:t>
      </w:r>
      <w:r w:rsidRPr="00BE562A">
        <w:rPr>
          <w:rFonts w:hAnsi="標楷體"/>
        </w:rPr>
        <w:t>……</w:t>
      </w:r>
      <w:r w:rsidRPr="00BE562A">
        <w:rPr>
          <w:rFonts w:hAnsi="標楷體" w:hint="eastAsia"/>
        </w:rPr>
        <w:t>凸顯該部目前醫事人力相關統籌盤整機制成效不彰，未能有效解決所屬各醫院實際需求</w:t>
      </w:r>
      <w:r w:rsidRPr="00BE562A">
        <w:rPr>
          <w:rFonts w:hAnsi="標楷體"/>
        </w:rPr>
        <w:t>……</w:t>
      </w:r>
      <w:r w:rsidRPr="00BE562A">
        <w:rPr>
          <w:rFonts w:hAnsi="標楷體" w:hint="eastAsia"/>
        </w:rPr>
        <w:t>」指出</w:t>
      </w:r>
      <w:r w:rsidR="00447786" w:rsidRPr="00BE562A">
        <w:rPr>
          <w:rFonts w:hAnsi="標楷體" w:hint="eastAsia"/>
        </w:rPr>
        <w:t>：</w:t>
      </w:r>
      <w:r w:rsidRPr="00BE562A">
        <w:rPr>
          <w:rFonts w:hAnsi="標楷體" w:hint="eastAsia"/>
        </w:rPr>
        <w:t>「</w:t>
      </w:r>
      <w:r w:rsidRPr="00BE562A">
        <w:rPr>
          <w:rFonts w:hAnsi="標楷體" w:hint="eastAsia"/>
          <w:bCs w:val="0"/>
          <w:kern w:val="2"/>
          <w:szCs w:val="32"/>
        </w:rPr>
        <w:t>據衛福部查復略以：</w:t>
      </w:r>
      <w:r w:rsidR="00701BDA" w:rsidRPr="00BE562A">
        <w:rPr>
          <w:rFonts w:hAnsi="標楷體" w:hint="eastAsia"/>
          <w:bCs w:val="0"/>
          <w:kern w:val="2"/>
          <w:szCs w:val="32"/>
        </w:rPr>
        <w:t>『</w:t>
      </w:r>
      <w:r w:rsidRPr="00BE562A">
        <w:rPr>
          <w:rFonts w:hAnsi="標楷體"/>
          <w:bCs w:val="0"/>
          <w:kern w:val="2"/>
          <w:szCs w:val="32"/>
        </w:rPr>
        <w:t>……</w:t>
      </w:r>
      <w:r w:rsidRPr="00BE562A">
        <w:rPr>
          <w:rFonts w:hAnsi="標楷體" w:hint="eastAsia"/>
          <w:bCs w:val="0"/>
          <w:kern w:val="2"/>
          <w:szCs w:val="32"/>
        </w:rPr>
        <w:t>本部已賡續督促各院積極羅致醫護人員，……辦理情形如下：1.本部所屬醫院人力調查機制：每月主動盤點各所屬醫院醫師、護理人員、其他醫事人員等人數資料，藉以檢視各院職員空缺比率和契僱醫事人力比率，並掌握各院人力趨勢。</w:t>
      </w:r>
      <w:r w:rsidRPr="00BE562A">
        <w:rPr>
          <w:rFonts w:hAnsi="標楷體" w:hint="eastAsia"/>
          <w:bCs w:val="0"/>
          <w:kern w:val="2"/>
          <w:szCs w:val="32"/>
        </w:rPr>
        <w:lastRenderedPageBreak/>
        <w:t>2.本部所屬醫院專科醫師人力強化機制：(1)爭取公費醫師及醫學中心支援：本部辦理105至108年『醫學中心或重度級急救責任醫院支援離島及醫療資源不足地區醫院緊急醫療照護服務獎勵計畫』，由醫學中心支援急診與相關急重症之醫師人力……。(2)辦理提升偏鄉離島醫療服務計畫：持續辦理</w:t>
      </w:r>
      <w:r w:rsidR="00701BDA" w:rsidRPr="00BE562A">
        <w:rPr>
          <w:rFonts w:hAnsi="標楷體" w:hint="eastAsia"/>
          <w:bCs w:val="0"/>
          <w:kern w:val="2"/>
          <w:szCs w:val="32"/>
        </w:rPr>
        <w:t>【</w:t>
      </w:r>
      <w:r w:rsidRPr="00BE562A">
        <w:rPr>
          <w:rFonts w:hAnsi="標楷體" w:hint="eastAsia"/>
          <w:bCs w:val="0"/>
          <w:kern w:val="2"/>
          <w:szCs w:val="32"/>
        </w:rPr>
        <w:t>強化偏遠及醫療資源缺乏地區醫院效能計畫</w:t>
      </w:r>
      <w:r w:rsidR="00701BDA" w:rsidRPr="00BE562A">
        <w:rPr>
          <w:rFonts w:hAnsi="標楷體" w:hint="eastAsia"/>
          <w:bCs w:val="0"/>
          <w:kern w:val="2"/>
          <w:szCs w:val="32"/>
        </w:rPr>
        <w:t>】</w:t>
      </w:r>
      <w:r w:rsidRPr="00BE562A">
        <w:rPr>
          <w:rFonts w:hAnsi="標楷體" w:hint="eastAsia"/>
          <w:bCs w:val="0"/>
          <w:kern w:val="2"/>
          <w:szCs w:val="32"/>
        </w:rPr>
        <w:t>與</w:t>
      </w:r>
      <w:r w:rsidR="00701BDA" w:rsidRPr="00BE562A">
        <w:rPr>
          <w:rFonts w:hAnsi="標楷體" w:hint="eastAsia"/>
          <w:bCs w:val="0"/>
          <w:kern w:val="2"/>
          <w:szCs w:val="32"/>
        </w:rPr>
        <w:t>【</w:t>
      </w:r>
      <w:r w:rsidRPr="00BE562A">
        <w:rPr>
          <w:rFonts w:hAnsi="標楷體" w:hint="eastAsia"/>
          <w:bCs w:val="0"/>
          <w:kern w:val="2"/>
          <w:szCs w:val="32"/>
        </w:rPr>
        <w:t>所屬偏遠地區醫院充實醫師人力計畫</w:t>
      </w:r>
      <w:r w:rsidR="00701BDA" w:rsidRPr="00BE562A">
        <w:rPr>
          <w:rFonts w:hAnsi="標楷體" w:hint="eastAsia"/>
          <w:bCs w:val="0"/>
          <w:kern w:val="2"/>
          <w:szCs w:val="32"/>
        </w:rPr>
        <w:t>】</w:t>
      </w:r>
      <w:r w:rsidRPr="00BE562A">
        <w:rPr>
          <w:rFonts w:hAnsi="標楷體" w:hint="eastAsia"/>
          <w:bCs w:val="0"/>
          <w:kern w:val="2"/>
          <w:szCs w:val="32"/>
        </w:rPr>
        <w:t>……3.整合本部所屬醫院醫療資源：(1)推動所屬醫療機構長期醫療支援補助……(2)規劃本部所屬醫院之區域聯盟……</w:t>
      </w:r>
      <w:r w:rsidR="00701BDA" w:rsidRPr="00BE562A">
        <w:rPr>
          <w:rFonts w:hAnsi="標楷體" w:hint="eastAsia"/>
          <w:bCs w:val="0"/>
          <w:kern w:val="2"/>
          <w:szCs w:val="32"/>
        </w:rPr>
        <w:t>』</w:t>
      </w:r>
      <w:r w:rsidRPr="00BE562A">
        <w:rPr>
          <w:rFonts w:hAnsi="標楷體" w:hint="eastAsia"/>
          <w:bCs w:val="0"/>
          <w:kern w:val="2"/>
          <w:szCs w:val="32"/>
        </w:rPr>
        <w:t>等語</w:t>
      </w:r>
      <w:r w:rsidRPr="00BE562A">
        <w:rPr>
          <w:rFonts w:hAnsi="標楷體" w:hint="eastAsia"/>
        </w:rPr>
        <w:t>」、「</w:t>
      </w:r>
      <w:r w:rsidRPr="00BE562A">
        <w:rPr>
          <w:rFonts w:hAnsi="標楷體" w:hint="eastAsia"/>
          <w:bCs w:val="0"/>
          <w:kern w:val="2"/>
          <w:szCs w:val="32"/>
        </w:rPr>
        <w:t>惟據衛福部所屬醫院於本院履勘、座談、訪查時分別表示略以：</w:t>
      </w:r>
      <w:r w:rsidR="005572ED" w:rsidRPr="00BE562A">
        <w:rPr>
          <w:rFonts w:hAnsi="標楷體" w:hint="eastAsia"/>
          <w:bCs w:val="0"/>
          <w:kern w:val="2"/>
          <w:szCs w:val="32"/>
        </w:rPr>
        <w:t>『</w:t>
      </w:r>
      <w:r w:rsidRPr="00BE562A">
        <w:rPr>
          <w:rFonts w:hAnsi="標楷體" w:hint="eastAsia"/>
          <w:bCs w:val="0"/>
          <w:kern w:val="2"/>
          <w:szCs w:val="32"/>
        </w:rPr>
        <w:t>……因為本院醫師年紀偏高，如果有醫師要離退，就會使情況更嚴峻，所以希望醫福會在公費生較多的時候能夠多考慮本院。……</w:t>
      </w:r>
      <w:r w:rsidR="005572ED" w:rsidRPr="00BE562A">
        <w:rPr>
          <w:rFonts w:hAnsi="標楷體" w:hint="eastAsia"/>
          <w:bCs w:val="0"/>
          <w:kern w:val="2"/>
          <w:szCs w:val="32"/>
        </w:rPr>
        <w:t>』、『</w:t>
      </w:r>
      <w:r w:rsidRPr="00BE562A">
        <w:rPr>
          <w:rFonts w:hAnsi="標楷體" w:hint="eastAsia"/>
          <w:bCs w:val="0"/>
          <w:kern w:val="2"/>
          <w:szCs w:val="32"/>
        </w:rPr>
        <w:t>本院較嚴重或是應該要被檢討的是醫師部分，近幾年來空缺變大……過去也很依賴公費生，但過去是一個蘿蔔一個坑，有多少公費生一開始就知道且分配好的，但近年是有需求的醫院都報缺，但實際出來的公費生很少……</w:t>
      </w:r>
      <w:r w:rsidR="005572ED" w:rsidRPr="00BE562A">
        <w:rPr>
          <w:rFonts w:hAnsi="標楷體" w:hint="eastAsia"/>
          <w:bCs w:val="0"/>
          <w:kern w:val="2"/>
          <w:szCs w:val="32"/>
        </w:rPr>
        <w:t>』</w:t>
      </w:r>
      <w:r w:rsidRPr="00BE562A">
        <w:rPr>
          <w:rFonts w:hAnsi="標楷體" w:hint="eastAsia"/>
          <w:bCs w:val="0"/>
          <w:kern w:val="2"/>
          <w:szCs w:val="32"/>
        </w:rPr>
        <w:t>等語，足見該部上揭所稱所屬醫院人力調查、爭取公費生與相互支援等相關計畫及機制，洵未能有效解決所屬醫院各別之實際人力需求</w:t>
      </w:r>
      <w:r w:rsidRPr="00BE562A">
        <w:rPr>
          <w:rFonts w:hAnsi="標楷體"/>
          <w:bCs w:val="0"/>
          <w:kern w:val="2"/>
          <w:szCs w:val="32"/>
        </w:rPr>
        <w:t>……</w:t>
      </w:r>
      <w:r w:rsidRPr="00BE562A">
        <w:rPr>
          <w:rFonts w:hAnsi="標楷體" w:hint="eastAsia"/>
        </w:rPr>
        <w:t>」可知，目前部立醫院各專科醫師人力仍處於短缺之狀態。</w:t>
      </w:r>
    </w:p>
    <w:p w:rsidR="00EE0CD9" w:rsidRPr="00BE562A" w:rsidRDefault="005628F6" w:rsidP="00EE0CD9">
      <w:pPr>
        <w:pStyle w:val="3"/>
        <w:rPr>
          <w:rFonts w:hAnsi="標楷體"/>
        </w:rPr>
      </w:pPr>
      <w:r w:rsidRPr="00BE562A">
        <w:rPr>
          <w:rFonts w:hAnsi="標楷體" w:hint="eastAsia"/>
        </w:rPr>
        <w:t>次查</w:t>
      </w:r>
      <w:r w:rsidR="00AA4695" w:rsidRPr="00BE562A">
        <w:rPr>
          <w:rFonts w:hAnsi="標楷體" w:hint="eastAsia"/>
        </w:rPr>
        <w:t>衛福部</w:t>
      </w:r>
      <w:r w:rsidR="00046175" w:rsidRPr="00BE562A">
        <w:rPr>
          <w:rFonts w:hAnsi="標楷體" w:hint="eastAsia"/>
        </w:rPr>
        <w:t>部立醫院</w:t>
      </w:r>
      <w:r w:rsidR="00AA4695" w:rsidRPr="00BE562A">
        <w:rPr>
          <w:rFonts w:hAnsi="標楷體"/>
        </w:rPr>
        <w:t>106</w:t>
      </w:r>
      <w:r w:rsidR="00EA7836" w:rsidRPr="00BE562A">
        <w:rPr>
          <w:rFonts w:hAnsi="標楷體" w:hint="eastAsia"/>
          <w:lang w:eastAsia="zh-HK"/>
        </w:rPr>
        <w:t>至</w:t>
      </w:r>
      <w:r w:rsidR="00AA4695" w:rsidRPr="00BE562A">
        <w:rPr>
          <w:rFonts w:hAnsi="標楷體" w:hint="eastAsia"/>
        </w:rPr>
        <w:t>108年</w:t>
      </w:r>
      <w:r w:rsidR="009E2A6C" w:rsidRPr="00BE562A">
        <w:rPr>
          <w:rFonts w:hAnsi="標楷體" w:hint="eastAsia"/>
        </w:rPr>
        <w:t>上開計畫</w:t>
      </w:r>
      <w:r w:rsidR="00AA4695" w:rsidRPr="00BE562A">
        <w:rPr>
          <w:rFonts w:hAnsi="標楷體" w:hint="eastAsia"/>
        </w:rPr>
        <w:t>辦理情形</w:t>
      </w:r>
      <w:r w:rsidR="00447786" w:rsidRPr="00BE562A">
        <w:rPr>
          <w:rFonts w:hAnsi="標楷體" w:hint="eastAsia"/>
        </w:rPr>
        <w:t>：</w:t>
      </w:r>
    </w:p>
    <w:p w:rsidR="00AA4695" w:rsidRPr="00BE562A" w:rsidRDefault="00AA4695" w:rsidP="00566704">
      <w:pPr>
        <w:pStyle w:val="4"/>
        <w:rPr>
          <w:rFonts w:hAnsi="標楷體"/>
        </w:rPr>
      </w:pPr>
      <w:r w:rsidRPr="00BE562A">
        <w:rPr>
          <w:rFonts w:hAnsi="標楷體" w:hint="eastAsia"/>
        </w:rPr>
        <w:t>急性後期整合照護計畫</w:t>
      </w:r>
      <w:r w:rsidR="00566704" w:rsidRPr="00BE562A">
        <w:rPr>
          <w:rFonts w:hAnsi="標楷體" w:hint="eastAsia"/>
        </w:rPr>
        <w:t>辦理</w:t>
      </w:r>
      <w:r w:rsidRPr="00BE562A">
        <w:rPr>
          <w:rFonts w:hAnsi="標楷體" w:hint="eastAsia"/>
        </w:rPr>
        <w:t>情形如下表</w:t>
      </w:r>
      <w:r w:rsidR="00447786" w:rsidRPr="00BE562A">
        <w:rPr>
          <w:rFonts w:hAnsi="標楷體" w:hint="eastAsia"/>
        </w:rPr>
        <w:t>：</w:t>
      </w:r>
    </w:p>
    <w:p w:rsidR="00AA4695" w:rsidRPr="00BE562A" w:rsidRDefault="00AA4695" w:rsidP="001B7C01">
      <w:pPr>
        <w:pStyle w:val="a3"/>
        <w:spacing w:before="120" w:after="0"/>
        <w:ind w:left="2127" w:hanging="851"/>
        <w:rPr>
          <w:rFonts w:hAnsi="標楷體"/>
        </w:rPr>
      </w:pPr>
      <w:r w:rsidRPr="00BE562A">
        <w:rPr>
          <w:rFonts w:hAnsi="標楷體" w:cs="Arial"/>
          <w:bCs w:val="0"/>
          <w:spacing w:val="0"/>
          <w:kern w:val="2"/>
        </w:rPr>
        <w:t>106</w:t>
      </w:r>
      <w:r w:rsidR="00DD6BCC" w:rsidRPr="00BE562A">
        <w:rPr>
          <w:rFonts w:hAnsi="標楷體" w:cs="Arial" w:hint="eastAsia"/>
          <w:bCs w:val="0"/>
          <w:spacing w:val="0"/>
          <w:kern w:val="2"/>
          <w:lang w:eastAsia="zh-HK"/>
        </w:rPr>
        <w:t>年至</w:t>
      </w:r>
      <w:r w:rsidRPr="00BE562A">
        <w:rPr>
          <w:rFonts w:hAnsi="標楷體" w:cs="Arial"/>
          <w:bCs w:val="0"/>
          <w:spacing w:val="0"/>
          <w:kern w:val="2"/>
        </w:rPr>
        <w:t>108</w:t>
      </w:r>
      <w:r w:rsidRPr="00BE562A">
        <w:rPr>
          <w:rFonts w:hAnsi="標楷體" w:cs="Arial" w:hint="eastAsia"/>
          <w:bCs w:val="0"/>
          <w:spacing w:val="0"/>
          <w:kern w:val="2"/>
        </w:rPr>
        <w:t>年</w:t>
      </w:r>
      <w:r w:rsidRPr="00BE562A">
        <w:rPr>
          <w:rFonts w:hAnsi="標楷體" w:cs="Arial"/>
          <w:bCs w:val="0"/>
          <w:spacing w:val="0"/>
          <w:kern w:val="2"/>
        </w:rPr>
        <w:t>10</w:t>
      </w:r>
      <w:r w:rsidRPr="00BE562A">
        <w:rPr>
          <w:rFonts w:hAnsi="標楷體" w:cs="Arial" w:hint="eastAsia"/>
          <w:bCs w:val="0"/>
          <w:spacing w:val="0"/>
          <w:kern w:val="2"/>
        </w:rPr>
        <w:t>月</w:t>
      </w:r>
      <w:r w:rsidR="001B7C01" w:rsidRPr="00BE562A">
        <w:rPr>
          <w:rFonts w:hAnsi="標楷體" w:cs="Arial" w:hint="eastAsia"/>
          <w:bCs w:val="0"/>
          <w:spacing w:val="0"/>
          <w:kern w:val="2"/>
        </w:rPr>
        <w:t>部立</w:t>
      </w:r>
      <w:r w:rsidRPr="00BE562A">
        <w:rPr>
          <w:rFonts w:hAnsi="標楷體" w:cs="Arial" w:hint="eastAsia"/>
          <w:bCs w:val="0"/>
          <w:spacing w:val="0"/>
          <w:kern w:val="2"/>
        </w:rPr>
        <w:t>醫院辦理急性後期整合照護計畫之收案數</w:t>
      </w:r>
    </w:p>
    <w:tbl>
      <w:tblPr>
        <w:tblW w:w="4253" w:type="pct"/>
        <w:tblInd w:w="1271" w:type="dxa"/>
        <w:tblLayout w:type="fixed"/>
        <w:tblCellMar>
          <w:left w:w="28" w:type="dxa"/>
          <w:right w:w="28" w:type="dxa"/>
        </w:tblCellMar>
        <w:tblLook w:val="04A0" w:firstRow="1" w:lastRow="0" w:firstColumn="1" w:lastColumn="0" w:noHBand="0" w:noVBand="1"/>
      </w:tblPr>
      <w:tblGrid>
        <w:gridCol w:w="2268"/>
        <w:gridCol w:w="1748"/>
        <w:gridCol w:w="1749"/>
        <w:gridCol w:w="1749"/>
      </w:tblGrid>
      <w:tr w:rsidR="00BE562A" w:rsidRPr="00BE562A" w:rsidTr="00BE562A">
        <w:trPr>
          <w:trHeight w:val="20"/>
          <w:tblHeader/>
        </w:trPr>
        <w:tc>
          <w:tcPr>
            <w:tcW w:w="1509" w:type="pct"/>
            <w:tcBorders>
              <w:top w:val="single" w:sz="4" w:space="0" w:color="auto"/>
              <w:left w:val="single" w:sz="4" w:space="0" w:color="auto"/>
              <w:bottom w:val="single" w:sz="4" w:space="0" w:color="000000"/>
              <w:right w:val="single" w:sz="4" w:space="0" w:color="auto"/>
            </w:tcBorders>
            <w:shd w:val="clear" w:color="auto" w:fill="EEECE1" w:themeFill="background2"/>
            <w:noWrap/>
            <w:vAlign w:val="center"/>
            <w:hideMark/>
          </w:tcPr>
          <w:p w:rsidR="001B7C01" w:rsidRPr="00BE562A" w:rsidRDefault="00767F92" w:rsidP="00CA791F">
            <w:pPr>
              <w:pStyle w:val="14"/>
              <w:spacing w:line="250" w:lineRule="exact"/>
              <w:jc w:val="center"/>
              <w:rPr>
                <w:rFonts w:hAnsi="標楷體"/>
              </w:rPr>
            </w:pPr>
            <w:r w:rsidRPr="00BE562A">
              <w:rPr>
                <w:rFonts w:hAnsi="標楷體" w:hint="eastAsia"/>
              </w:rPr>
              <w:t>醫院名稱</w:t>
            </w:r>
          </w:p>
        </w:tc>
        <w:tc>
          <w:tcPr>
            <w:tcW w:w="1163"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rsidR="001B7C01" w:rsidRPr="00BE562A" w:rsidRDefault="001B7C01" w:rsidP="00CA791F">
            <w:pPr>
              <w:pStyle w:val="14"/>
              <w:spacing w:line="250" w:lineRule="exact"/>
              <w:jc w:val="center"/>
              <w:rPr>
                <w:rFonts w:hAnsi="標楷體"/>
              </w:rPr>
            </w:pPr>
            <w:r w:rsidRPr="00BE562A">
              <w:rPr>
                <w:rFonts w:hAnsi="標楷體"/>
              </w:rPr>
              <w:t>106</w:t>
            </w:r>
            <w:r w:rsidRPr="00BE562A">
              <w:rPr>
                <w:rFonts w:hAnsi="標楷體" w:hint="eastAsia"/>
              </w:rPr>
              <w:t>年</w:t>
            </w:r>
          </w:p>
        </w:tc>
        <w:tc>
          <w:tcPr>
            <w:tcW w:w="1164"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rsidR="001B7C01" w:rsidRPr="00BE562A" w:rsidRDefault="001B7C01" w:rsidP="00CA791F">
            <w:pPr>
              <w:pStyle w:val="14"/>
              <w:spacing w:line="250" w:lineRule="exact"/>
              <w:jc w:val="center"/>
              <w:rPr>
                <w:rFonts w:hAnsi="標楷體"/>
              </w:rPr>
            </w:pPr>
            <w:r w:rsidRPr="00BE562A">
              <w:rPr>
                <w:rFonts w:hAnsi="標楷體"/>
              </w:rPr>
              <w:t>107</w:t>
            </w:r>
            <w:r w:rsidRPr="00BE562A">
              <w:rPr>
                <w:rFonts w:hAnsi="標楷體" w:hint="eastAsia"/>
              </w:rPr>
              <w:t>年</w:t>
            </w:r>
          </w:p>
        </w:tc>
        <w:tc>
          <w:tcPr>
            <w:tcW w:w="1164"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rsidR="001B7C01" w:rsidRPr="00BE562A" w:rsidRDefault="001B7C01" w:rsidP="00CA791F">
            <w:pPr>
              <w:pStyle w:val="14"/>
              <w:spacing w:line="250" w:lineRule="exact"/>
              <w:jc w:val="center"/>
              <w:rPr>
                <w:rFonts w:hAnsi="標楷體"/>
              </w:rPr>
            </w:pPr>
            <w:r w:rsidRPr="00BE562A">
              <w:rPr>
                <w:rFonts w:hAnsi="標楷體"/>
              </w:rPr>
              <w:t>108</w:t>
            </w:r>
            <w:r w:rsidRPr="00BE562A">
              <w:rPr>
                <w:rFonts w:hAnsi="標楷體" w:hint="eastAsia"/>
              </w:rPr>
              <w:t>年</w:t>
            </w:r>
            <w:r w:rsidRPr="00BE562A">
              <w:rPr>
                <w:rFonts w:hAnsi="標楷體"/>
              </w:rPr>
              <w:t>1-10</w:t>
            </w:r>
            <w:r w:rsidRPr="00BE562A">
              <w:rPr>
                <w:rFonts w:hAnsi="標楷體" w:hint="eastAsia"/>
              </w:rPr>
              <w:t>月</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基隆醫院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8</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37</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25</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臺北醫院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9</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17</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8</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lastRenderedPageBreak/>
              <w:t>桃園醫院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126</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235</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188</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桃園</w:t>
            </w:r>
            <w:r w:rsidR="00DD6BCC" w:rsidRPr="00BE562A">
              <w:rPr>
                <w:rFonts w:hAnsi="標楷體" w:hint="eastAsia"/>
              </w:rPr>
              <w:t>醫院</w:t>
            </w:r>
            <w:r w:rsidRPr="00BE562A">
              <w:rPr>
                <w:rFonts w:hAnsi="標楷體" w:hint="eastAsia"/>
              </w:rPr>
              <w:t>新屋分院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44</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56</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55</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苗栗醫院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37</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55</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54</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臺中醫院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92</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98</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118</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豐原醫院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91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152</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125</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彰化醫院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8</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4</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6</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臺南醫院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111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101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92</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臺南</w:t>
            </w:r>
            <w:r w:rsidR="00DD6BCC" w:rsidRPr="00BE562A">
              <w:rPr>
                <w:rFonts w:hAnsi="標楷體" w:hint="eastAsia"/>
              </w:rPr>
              <w:t>醫院</w:t>
            </w:r>
            <w:r w:rsidRPr="00BE562A">
              <w:rPr>
                <w:rFonts w:hAnsi="標楷體" w:hint="eastAsia"/>
              </w:rPr>
              <w:t>新化分院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19</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11</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屏東醫院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33</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金門醫院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6</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6</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7</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南投醫院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42</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37</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24</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嘉義醫院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0</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6</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4</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朴子醫院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0</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0</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0</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新營醫院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8</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9</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6</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旗山醫院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45</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31</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23</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恆春旅遊醫院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1</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5</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5</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澎湖醫院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6</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0</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2</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B7C01" w:rsidRPr="00BE562A" w:rsidRDefault="00596B52" w:rsidP="00CA791F">
            <w:pPr>
              <w:pStyle w:val="14"/>
              <w:spacing w:line="250" w:lineRule="exact"/>
              <w:jc w:val="center"/>
              <w:rPr>
                <w:rFonts w:hAnsi="標楷體"/>
              </w:rPr>
            </w:pPr>
            <w:r w:rsidRPr="00BE562A">
              <w:rPr>
                <w:rFonts w:hAnsi="標楷體" w:hint="eastAsia"/>
              </w:rPr>
              <w:t>臺東</w:t>
            </w:r>
            <w:r w:rsidR="001B7C01" w:rsidRPr="00BE562A">
              <w:rPr>
                <w:rFonts w:hAnsi="標楷體" w:hint="eastAsia"/>
              </w:rPr>
              <w:t>醫院</w:t>
            </w:r>
          </w:p>
        </w:tc>
        <w:tc>
          <w:tcPr>
            <w:tcW w:w="1163"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1</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11</w:t>
            </w:r>
          </w:p>
        </w:tc>
        <w:tc>
          <w:tcPr>
            <w:tcW w:w="1164" w:type="pct"/>
            <w:tcBorders>
              <w:top w:val="nil"/>
              <w:left w:val="nil"/>
              <w:bottom w:val="single" w:sz="4" w:space="0" w:color="auto"/>
              <w:right w:val="single" w:sz="4" w:space="0" w:color="auto"/>
            </w:tcBorders>
            <w:shd w:val="clear" w:color="auto" w:fill="C6D9F1" w:themeFill="text2" w:themeFillTint="33"/>
            <w:noWrap/>
            <w:vAlign w:val="center"/>
            <w:hideMark/>
          </w:tcPr>
          <w:p w:rsidR="001B7C01" w:rsidRPr="00BE562A" w:rsidRDefault="001B7C01" w:rsidP="00CA791F">
            <w:pPr>
              <w:pStyle w:val="14"/>
              <w:spacing w:line="250" w:lineRule="exact"/>
              <w:jc w:val="right"/>
              <w:rPr>
                <w:rFonts w:hAnsi="標楷體"/>
              </w:rPr>
            </w:pPr>
            <w:r w:rsidRPr="00BE562A">
              <w:rPr>
                <w:rFonts w:hAnsi="標楷體"/>
              </w:rPr>
              <w:t>0</w:t>
            </w:r>
          </w:p>
        </w:tc>
      </w:tr>
      <w:tr w:rsidR="00BE562A" w:rsidRPr="00BE562A" w:rsidTr="00BE562A">
        <w:trPr>
          <w:trHeight w:val="20"/>
        </w:trPr>
        <w:tc>
          <w:tcPr>
            <w:tcW w:w="1509" w:type="pct"/>
            <w:tcBorders>
              <w:top w:val="nil"/>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花蓮醫院</w:t>
            </w:r>
          </w:p>
        </w:tc>
        <w:tc>
          <w:tcPr>
            <w:tcW w:w="1163"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30</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43</w:t>
            </w:r>
          </w:p>
        </w:tc>
        <w:tc>
          <w:tcPr>
            <w:tcW w:w="1164" w:type="pct"/>
            <w:tcBorders>
              <w:top w:val="nil"/>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48</w:t>
            </w:r>
          </w:p>
        </w:tc>
      </w:tr>
      <w:tr w:rsidR="00BE562A" w:rsidRPr="00BE562A" w:rsidTr="00BE562A">
        <w:trPr>
          <w:trHeight w:val="20"/>
        </w:trPr>
        <w:tc>
          <w:tcPr>
            <w:tcW w:w="1509" w:type="pct"/>
            <w:tcBorders>
              <w:top w:val="single" w:sz="4" w:space="0" w:color="auto"/>
              <w:left w:val="single" w:sz="4" w:space="0" w:color="auto"/>
              <w:bottom w:val="single" w:sz="4" w:space="0" w:color="auto"/>
              <w:right w:val="single" w:sz="4" w:space="0" w:color="auto"/>
            </w:tcBorders>
            <w:noWrap/>
            <w:vAlign w:val="center"/>
            <w:hideMark/>
          </w:tcPr>
          <w:p w:rsidR="001B7C01" w:rsidRPr="00BE562A" w:rsidRDefault="001B7C01" w:rsidP="00CA791F">
            <w:pPr>
              <w:pStyle w:val="14"/>
              <w:spacing w:line="250" w:lineRule="exact"/>
              <w:jc w:val="center"/>
              <w:rPr>
                <w:rFonts w:hAnsi="標楷體"/>
              </w:rPr>
            </w:pPr>
            <w:r w:rsidRPr="00BE562A">
              <w:rPr>
                <w:rFonts w:hAnsi="標楷體" w:hint="eastAsia"/>
              </w:rPr>
              <w:t>樂生療養院</w:t>
            </w:r>
          </w:p>
        </w:tc>
        <w:tc>
          <w:tcPr>
            <w:tcW w:w="1163" w:type="pct"/>
            <w:tcBorders>
              <w:top w:val="single" w:sz="4" w:space="0" w:color="auto"/>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38</w:t>
            </w:r>
          </w:p>
        </w:tc>
        <w:tc>
          <w:tcPr>
            <w:tcW w:w="1164" w:type="pct"/>
            <w:tcBorders>
              <w:top w:val="single" w:sz="4" w:space="0" w:color="auto"/>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44</w:t>
            </w:r>
          </w:p>
        </w:tc>
        <w:tc>
          <w:tcPr>
            <w:tcW w:w="1164" w:type="pct"/>
            <w:tcBorders>
              <w:top w:val="single" w:sz="4" w:space="0" w:color="auto"/>
              <w:left w:val="nil"/>
              <w:bottom w:val="single" w:sz="4" w:space="0" w:color="auto"/>
              <w:right w:val="single" w:sz="4" w:space="0" w:color="auto"/>
            </w:tcBorders>
            <w:noWrap/>
            <w:vAlign w:val="center"/>
            <w:hideMark/>
          </w:tcPr>
          <w:p w:rsidR="001B7C01" w:rsidRPr="00BE562A" w:rsidRDefault="001B7C01" w:rsidP="00CA791F">
            <w:pPr>
              <w:pStyle w:val="14"/>
              <w:spacing w:line="250" w:lineRule="exact"/>
              <w:jc w:val="right"/>
              <w:rPr>
                <w:rFonts w:hAnsi="標楷體"/>
              </w:rPr>
            </w:pPr>
            <w:r w:rsidRPr="00BE562A">
              <w:rPr>
                <w:rFonts w:hAnsi="標楷體"/>
              </w:rPr>
              <w:t>34</w:t>
            </w:r>
          </w:p>
        </w:tc>
      </w:tr>
      <w:tr w:rsidR="00BE562A" w:rsidRPr="00BE562A" w:rsidTr="00BE562A">
        <w:trPr>
          <w:trHeight w:val="20"/>
        </w:trPr>
        <w:tc>
          <w:tcPr>
            <w:tcW w:w="1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B7C01" w:rsidRPr="00BE562A" w:rsidRDefault="001B7C01" w:rsidP="00CA791F">
            <w:pPr>
              <w:pStyle w:val="14"/>
              <w:spacing w:line="250" w:lineRule="exact"/>
              <w:jc w:val="center"/>
              <w:rPr>
                <w:rFonts w:hAnsi="標楷體"/>
                <w:b/>
              </w:rPr>
            </w:pPr>
            <w:r w:rsidRPr="00BE562A">
              <w:rPr>
                <w:rFonts w:hAnsi="標楷體" w:hint="eastAsia"/>
                <w:b/>
              </w:rPr>
              <w:t>小計</w:t>
            </w:r>
          </w:p>
        </w:tc>
        <w:tc>
          <w:tcPr>
            <w:tcW w:w="11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B7C01" w:rsidRPr="00BE562A" w:rsidRDefault="001B7C01" w:rsidP="00CA791F">
            <w:pPr>
              <w:pStyle w:val="14"/>
              <w:spacing w:line="250" w:lineRule="exact"/>
              <w:jc w:val="right"/>
              <w:rPr>
                <w:rFonts w:hAnsi="標楷體"/>
                <w:b/>
              </w:rPr>
            </w:pPr>
            <w:r w:rsidRPr="00BE562A">
              <w:rPr>
                <w:rFonts w:hAnsi="標楷體"/>
                <w:b/>
              </w:rPr>
              <w:t>735</w:t>
            </w:r>
          </w:p>
        </w:tc>
        <w:tc>
          <w:tcPr>
            <w:tcW w:w="116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B7C01" w:rsidRPr="00BE562A" w:rsidRDefault="001B7C01" w:rsidP="00CA791F">
            <w:pPr>
              <w:pStyle w:val="14"/>
              <w:spacing w:line="250" w:lineRule="exact"/>
              <w:jc w:val="right"/>
              <w:rPr>
                <w:rFonts w:hAnsi="標楷體"/>
                <w:b/>
              </w:rPr>
            </w:pPr>
            <w:r w:rsidRPr="00BE562A">
              <w:rPr>
                <w:rFonts w:hAnsi="標楷體"/>
                <w:b/>
              </w:rPr>
              <w:t>997</w:t>
            </w:r>
          </w:p>
        </w:tc>
        <w:tc>
          <w:tcPr>
            <w:tcW w:w="116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B7C01" w:rsidRPr="00BE562A" w:rsidRDefault="001B7C01" w:rsidP="00CA791F">
            <w:pPr>
              <w:pStyle w:val="14"/>
              <w:spacing w:line="250" w:lineRule="exact"/>
              <w:jc w:val="right"/>
              <w:rPr>
                <w:rFonts w:hAnsi="標楷體"/>
                <w:b/>
              </w:rPr>
            </w:pPr>
            <w:r w:rsidRPr="00BE562A">
              <w:rPr>
                <w:rFonts w:hAnsi="標楷體"/>
                <w:b/>
              </w:rPr>
              <w:t>868</w:t>
            </w:r>
          </w:p>
        </w:tc>
      </w:tr>
    </w:tbl>
    <w:p w:rsidR="00AA4695" w:rsidRPr="00BE562A" w:rsidRDefault="00AA4695" w:rsidP="00E76662">
      <w:pPr>
        <w:pStyle w:val="a3"/>
        <w:numPr>
          <w:ilvl w:val="0"/>
          <w:numId w:val="0"/>
        </w:numPr>
        <w:spacing w:before="0" w:after="0"/>
        <w:ind w:firstLineChars="455" w:firstLine="1275"/>
        <w:rPr>
          <w:rFonts w:hAnsi="標楷體"/>
        </w:rPr>
      </w:pPr>
      <w:r w:rsidRPr="00BE562A">
        <w:rPr>
          <w:rFonts w:hAnsi="標楷體" w:hint="eastAsia"/>
        </w:rPr>
        <w:t>資料來源</w:t>
      </w:r>
      <w:r w:rsidR="00447786" w:rsidRPr="00BE562A">
        <w:rPr>
          <w:rFonts w:hAnsi="標楷體" w:hint="eastAsia"/>
        </w:rPr>
        <w:t>：</w:t>
      </w:r>
      <w:r w:rsidRPr="00BE562A">
        <w:rPr>
          <w:rFonts w:hAnsi="標楷體" w:hint="eastAsia"/>
        </w:rPr>
        <w:t>衛福部</w:t>
      </w:r>
      <w:r w:rsidRPr="00BE562A">
        <w:rPr>
          <w:rFonts w:hAnsi="標楷體"/>
        </w:rPr>
        <w:t>108年12月11日約詢書面資料。</w:t>
      </w:r>
    </w:p>
    <w:p w:rsidR="00DD6BCC" w:rsidRPr="00BE562A" w:rsidRDefault="00DD6BCC" w:rsidP="00DD6BCC">
      <w:pPr>
        <w:rPr>
          <w:rFonts w:hAnsi="標楷體"/>
        </w:rPr>
      </w:pPr>
    </w:p>
    <w:p w:rsidR="00E94ADE" w:rsidRPr="00BE562A" w:rsidRDefault="00E94ADE" w:rsidP="00E11B3E">
      <w:pPr>
        <w:pStyle w:val="a3"/>
        <w:numPr>
          <w:ilvl w:val="0"/>
          <w:numId w:val="0"/>
        </w:numPr>
        <w:spacing w:line="240" w:lineRule="auto"/>
        <w:ind w:leftChars="500" w:left="1701" w:firstLineChars="176" w:firstLine="563"/>
        <w:rPr>
          <w:rFonts w:hAnsi="標楷體"/>
          <w:sz w:val="32"/>
          <w:szCs w:val="32"/>
        </w:rPr>
      </w:pPr>
      <w:r w:rsidRPr="00BE562A">
        <w:rPr>
          <w:rFonts w:hAnsi="標楷體" w:hint="eastAsia"/>
          <w:sz w:val="32"/>
          <w:szCs w:val="32"/>
        </w:rPr>
        <w:t>依上可知，除</w:t>
      </w:r>
      <w:r w:rsidR="00596B52" w:rsidRPr="00BE562A">
        <w:rPr>
          <w:rFonts w:hAnsi="標楷體" w:hint="eastAsia"/>
          <w:sz w:val="32"/>
          <w:szCs w:val="32"/>
        </w:rPr>
        <w:t>衛福</w:t>
      </w:r>
      <w:r w:rsidRPr="00BE562A">
        <w:rPr>
          <w:rFonts w:hAnsi="標楷體" w:hint="eastAsia"/>
          <w:sz w:val="32"/>
          <w:szCs w:val="32"/>
        </w:rPr>
        <w:t>部</w:t>
      </w:r>
      <w:r w:rsidR="00596B52" w:rsidRPr="00BE562A">
        <w:rPr>
          <w:rFonts w:hAnsi="標楷體" w:hint="eastAsia"/>
          <w:sz w:val="32"/>
          <w:szCs w:val="32"/>
        </w:rPr>
        <w:t>之</w:t>
      </w:r>
      <w:r w:rsidRPr="00BE562A">
        <w:rPr>
          <w:rFonts w:hAnsi="標楷體" w:hint="eastAsia"/>
          <w:sz w:val="32"/>
          <w:szCs w:val="32"/>
        </w:rPr>
        <w:t>朴子醫院連</w:t>
      </w:r>
      <w:r w:rsidRPr="00BE562A">
        <w:rPr>
          <w:rFonts w:hAnsi="標楷體"/>
          <w:sz w:val="32"/>
          <w:szCs w:val="32"/>
        </w:rPr>
        <w:t>3年都無收案數外，</w:t>
      </w:r>
      <w:r w:rsidR="00596B52" w:rsidRPr="00BE562A">
        <w:rPr>
          <w:rFonts w:hAnsi="標楷體" w:hint="eastAsia"/>
          <w:sz w:val="32"/>
          <w:szCs w:val="32"/>
        </w:rPr>
        <w:t>該</w:t>
      </w:r>
      <w:r w:rsidRPr="00BE562A">
        <w:rPr>
          <w:rFonts w:hAnsi="標楷體" w:hint="eastAsia"/>
          <w:sz w:val="32"/>
          <w:szCs w:val="32"/>
        </w:rPr>
        <w:t>部</w:t>
      </w:r>
      <w:r w:rsidR="00596B52" w:rsidRPr="00BE562A">
        <w:rPr>
          <w:rFonts w:hAnsi="標楷體" w:hint="eastAsia"/>
          <w:sz w:val="32"/>
          <w:szCs w:val="32"/>
        </w:rPr>
        <w:t>之</w:t>
      </w:r>
      <w:r w:rsidRPr="00BE562A">
        <w:rPr>
          <w:rFonts w:hAnsi="標楷體" w:hint="eastAsia"/>
          <w:sz w:val="32"/>
          <w:szCs w:val="32"/>
        </w:rPr>
        <w:t>彰化、金門、嘉義、新營、恆春旅遊、澎湖及</w:t>
      </w:r>
      <w:r w:rsidR="00596B52" w:rsidRPr="00BE562A">
        <w:rPr>
          <w:rFonts w:hAnsi="標楷體" w:hint="eastAsia"/>
          <w:sz w:val="32"/>
          <w:szCs w:val="32"/>
        </w:rPr>
        <w:t>臺東</w:t>
      </w:r>
      <w:r w:rsidRPr="00BE562A">
        <w:rPr>
          <w:rFonts w:hAnsi="標楷體" w:hint="eastAsia"/>
          <w:sz w:val="32"/>
          <w:szCs w:val="32"/>
        </w:rPr>
        <w:t>等</w:t>
      </w:r>
      <w:r w:rsidRPr="00BE562A">
        <w:rPr>
          <w:rFonts w:hAnsi="標楷體"/>
          <w:sz w:val="32"/>
          <w:szCs w:val="32"/>
        </w:rPr>
        <w:t>7家</w:t>
      </w:r>
      <w:r w:rsidR="005628F6" w:rsidRPr="00BE562A">
        <w:rPr>
          <w:rFonts w:hAnsi="標楷體" w:hint="eastAsia"/>
          <w:sz w:val="32"/>
          <w:szCs w:val="32"/>
        </w:rPr>
        <w:t>醫院，</w:t>
      </w:r>
      <w:r w:rsidRPr="00BE562A">
        <w:rPr>
          <w:rFonts w:hAnsi="標楷體" w:hint="eastAsia"/>
          <w:sz w:val="32"/>
          <w:szCs w:val="32"/>
        </w:rPr>
        <w:t>近</w:t>
      </w:r>
      <w:r w:rsidRPr="00BE562A">
        <w:rPr>
          <w:rFonts w:hAnsi="標楷體"/>
          <w:sz w:val="32"/>
          <w:szCs w:val="32"/>
        </w:rPr>
        <w:t>3年收案數都在個位數。</w:t>
      </w:r>
    </w:p>
    <w:p w:rsidR="00AA4695" w:rsidRPr="00BE562A" w:rsidRDefault="0085589C" w:rsidP="00BE562A">
      <w:pPr>
        <w:pStyle w:val="4"/>
        <w:rPr>
          <w:rFonts w:hAnsi="標楷體"/>
        </w:rPr>
      </w:pPr>
      <w:r w:rsidRPr="00BE562A">
        <w:rPr>
          <w:rFonts w:hAnsi="標楷體" w:hint="eastAsia"/>
        </w:rPr>
        <w:t>居家醫療照護整合計畫</w:t>
      </w:r>
      <w:r w:rsidR="009772FE" w:rsidRPr="00BE562A">
        <w:rPr>
          <w:rFonts w:hAnsi="標楷體" w:hint="eastAsia"/>
        </w:rPr>
        <w:t>辦理</w:t>
      </w:r>
      <w:r w:rsidR="00AA4695" w:rsidRPr="00BE562A">
        <w:rPr>
          <w:rFonts w:hAnsi="標楷體" w:hint="eastAsia"/>
        </w:rPr>
        <w:t>情形如下表</w:t>
      </w:r>
      <w:r w:rsidR="00447786" w:rsidRPr="00BE562A">
        <w:rPr>
          <w:rFonts w:hAnsi="標楷體" w:hint="eastAsia"/>
        </w:rPr>
        <w:t>：</w:t>
      </w:r>
    </w:p>
    <w:p w:rsidR="00AA4695" w:rsidRPr="00BE562A" w:rsidRDefault="00AA4695" w:rsidP="00BE562A">
      <w:pPr>
        <w:pStyle w:val="a3"/>
        <w:spacing w:before="120" w:after="0"/>
        <w:ind w:left="794" w:hanging="794"/>
        <w:rPr>
          <w:rFonts w:hAnsi="標楷體"/>
        </w:rPr>
      </w:pPr>
      <w:r w:rsidRPr="00BE562A">
        <w:rPr>
          <w:rFonts w:hAnsi="標楷體"/>
        </w:rPr>
        <w:t>106</w:t>
      </w:r>
      <w:r w:rsidR="00F82042" w:rsidRPr="00BE562A">
        <w:rPr>
          <w:rFonts w:hAnsi="標楷體" w:hint="eastAsia"/>
          <w:lang w:eastAsia="zh-HK"/>
        </w:rPr>
        <w:t>年至</w:t>
      </w:r>
      <w:r w:rsidRPr="00BE562A">
        <w:rPr>
          <w:rFonts w:hAnsi="標楷體"/>
        </w:rPr>
        <w:t>108</w:t>
      </w:r>
      <w:r w:rsidRPr="00BE562A">
        <w:rPr>
          <w:rFonts w:hAnsi="標楷體" w:hint="eastAsia"/>
        </w:rPr>
        <w:t>年</w:t>
      </w:r>
      <w:r w:rsidRPr="00BE562A">
        <w:rPr>
          <w:rFonts w:hAnsi="標楷體"/>
        </w:rPr>
        <w:t>1</w:t>
      </w:r>
      <w:r w:rsidR="00F82042" w:rsidRPr="00BE562A">
        <w:rPr>
          <w:rFonts w:hAnsi="標楷體"/>
        </w:rPr>
        <w:t>1</w:t>
      </w:r>
      <w:r w:rsidRPr="00BE562A">
        <w:rPr>
          <w:rFonts w:hAnsi="標楷體" w:hint="eastAsia"/>
        </w:rPr>
        <w:t>月</w:t>
      </w:r>
      <w:r w:rsidR="00B83099" w:rsidRPr="00BE562A">
        <w:rPr>
          <w:rFonts w:hAnsi="標楷體" w:hint="eastAsia"/>
        </w:rPr>
        <w:t>衛福部</w:t>
      </w:r>
      <w:r w:rsidR="00046175" w:rsidRPr="00BE562A">
        <w:rPr>
          <w:rFonts w:hAnsi="標楷體" w:hint="eastAsia"/>
        </w:rPr>
        <w:t>部立醫院</w:t>
      </w:r>
      <w:r w:rsidR="000E312B" w:rsidRPr="00BE562A">
        <w:rPr>
          <w:rFonts w:hAnsi="標楷體" w:hint="eastAsia"/>
          <w:lang w:eastAsia="zh-HK"/>
        </w:rPr>
        <w:t>辦理</w:t>
      </w:r>
      <w:r w:rsidR="0085589C" w:rsidRPr="00BE562A">
        <w:rPr>
          <w:rFonts w:hAnsi="標楷體" w:hint="eastAsia"/>
        </w:rPr>
        <w:t>居家醫療照護整合計畫</w:t>
      </w:r>
      <w:r w:rsidRPr="00BE562A">
        <w:rPr>
          <w:rFonts w:hAnsi="標楷體"/>
        </w:rPr>
        <w:t>(S1</w:t>
      </w:r>
      <w:r w:rsidRPr="00BE562A">
        <w:rPr>
          <w:rFonts w:hAnsi="標楷體" w:hint="eastAsia"/>
        </w:rPr>
        <w:t>、</w:t>
      </w:r>
      <w:r w:rsidRPr="00BE562A">
        <w:rPr>
          <w:rFonts w:hAnsi="標楷體"/>
        </w:rPr>
        <w:t>S2</w:t>
      </w:r>
      <w:r w:rsidRPr="00BE562A">
        <w:rPr>
          <w:rFonts w:hAnsi="標楷體" w:hint="eastAsia"/>
        </w:rPr>
        <w:t>、</w:t>
      </w:r>
      <w:r w:rsidRPr="00BE562A">
        <w:rPr>
          <w:rFonts w:hAnsi="標楷體"/>
        </w:rPr>
        <w:t>S3)</w:t>
      </w:r>
      <w:r w:rsidRPr="00BE562A">
        <w:rPr>
          <w:rFonts w:hAnsi="標楷體" w:hint="eastAsia"/>
        </w:rPr>
        <w:t>之收案人</w:t>
      </w:r>
      <w:r w:rsidR="002947DB" w:rsidRPr="00BE562A">
        <w:rPr>
          <w:rFonts w:hAnsi="標楷體" w:hint="eastAsia"/>
        </w:rPr>
        <w:t>數</w:t>
      </w:r>
    </w:p>
    <w:tbl>
      <w:tblPr>
        <w:tblW w:w="0" w:type="auto"/>
        <w:jc w:val="right"/>
        <w:tblCellMar>
          <w:left w:w="28" w:type="dxa"/>
          <w:right w:w="28" w:type="dxa"/>
        </w:tblCellMar>
        <w:tblLook w:val="04A0" w:firstRow="1" w:lastRow="0" w:firstColumn="1" w:lastColumn="0" w:noHBand="0" w:noVBand="1"/>
      </w:tblPr>
      <w:tblGrid>
        <w:gridCol w:w="1329"/>
        <w:gridCol w:w="724"/>
        <w:gridCol w:w="1073"/>
        <w:gridCol w:w="724"/>
        <w:gridCol w:w="724"/>
        <w:gridCol w:w="1073"/>
        <w:gridCol w:w="695"/>
        <w:gridCol w:w="724"/>
        <w:gridCol w:w="1073"/>
        <w:gridCol w:w="695"/>
      </w:tblGrid>
      <w:tr w:rsidR="00BE562A" w:rsidRPr="00BE562A" w:rsidTr="00433577">
        <w:trPr>
          <w:trHeight w:val="170"/>
          <w:tblHeader/>
          <w:jc w:val="right"/>
        </w:trPr>
        <w:tc>
          <w:tcPr>
            <w:tcW w:w="0" w:type="auto"/>
            <w:vMerge w:val="restart"/>
            <w:tcBorders>
              <w:top w:val="single" w:sz="4" w:space="0" w:color="auto"/>
              <w:left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rPr>
            </w:pPr>
            <w:r w:rsidRPr="00BE562A">
              <w:rPr>
                <w:rFonts w:hAnsi="標楷體" w:cs="Arial" w:hint="eastAsia"/>
                <w:sz w:val="26"/>
                <w:szCs w:val="26"/>
              </w:rPr>
              <w:t>醫院</w:t>
            </w:r>
            <w:r w:rsidRPr="00BE562A">
              <w:rPr>
                <w:rFonts w:hAnsi="標楷體" w:cs="Arial" w:hint="eastAsia"/>
                <w:sz w:val="26"/>
                <w:szCs w:val="26"/>
                <w:lang w:eastAsia="zh-HK"/>
              </w:rPr>
              <w:t>名稱</w:t>
            </w:r>
          </w:p>
        </w:tc>
        <w:tc>
          <w:tcPr>
            <w:tcW w:w="0" w:type="auto"/>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rPr>
            </w:pPr>
            <w:r w:rsidRPr="00BE562A">
              <w:rPr>
                <w:rFonts w:hAnsi="標楷體"/>
              </w:rPr>
              <w:t>106</w:t>
            </w:r>
            <w:r w:rsidRPr="00BE562A">
              <w:rPr>
                <w:rFonts w:hAnsi="標楷體" w:hint="eastAsia"/>
              </w:rPr>
              <w:t>年</w:t>
            </w:r>
          </w:p>
        </w:tc>
        <w:tc>
          <w:tcPr>
            <w:tcW w:w="0" w:type="auto"/>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rPr>
            </w:pPr>
            <w:r w:rsidRPr="00BE562A">
              <w:rPr>
                <w:rFonts w:hAnsi="標楷體"/>
              </w:rPr>
              <w:t>107</w:t>
            </w:r>
            <w:r w:rsidRPr="00BE562A">
              <w:rPr>
                <w:rFonts w:hAnsi="標楷體" w:hint="eastAsia"/>
              </w:rPr>
              <w:t>年</w:t>
            </w:r>
          </w:p>
        </w:tc>
        <w:tc>
          <w:tcPr>
            <w:tcW w:w="0" w:type="auto"/>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rPr>
            </w:pPr>
            <w:r w:rsidRPr="00BE562A">
              <w:rPr>
                <w:rFonts w:hAnsi="標楷體"/>
              </w:rPr>
              <w:t>108</w:t>
            </w:r>
            <w:r w:rsidRPr="00BE562A">
              <w:rPr>
                <w:rFonts w:hAnsi="標楷體" w:hint="eastAsia"/>
              </w:rPr>
              <w:t>年</w:t>
            </w:r>
            <w:r w:rsidRPr="00BE562A">
              <w:rPr>
                <w:rFonts w:hAnsi="標楷體"/>
              </w:rPr>
              <w:t>1-11</w:t>
            </w:r>
            <w:r w:rsidRPr="00BE562A">
              <w:rPr>
                <w:rFonts w:hAnsi="標楷體" w:hint="eastAsia"/>
              </w:rPr>
              <w:t>月</w:t>
            </w:r>
          </w:p>
        </w:tc>
      </w:tr>
      <w:tr w:rsidR="00BE562A" w:rsidRPr="00BE562A" w:rsidTr="00433577">
        <w:trPr>
          <w:trHeight w:val="170"/>
          <w:tblHeader/>
          <w:jc w:val="right"/>
        </w:trPr>
        <w:tc>
          <w:tcPr>
            <w:tcW w:w="0" w:type="auto"/>
            <w:vMerge/>
            <w:tcBorders>
              <w:left w:val="single" w:sz="4" w:space="0" w:color="auto"/>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rPr>
            </w:pP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S1</w:t>
            </w:r>
            <w:r w:rsidRPr="00BE562A">
              <w:rPr>
                <w:rFonts w:hAnsi="標楷體"/>
                <w:spacing w:val="-20"/>
              </w:rPr>
              <w:br/>
            </w:r>
            <w:r w:rsidRPr="00BE562A">
              <w:rPr>
                <w:rFonts w:hAnsi="標楷體" w:hint="eastAsia"/>
                <w:spacing w:val="-20"/>
              </w:rPr>
              <w:t>居家醫療</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S2</w:t>
            </w:r>
            <w:r w:rsidRPr="00BE562A">
              <w:rPr>
                <w:rFonts w:hAnsi="標楷體"/>
                <w:spacing w:val="-20"/>
              </w:rPr>
              <w:br/>
            </w:r>
            <w:r w:rsidRPr="00BE562A">
              <w:rPr>
                <w:rFonts w:hAnsi="標楷體" w:hint="eastAsia"/>
                <w:spacing w:val="-20"/>
              </w:rPr>
              <w:t>重度居家醫療</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S3</w:t>
            </w:r>
            <w:r w:rsidRPr="00BE562A">
              <w:rPr>
                <w:rFonts w:hAnsi="標楷體"/>
                <w:spacing w:val="-20"/>
              </w:rPr>
              <w:br/>
            </w:r>
            <w:r w:rsidRPr="00BE562A">
              <w:rPr>
                <w:rFonts w:hAnsi="標楷體" w:hint="eastAsia"/>
                <w:spacing w:val="-20"/>
              </w:rPr>
              <w:t>安寧療護</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S1</w:t>
            </w:r>
            <w:r w:rsidRPr="00BE562A">
              <w:rPr>
                <w:rFonts w:hAnsi="標楷體"/>
                <w:spacing w:val="-20"/>
              </w:rPr>
              <w:br/>
            </w:r>
            <w:r w:rsidRPr="00BE562A">
              <w:rPr>
                <w:rFonts w:hAnsi="標楷體" w:hint="eastAsia"/>
                <w:spacing w:val="-20"/>
              </w:rPr>
              <w:t>居家醫療</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S2</w:t>
            </w:r>
            <w:r w:rsidRPr="00BE562A">
              <w:rPr>
                <w:rFonts w:hAnsi="標楷體"/>
                <w:spacing w:val="-20"/>
              </w:rPr>
              <w:br/>
            </w:r>
            <w:r w:rsidRPr="00BE562A">
              <w:rPr>
                <w:rFonts w:hAnsi="標楷體" w:hint="eastAsia"/>
                <w:spacing w:val="-20"/>
              </w:rPr>
              <w:t>重度居家醫療</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S3</w:t>
            </w:r>
            <w:r w:rsidRPr="00BE562A">
              <w:rPr>
                <w:rFonts w:hAnsi="標楷體"/>
                <w:spacing w:val="-20"/>
              </w:rPr>
              <w:br/>
            </w:r>
            <w:r w:rsidRPr="00BE562A">
              <w:rPr>
                <w:rFonts w:hAnsi="標楷體" w:hint="eastAsia"/>
                <w:spacing w:val="-20"/>
              </w:rPr>
              <w:t>安寧療護</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S1</w:t>
            </w:r>
            <w:r w:rsidRPr="00BE562A">
              <w:rPr>
                <w:rFonts w:hAnsi="標楷體"/>
                <w:spacing w:val="-20"/>
              </w:rPr>
              <w:br/>
            </w:r>
            <w:r w:rsidRPr="00BE562A">
              <w:rPr>
                <w:rFonts w:hAnsi="標楷體" w:hint="eastAsia"/>
                <w:spacing w:val="-20"/>
              </w:rPr>
              <w:t>居家醫療</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S2</w:t>
            </w:r>
            <w:r w:rsidRPr="00BE562A">
              <w:rPr>
                <w:rFonts w:hAnsi="標楷體"/>
                <w:spacing w:val="-20"/>
              </w:rPr>
              <w:br/>
            </w:r>
            <w:r w:rsidRPr="00BE562A">
              <w:rPr>
                <w:rFonts w:hAnsi="標楷體" w:hint="eastAsia"/>
                <w:spacing w:val="-20"/>
              </w:rPr>
              <w:t>重度居家醫療</w:t>
            </w:r>
          </w:p>
        </w:tc>
        <w:tc>
          <w:tcPr>
            <w:tcW w:w="0" w:type="auto"/>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80" w:lineRule="exact"/>
              <w:jc w:val="center"/>
              <w:rPr>
                <w:rFonts w:hAnsi="標楷體"/>
                <w:spacing w:val="-20"/>
              </w:rPr>
            </w:pPr>
            <w:r w:rsidRPr="00BE562A">
              <w:rPr>
                <w:rFonts w:hAnsi="標楷體"/>
                <w:spacing w:val="-20"/>
              </w:rPr>
              <w:t>S3</w:t>
            </w:r>
            <w:r w:rsidRPr="00BE562A">
              <w:rPr>
                <w:rFonts w:hAnsi="標楷體"/>
                <w:spacing w:val="-20"/>
              </w:rPr>
              <w:br/>
            </w:r>
            <w:r w:rsidRPr="00BE562A">
              <w:rPr>
                <w:rFonts w:hAnsi="標楷體" w:hint="eastAsia"/>
                <w:spacing w:val="-20"/>
              </w:rPr>
              <w:t>安寧療護</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基隆醫院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臺北醫院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230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96</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37</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桃園醫院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13</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9</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170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118</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63</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苗栗醫院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100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123</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120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13</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豐原醫院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107</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60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108</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56</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106</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47</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臺中醫院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347</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59</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366</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51</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272</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113</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50</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彰化醫院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37</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61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南投醫院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65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51</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48</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89</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16</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42</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97</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嘉義醫院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820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27</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88</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715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16</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620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朴子醫院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6</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新營醫院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123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154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145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lastRenderedPageBreak/>
              <w:t>臺南醫院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191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39</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17</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172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158</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47</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胸腔病院</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旗山醫院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12</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r w:rsidR="00573060" w:rsidRPr="00BE562A">
              <w:rPr>
                <w:rFonts w:hAnsi="標楷體"/>
              </w:rPr>
              <w:t>,</w:t>
            </w:r>
            <w:r w:rsidRPr="00BE562A">
              <w:rPr>
                <w:rFonts w:hAnsi="標楷體"/>
              </w:rPr>
              <w:t>705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111</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r w:rsidR="00573060" w:rsidRPr="00BE562A">
              <w:rPr>
                <w:rFonts w:hAnsi="標楷體"/>
              </w:rPr>
              <w:t>,</w:t>
            </w:r>
            <w:r w:rsidRPr="00BE562A">
              <w:rPr>
                <w:rFonts w:hAnsi="標楷體"/>
              </w:rPr>
              <w:t>905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88</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36</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r w:rsidR="00573060" w:rsidRPr="00BE562A">
              <w:rPr>
                <w:rFonts w:hAnsi="標楷體"/>
              </w:rPr>
              <w:t>,</w:t>
            </w:r>
            <w:r w:rsidRPr="00BE562A">
              <w:rPr>
                <w:rFonts w:hAnsi="標楷體"/>
              </w:rPr>
              <w:t>802</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75</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屏東醫院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33</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59</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35</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49</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120583" w:rsidP="00CA791F">
            <w:pPr>
              <w:pStyle w:val="120"/>
              <w:spacing w:line="280" w:lineRule="exact"/>
              <w:jc w:val="center"/>
              <w:rPr>
                <w:rFonts w:hAnsi="標楷體"/>
              </w:rPr>
            </w:pPr>
            <w:r w:rsidRPr="00BE562A">
              <w:rPr>
                <w:rFonts w:hAnsi="標楷體" w:hint="eastAsia"/>
              </w:rPr>
              <w:t>恆春旅遊醫院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花蓮醫院</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21</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9</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39</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8</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20</w:t>
            </w:r>
          </w:p>
        </w:tc>
        <w:tc>
          <w:tcPr>
            <w:tcW w:w="0" w:type="auto"/>
            <w:tcBorders>
              <w:top w:val="nil"/>
              <w:left w:val="nil"/>
              <w:bottom w:val="single" w:sz="4" w:space="0" w:color="auto"/>
              <w:right w:val="single" w:sz="4" w:space="0" w:color="auto"/>
            </w:tcBorders>
            <w:shd w:val="clear" w:color="auto" w:fill="FFFFFF"/>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臺東醫院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18</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11</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金門醫院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r w:rsidR="00573060" w:rsidRPr="00BE562A">
              <w:rPr>
                <w:rFonts w:hAnsi="標楷體"/>
              </w:rPr>
              <w:t>,</w:t>
            </w:r>
            <w:r w:rsidRPr="00BE562A">
              <w:rPr>
                <w:rFonts w:hAnsi="標楷體"/>
              </w:rPr>
              <w:t>267</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r w:rsidR="00573060" w:rsidRPr="00BE562A">
              <w:rPr>
                <w:rFonts w:hAnsi="標楷體"/>
              </w:rPr>
              <w:t>,</w:t>
            </w:r>
            <w:r w:rsidRPr="00BE562A">
              <w:rPr>
                <w:rFonts w:hAnsi="標楷體"/>
              </w:rPr>
              <w:t>283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r w:rsidR="00573060" w:rsidRPr="00BE562A">
              <w:rPr>
                <w:rFonts w:hAnsi="標楷體"/>
              </w:rPr>
              <w:t>,</w:t>
            </w:r>
            <w:r w:rsidRPr="00BE562A">
              <w:rPr>
                <w:rFonts w:hAnsi="標楷體"/>
              </w:rPr>
              <w:t>090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37</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澎湖醫院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49</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3</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5</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1</w:t>
            </w:r>
          </w:p>
        </w:tc>
      </w:tr>
      <w:tr w:rsidR="00BE562A" w:rsidRPr="00BE562A" w:rsidTr="00433577">
        <w:trPr>
          <w:trHeight w:val="170"/>
          <w:jc w:val="right"/>
        </w:trPr>
        <w:tc>
          <w:tcPr>
            <w:tcW w:w="0" w:type="auto"/>
            <w:tcBorders>
              <w:top w:val="nil"/>
              <w:left w:val="single" w:sz="4" w:space="0" w:color="auto"/>
              <w:bottom w:val="single" w:sz="4" w:space="0" w:color="auto"/>
              <w:right w:val="single" w:sz="4" w:space="0" w:color="auto"/>
            </w:tcBorders>
            <w:noWrap/>
            <w:vAlign w:val="center"/>
            <w:hideMark/>
          </w:tcPr>
          <w:p w:rsidR="00566704" w:rsidRPr="00BE562A" w:rsidRDefault="00566704" w:rsidP="00CA791F">
            <w:pPr>
              <w:pStyle w:val="120"/>
              <w:spacing w:line="280" w:lineRule="exact"/>
              <w:jc w:val="center"/>
              <w:rPr>
                <w:rFonts w:hAnsi="標楷體"/>
              </w:rPr>
            </w:pPr>
            <w:r w:rsidRPr="00BE562A">
              <w:rPr>
                <w:rFonts w:hAnsi="標楷體" w:hint="eastAsia"/>
              </w:rPr>
              <w:t>樂生療養院</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0</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2</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46</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7</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48</w:t>
            </w:r>
          </w:p>
        </w:tc>
        <w:tc>
          <w:tcPr>
            <w:tcW w:w="0" w:type="auto"/>
            <w:tcBorders>
              <w:top w:val="nil"/>
              <w:left w:val="nil"/>
              <w:bottom w:val="single" w:sz="4" w:space="0" w:color="auto"/>
              <w:right w:val="single" w:sz="4" w:space="0" w:color="auto"/>
            </w:tcBorders>
            <w:noWrap/>
            <w:vAlign w:val="center"/>
            <w:hideMark/>
          </w:tcPr>
          <w:p w:rsidR="00566704" w:rsidRPr="00BE562A" w:rsidRDefault="00566704" w:rsidP="00CA791F">
            <w:pPr>
              <w:pStyle w:val="120"/>
              <w:spacing w:line="280" w:lineRule="exact"/>
              <w:jc w:val="right"/>
              <w:rPr>
                <w:rFonts w:hAnsi="標楷體"/>
              </w:rPr>
            </w:pPr>
            <w:r w:rsidRPr="00BE562A">
              <w:rPr>
                <w:rFonts w:hAnsi="標楷體"/>
              </w:rPr>
              <w:t>4</w:t>
            </w:r>
          </w:p>
        </w:tc>
      </w:tr>
    </w:tbl>
    <w:p w:rsidR="00AA4695" w:rsidRPr="00BE562A" w:rsidRDefault="00AA4695" w:rsidP="00AA4695">
      <w:pPr>
        <w:pStyle w:val="a3"/>
        <w:numPr>
          <w:ilvl w:val="0"/>
          <w:numId w:val="0"/>
        </w:numPr>
        <w:spacing w:before="0" w:after="0"/>
        <w:rPr>
          <w:rFonts w:hAnsi="標楷體"/>
        </w:rPr>
      </w:pPr>
      <w:r w:rsidRPr="00BE562A">
        <w:rPr>
          <w:rFonts w:hAnsi="標楷體"/>
        </w:rPr>
        <w:t>資料來源</w:t>
      </w:r>
      <w:r w:rsidR="00447786" w:rsidRPr="00BE562A">
        <w:rPr>
          <w:rFonts w:hAnsi="標楷體"/>
        </w:rPr>
        <w:t>：</w:t>
      </w:r>
      <w:r w:rsidRPr="00BE562A">
        <w:rPr>
          <w:rFonts w:hAnsi="標楷體" w:hint="eastAsia"/>
        </w:rPr>
        <w:t>衛福部</w:t>
      </w:r>
      <w:r w:rsidRPr="00BE562A">
        <w:rPr>
          <w:rFonts w:hAnsi="標楷體"/>
        </w:rPr>
        <w:t>108年12月11日約詢書面資料。</w:t>
      </w:r>
    </w:p>
    <w:p w:rsidR="00573060" w:rsidRPr="00BE562A" w:rsidRDefault="00573060" w:rsidP="00BE562A">
      <w:pPr>
        <w:rPr>
          <w:rFonts w:hAnsi="標楷體"/>
        </w:rPr>
      </w:pPr>
    </w:p>
    <w:p w:rsidR="00DE44FE" w:rsidRPr="00BE562A" w:rsidRDefault="00E94ADE" w:rsidP="00BE562A">
      <w:pPr>
        <w:pStyle w:val="4"/>
        <w:numPr>
          <w:ilvl w:val="0"/>
          <w:numId w:val="0"/>
        </w:numPr>
        <w:ind w:left="1843" w:firstLineChars="124" w:firstLine="422"/>
        <w:rPr>
          <w:rFonts w:hAnsi="標楷體"/>
        </w:rPr>
      </w:pPr>
      <w:r w:rsidRPr="00BE562A">
        <w:rPr>
          <w:rFonts w:hAnsi="標楷體" w:hint="eastAsia"/>
        </w:rPr>
        <w:t>依上可知，</w:t>
      </w:r>
      <w:r w:rsidR="00575838" w:rsidRPr="00BE562A">
        <w:rPr>
          <w:rFonts w:hAnsi="標楷體" w:hint="eastAsia"/>
        </w:rPr>
        <w:t>衛福部</w:t>
      </w:r>
      <w:r w:rsidR="00DE44FE" w:rsidRPr="00BE562A">
        <w:rPr>
          <w:rFonts w:hAnsi="標楷體" w:hint="eastAsia"/>
        </w:rPr>
        <w:t>胸腔病院近3年幾無收案數。</w:t>
      </w:r>
    </w:p>
    <w:p w:rsidR="00FE03A7" w:rsidRPr="00BE562A" w:rsidRDefault="0085589C" w:rsidP="00240CFD">
      <w:pPr>
        <w:pStyle w:val="4"/>
        <w:rPr>
          <w:rFonts w:hAnsi="標楷體"/>
        </w:rPr>
      </w:pPr>
      <w:r w:rsidRPr="00BE562A">
        <w:rPr>
          <w:rFonts w:hAnsi="標楷體" w:hint="eastAsia"/>
        </w:rPr>
        <w:t>家庭醫師整合性照護計畫</w:t>
      </w:r>
      <w:r w:rsidR="00240CFD" w:rsidRPr="00BE562A">
        <w:rPr>
          <w:rFonts w:hAnsi="標楷體" w:hint="eastAsia"/>
        </w:rPr>
        <w:t>辦理</w:t>
      </w:r>
      <w:r w:rsidR="00FE03A7" w:rsidRPr="00BE562A">
        <w:rPr>
          <w:rFonts w:hAnsi="標楷體" w:hint="eastAsia"/>
        </w:rPr>
        <w:t>情形如下表</w:t>
      </w:r>
      <w:r w:rsidR="00447786" w:rsidRPr="00BE562A">
        <w:rPr>
          <w:rFonts w:hAnsi="標楷體" w:hint="eastAsia"/>
        </w:rPr>
        <w:t>：</w:t>
      </w:r>
    </w:p>
    <w:p w:rsidR="00FE03A7" w:rsidRPr="00BE562A" w:rsidRDefault="00FE03A7" w:rsidP="00CB4894">
      <w:pPr>
        <w:pStyle w:val="a3"/>
        <w:spacing w:before="120" w:after="0"/>
        <w:ind w:left="794" w:hanging="794"/>
        <w:rPr>
          <w:rFonts w:hAnsi="標楷體"/>
        </w:rPr>
      </w:pPr>
      <w:r w:rsidRPr="00BE562A">
        <w:rPr>
          <w:rFonts w:hAnsi="標楷體"/>
        </w:rPr>
        <w:t>106</w:t>
      </w:r>
      <w:r w:rsidR="000E312B" w:rsidRPr="00BE562A">
        <w:rPr>
          <w:rFonts w:hAnsi="標楷體" w:hint="eastAsia"/>
          <w:lang w:eastAsia="zh-HK"/>
        </w:rPr>
        <w:t>年至</w:t>
      </w:r>
      <w:r w:rsidRPr="00BE562A">
        <w:rPr>
          <w:rFonts w:hAnsi="標楷體"/>
        </w:rPr>
        <w:t>108</w:t>
      </w:r>
      <w:r w:rsidRPr="00BE562A">
        <w:rPr>
          <w:rFonts w:hAnsi="標楷體" w:hint="eastAsia"/>
        </w:rPr>
        <w:t>年</w:t>
      </w:r>
      <w:r w:rsidRPr="00BE562A">
        <w:rPr>
          <w:rFonts w:hAnsi="標楷體"/>
        </w:rPr>
        <w:t>1</w:t>
      </w:r>
      <w:r w:rsidR="000E312B" w:rsidRPr="00BE562A">
        <w:rPr>
          <w:rFonts w:hAnsi="標楷體"/>
        </w:rPr>
        <w:t>1</w:t>
      </w:r>
      <w:r w:rsidRPr="00BE562A">
        <w:rPr>
          <w:rFonts w:hAnsi="標楷體" w:hint="eastAsia"/>
        </w:rPr>
        <w:t>月</w:t>
      </w:r>
      <w:r w:rsidR="00B83099" w:rsidRPr="00BE562A">
        <w:rPr>
          <w:rFonts w:hAnsi="標楷體" w:hint="eastAsia"/>
        </w:rPr>
        <w:t>衛福部</w:t>
      </w:r>
      <w:r w:rsidR="00046175" w:rsidRPr="00BE562A">
        <w:rPr>
          <w:rFonts w:hAnsi="標楷體" w:hint="eastAsia"/>
        </w:rPr>
        <w:t>部立醫院</w:t>
      </w:r>
      <w:r w:rsidR="000E312B" w:rsidRPr="00BE562A">
        <w:rPr>
          <w:rFonts w:hAnsi="標楷體" w:hint="eastAsia"/>
          <w:lang w:eastAsia="zh-HK"/>
        </w:rPr>
        <w:t>辦</w:t>
      </w:r>
      <w:r w:rsidR="000E312B" w:rsidRPr="00BE562A">
        <w:rPr>
          <w:rFonts w:hAnsi="標楷體" w:hint="eastAsia"/>
        </w:rPr>
        <w:t>理</w:t>
      </w:r>
      <w:r w:rsidR="0085589C" w:rsidRPr="00BE562A">
        <w:rPr>
          <w:rFonts w:hAnsi="標楷體" w:hint="eastAsia"/>
        </w:rPr>
        <w:t>家庭醫師整合性照護計畫</w:t>
      </w:r>
      <w:r w:rsidRPr="00BE562A">
        <w:rPr>
          <w:rFonts w:hAnsi="標楷體" w:hint="eastAsia"/>
        </w:rPr>
        <w:t>之收案人數及轉診人</w:t>
      </w:r>
      <w:r w:rsidR="00D140A7" w:rsidRPr="00BE562A">
        <w:rPr>
          <w:rFonts w:hAnsi="標楷體" w:hint="eastAsia"/>
          <w:lang w:eastAsia="zh-HK"/>
        </w:rPr>
        <w:t>次</w:t>
      </w:r>
    </w:p>
    <w:tbl>
      <w:tblPr>
        <w:tblW w:w="0" w:type="auto"/>
        <w:tblLayout w:type="fixed"/>
        <w:tblCellMar>
          <w:left w:w="28" w:type="dxa"/>
          <w:right w:w="28" w:type="dxa"/>
        </w:tblCellMar>
        <w:tblLook w:val="04A0" w:firstRow="1" w:lastRow="0" w:firstColumn="1" w:lastColumn="0" w:noHBand="0" w:noVBand="1"/>
      </w:tblPr>
      <w:tblGrid>
        <w:gridCol w:w="1413"/>
        <w:gridCol w:w="1559"/>
        <w:gridCol w:w="880"/>
        <w:gridCol w:w="1530"/>
        <w:gridCol w:w="1005"/>
        <w:gridCol w:w="1546"/>
        <w:gridCol w:w="901"/>
      </w:tblGrid>
      <w:tr w:rsidR="00BE562A" w:rsidRPr="00BE562A" w:rsidTr="00CC2C3A">
        <w:trPr>
          <w:trHeight w:val="227"/>
          <w:tblHeader/>
        </w:trPr>
        <w:tc>
          <w:tcPr>
            <w:tcW w:w="1413" w:type="dxa"/>
            <w:vMerge w:val="restart"/>
            <w:tcBorders>
              <w:top w:val="single" w:sz="4" w:space="0" w:color="auto"/>
              <w:left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醫院名稱</w:t>
            </w:r>
          </w:p>
        </w:tc>
        <w:tc>
          <w:tcPr>
            <w:tcW w:w="2439"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spacing w:val="-20"/>
              </w:rPr>
              <w:t>106</w:t>
            </w:r>
            <w:r w:rsidRPr="00BE562A">
              <w:rPr>
                <w:rFonts w:hAnsi="標楷體" w:hint="eastAsia"/>
                <w:spacing w:val="-20"/>
              </w:rPr>
              <w:t>年</w:t>
            </w:r>
          </w:p>
        </w:tc>
        <w:tc>
          <w:tcPr>
            <w:tcW w:w="2535"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spacing w:val="-20"/>
              </w:rPr>
              <w:t>107</w:t>
            </w:r>
            <w:r w:rsidRPr="00BE562A">
              <w:rPr>
                <w:rFonts w:hAnsi="標楷體" w:hint="eastAsia"/>
                <w:spacing w:val="-20"/>
              </w:rPr>
              <w:t>年</w:t>
            </w:r>
          </w:p>
        </w:tc>
        <w:tc>
          <w:tcPr>
            <w:tcW w:w="2447"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spacing w:val="-20"/>
              </w:rPr>
              <w:t>108</w:t>
            </w:r>
            <w:r w:rsidRPr="00BE562A">
              <w:rPr>
                <w:rFonts w:hAnsi="標楷體" w:hint="eastAsia"/>
                <w:spacing w:val="-20"/>
              </w:rPr>
              <w:t>年</w:t>
            </w:r>
            <w:r w:rsidRPr="00BE562A">
              <w:rPr>
                <w:rFonts w:hAnsi="標楷體"/>
                <w:spacing w:val="-20"/>
              </w:rPr>
              <w:t>1-11</w:t>
            </w:r>
            <w:r w:rsidRPr="00BE562A">
              <w:rPr>
                <w:rFonts w:hAnsi="標楷體" w:hint="eastAsia"/>
                <w:spacing w:val="-20"/>
              </w:rPr>
              <w:t>月</w:t>
            </w:r>
          </w:p>
        </w:tc>
      </w:tr>
      <w:tr w:rsidR="00BE562A" w:rsidRPr="00BE562A" w:rsidTr="00CC2C3A">
        <w:trPr>
          <w:trHeight w:val="227"/>
          <w:tblHeader/>
        </w:trPr>
        <w:tc>
          <w:tcPr>
            <w:tcW w:w="1413" w:type="dxa"/>
            <w:vMerge/>
            <w:tcBorders>
              <w:left w:val="single" w:sz="4" w:space="0" w:color="auto"/>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p>
        </w:tc>
        <w:tc>
          <w:tcPr>
            <w:tcW w:w="1559" w:type="dxa"/>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收案人數</w:t>
            </w:r>
          </w:p>
        </w:tc>
        <w:tc>
          <w:tcPr>
            <w:tcW w:w="880" w:type="dxa"/>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轉診人次</w:t>
            </w:r>
          </w:p>
        </w:tc>
        <w:tc>
          <w:tcPr>
            <w:tcW w:w="1530" w:type="dxa"/>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收案人數</w:t>
            </w:r>
          </w:p>
        </w:tc>
        <w:tc>
          <w:tcPr>
            <w:tcW w:w="1005" w:type="dxa"/>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轉診人次</w:t>
            </w:r>
          </w:p>
        </w:tc>
        <w:tc>
          <w:tcPr>
            <w:tcW w:w="1546" w:type="dxa"/>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收案人數</w:t>
            </w:r>
          </w:p>
        </w:tc>
        <w:tc>
          <w:tcPr>
            <w:tcW w:w="901" w:type="dxa"/>
            <w:tcBorders>
              <w:top w:val="nil"/>
              <w:left w:val="nil"/>
              <w:bottom w:val="single" w:sz="4" w:space="0" w:color="auto"/>
              <w:right w:val="single" w:sz="4" w:space="0" w:color="auto"/>
            </w:tcBorders>
            <w:shd w:val="clear" w:color="auto" w:fill="EEECE1" w:themeFill="background2"/>
            <w:vAlign w:val="center"/>
            <w:hideMark/>
          </w:tcPr>
          <w:p w:rsidR="00244F69" w:rsidRPr="00BE562A" w:rsidRDefault="00244F69" w:rsidP="00CA791F">
            <w:pPr>
              <w:pStyle w:val="120"/>
              <w:spacing w:line="250" w:lineRule="exact"/>
              <w:jc w:val="center"/>
              <w:rPr>
                <w:rFonts w:hAnsi="標楷體"/>
                <w:spacing w:val="-20"/>
              </w:rPr>
            </w:pPr>
            <w:r w:rsidRPr="00BE562A">
              <w:rPr>
                <w:rFonts w:hAnsi="標楷體" w:hint="eastAsia"/>
                <w:spacing w:val="-20"/>
              </w:rPr>
              <w:t>轉診人次</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基隆醫院</w:t>
            </w:r>
          </w:p>
        </w:tc>
        <w:tc>
          <w:tcPr>
            <w:tcW w:w="7421"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 xml:space="preserve">　未參加</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351A02" w:rsidP="00CA791F">
            <w:pPr>
              <w:pStyle w:val="120"/>
              <w:spacing w:line="250" w:lineRule="exact"/>
              <w:jc w:val="center"/>
              <w:rPr>
                <w:rFonts w:hAnsi="標楷體"/>
                <w:spacing w:val="-20"/>
              </w:rPr>
            </w:pPr>
            <w:r w:rsidRPr="00BE562A">
              <w:rPr>
                <w:rFonts w:hAnsi="標楷體" w:hint="eastAsia"/>
                <w:spacing w:val="-20"/>
              </w:rPr>
              <w:t>臺北醫院</w:t>
            </w:r>
          </w:p>
        </w:tc>
        <w:tc>
          <w:tcPr>
            <w:tcW w:w="1559" w:type="dxa"/>
            <w:tcBorders>
              <w:top w:val="nil"/>
              <w:left w:val="nil"/>
              <w:bottom w:val="single" w:sz="4" w:space="0" w:color="auto"/>
              <w:right w:val="single" w:sz="4" w:space="0" w:color="auto"/>
            </w:tcBorders>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6</w:t>
            </w:r>
            <w:r w:rsidR="00120583" w:rsidRPr="00BE562A">
              <w:rPr>
                <w:rFonts w:hAnsi="標楷體"/>
                <w:spacing w:val="-20"/>
              </w:rPr>
              <w:t>,</w:t>
            </w:r>
            <w:r w:rsidRPr="00BE562A">
              <w:rPr>
                <w:rFonts w:hAnsi="標楷體"/>
                <w:spacing w:val="-20"/>
              </w:rPr>
              <w:t>385</w:t>
            </w:r>
          </w:p>
        </w:tc>
        <w:tc>
          <w:tcPr>
            <w:tcW w:w="1530" w:type="dxa"/>
            <w:tcBorders>
              <w:top w:val="nil"/>
              <w:left w:val="nil"/>
              <w:bottom w:val="single" w:sz="4" w:space="0" w:color="auto"/>
              <w:right w:val="single" w:sz="4" w:space="0" w:color="auto"/>
            </w:tcBorders>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w:t>
            </w:r>
            <w:r w:rsidR="00120583" w:rsidRPr="00BE562A">
              <w:rPr>
                <w:rFonts w:hAnsi="標楷體"/>
                <w:spacing w:val="-20"/>
              </w:rPr>
              <w:t>,</w:t>
            </w:r>
            <w:r w:rsidRPr="00BE562A">
              <w:rPr>
                <w:rFonts w:hAnsi="標楷體"/>
                <w:spacing w:val="-20"/>
              </w:rPr>
              <w:t>948</w:t>
            </w:r>
          </w:p>
        </w:tc>
        <w:tc>
          <w:tcPr>
            <w:tcW w:w="1546" w:type="dxa"/>
            <w:tcBorders>
              <w:top w:val="nil"/>
              <w:left w:val="nil"/>
              <w:bottom w:val="single" w:sz="4" w:space="0" w:color="auto"/>
              <w:right w:val="single" w:sz="4" w:space="0" w:color="auto"/>
            </w:tcBorders>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7</w:t>
            </w:r>
            <w:r w:rsidR="00120583" w:rsidRPr="00BE562A">
              <w:rPr>
                <w:rFonts w:hAnsi="標楷體"/>
                <w:spacing w:val="-20"/>
              </w:rPr>
              <w:t>,</w:t>
            </w:r>
            <w:r w:rsidRPr="00BE562A">
              <w:rPr>
                <w:rFonts w:hAnsi="標楷體"/>
                <w:spacing w:val="-20"/>
              </w:rPr>
              <w:t>211</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桃園醫院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無法取得</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 xml:space="preserve">2,095 </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無法取得</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 xml:space="preserve">3,209 </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無法取得</w:t>
            </w:r>
            <w:r w:rsidRPr="00CA791F">
              <w:rPr>
                <w:rFonts w:hAnsi="標楷體"/>
                <w:spacing w:val="-20"/>
                <w:vertAlign w:val="superscript"/>
              </w:rPr>
              <w:footnoteReference w:id="5"/>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 xml:space="preserve">3,922 </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苗栗醫院</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88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424</w:t>
            </w:r>
          </w:p>
        </w:tc>
        <w:tc>
          <w:tcPr>
            <w:tcW w:w="153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005"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567</w:t>
            </w:r>
          </w:p>
        </w:tc>
        <w:tc>
          <w:tcPr>
            <w:tcW w:w="1546"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901"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404</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豐原醫院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35</w:t>
            </w:r>
            <w:r w:rsidR="00120583" w:rsidRPr="00BE562A">
              <w:rPr>
                <w:rFonts w:hAnsi="標楷體"/>
                <w:spacing w:val="-20"/>
              </w:rPr>
              <w:t>,</w:t>
            </w:r>
            <w:r w:rsidRPr="00BE562A">
              <w:rPr>
                <w:rFonts w:hAnsi="標楷體"/>
                <w:spacing w:val="-20"/>
              </w:rPr>
              <w:t>879</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120583" w:rsidRPr="00BE562A">
              <w:rPr>
                <w:rFonts w:hAnsi="標楷體"/>
                <w:spacing w:val="-20"/>
              </w:rPr>
              <w:t>,</w:t>
            </w:r>
            <w:r w:rsidRPr="00BE562A">
              <w:rPr>
                <w:rFonts w:hAnsi="標楷體"/>
                <w:spacing w:val="-20"/>
              </w:rPr>
              <w:t>175</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32</w:t>
            </w:r>
            <w:r w:rsidR="00120583" w:rsidRPr="00BE562A">
              <w:rPr>
                <w:rFonts w:hAnsi="標楷體"/>
                <w:spacing w:val="-20"/>
              </w:rPr>
              <w:t>,</w:t>
            </w:r>
            <w:r w:rsidRPr="00BE562A">
              <w:rPr>
                <w:rFonts w:hAnsi="標楷體"/>
                <w:spacing w:val="-20"/>
              </w:rPr>
              <w:t>952</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120583" w:rsidRPr="00BE562A">
              <w:rPr>
                <w:rFonts w:hAnsi="標楷體"/>
                <w:spacing w:val="-20"/>
              </w:rPr>
              <w:t>,</w:t>
            </w:r>
            <w:r w:rsidRPr="00BE562A">
              <w:rPr>
                <w:rFonts w:hAnsi="標楷體"/>
                <w:spacing w:val="-20"/>
              </w:rPr>
              <w:t>688</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34</w:t>
            </w:r>
            <w:r w:rsidR="00120583" w:rsidRPr="00BE562A">
              <w:rPr>
                <w:rFonts w:hAnsi="標楷體"/>
                <w:spacing w:val="-20"/>
              </w:rPr>
              <w:t>,</w:t>
            </w:r>
            <w:r w:rsidRPr="00BE562A">
              <w:rPr>
                <w:rFonts w:hAnsi="標楷體"/>
                <w:spacing w:val="-20"/>
              </w:rPr>
              <w:t>856</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120583" w:rsidRPr="00BE562A">
              <w:rPr>
                <w:rFonts w:hAnsi="標楷體"/>
                <w:spacing w:val="-20"/>
              </w:rPr>
              <w:t>,</w:t>
            </w:r>
            <w:r w:rsidRPr="00BE562A">
              <w:rPr>
                <w:rFonts w:hAnsi="標楷體"/>
                <w:spacing w:val="-20"/>
              </w:rPr>
              <w:t>636</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臺中醫院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14</w:t>
            </w:r>
            <w:r w:rsidR="00120583" w:rsidRPr="00BE562A">
              <w:rPr>
                <w:rFonts w:hAnsi="標楷體"/>
                <w:spacing w:val="-20"/>
              </w:rPr>
              <w:t>,</w:t>
            </w:r>
            <w:r w:rsidRPr="00BE562A">
              <w:rPr>
                <w:rFonts w:hAnsi="標楷體"/>
                <w:spacing w:val="-20"/>
              </w:rPr>
              <w:t>393</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669</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14</w:t>
            </w:r>
            <w:r w:rsidR="00120583" w:rsidRPr="00BE562A">
              <w:rPr>
                <w:rFonts w:hAnsi="標楷體"/>
                <w:spacing w:val="-20"/>
              </w:rPr>
              <w:t>,</w:t>
            </w:r>
            <w:r w:rsidRPr="00BE562A">
              <w:rPr>
                <w:rFonts w:hAnsi="標楷體"/>
                <w:spacing w:val="-20"/>
              </w:rPr>
              <w:t>630</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552</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16</w:t>
            </w:r>
            <w:r w:rsidR="00E96714" w:rsidRPr="00BE562A">
              <w:rPr>
                <w:rFonts w:hAnsi="標楷體"/>
                <w:spacing w:val="-20"/>
              </w:rPr>
              <w:t>,</w:t>
            </w:r>
            <w:r w:rsidRPr="00BE562A">
              <w:rPr>
                <w:rFonts w:hAnsi="標楷體"/>
                <w:spacing w:val="-20"/>
              </w:rPr>
              <w:t>722</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569</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彰化醫院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37</w:t>
            </w:r>
            <w:r w:rsidR="00E96714" w:rsidRPr="00BE562A">
              <w:rPr>
                <w:rFonts w:hAnsi="標楷體"/>
                <w:spacing w:val="-20"/>
              </w:rPr>
              <w:t>,</w:t>
            </w:r>
            <w:r w:rsidRPr="00BE562A">
              <w:rPr>
                <w:rFonts w:hAnsi="標楷體"/>
                <w:spacing w:val="-20"/>
              </w:rPr>
              <w:t>800</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657</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45</w:t>
            </w:r>
            <w:r w:rsidR="00E96714" w:rsidRPr="00BE562A">
              <w:rPr>
                <w:rFonts w:hAnsi="標楷體"/>
                <w:spacing w:val="-20"/>
              </w:rPr>
              <w:t>,</w:t>
            </w:r>
            <w:r w:rsidRPr="00BE562A">
              <w:rPr>
                <w:rFonts w:hAnsi="標楷體"/>
                <w:spacing w:val="-20"/>
              </w:rPr>
              <w:t>801</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791</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46</w:t>
            </w:r>
            <w:r w:rsidR="00E96714" w:rsidRPr="00BE562A">
              <w:rPr>
                <w:rFonts w:hAnsi="標楷體"/>
                <w:spacing w:val="-20"/>
              </w:rPr>
              <w:t>,</w:t>
            </w:r>
            <w:r w:rsidRPr="00BE562A">
              <w:rPr>
                <w:rFonts w:hAnsi="標楷體"/>
                <w:spacing w:val="-20"/>
              </w:rPr>
              <w:t>377</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597</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南投醫院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午安門診</w:t>
            </w:r>
            <w:r w:rsidRPr="00BE562A">
              <w:rPr>
                <w:rFonts w:hAnsi="標楷體"/>
                <w:spacing w:val="-20"/>
              </w:rPr>
              <w:t>144</w:t>
            </w:r>
            <w:r w:rsidRPr="00BE562A">
              <w:rPr>
                <w:rFonts w:hAnsi="標楷體" w:hint="eastAsia"/>
                <w:spacing w:val="-20"/>
              </w:rPr>
              <w:t>診</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90</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午安門診</w:t>
            </w:r>
            <w:r w:rsidRPr="00BE562A">
              <w:rPr>
                <w:rFonts w:hAnsi="標楷體"/>
                <w:spacing w:val="-20"/>
              </w:rPr>
              <w:t>144</w:t>
            </w:r>
            <w:r w:rsidRPr="00BE562A">
              <w:rPr>
                <w:rFonts w:hAnsi="標楷體" w:hint="eastAsia"/>
                <w:spacing w:val="-20"/>
              </w:rPr>
              <w:t>診</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70</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午安門診</w:t>
            </w:r>
            <w:r w:rsidRPr="00BE562A">
              <w:rPr>
                <w:rFonts w:hAnsi="標楷體"/>
                <w:spacing w:val="-20"/>
              </w:rPr>
              <w:t>132</w:t>
            </w:r>
            <w:r w:rsidRPr="00BE562A">
              <w:rPr>
                <w:rFonts w:hAnsi="標楷體" w:hint="eastAsia"/>
                <w:spacing w:val="-20"/>
              </w:rPr>
              <w:t>診</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50</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嘉義醫院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566</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566</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E96714" w:rsidRPr="00BE562A">
              <w:rPr>
                <w:rFonts w:hAnsi="標楷體"/>
                <w:spacing w:val="-20"/>
              </w:rPr>
              <w:t>,</w:t>
            </w:r>
            <w:r w:rsidRPr="00BE562A">
              <w:rPr>
                <w:rFonts w:hAnsi="標楷體"/>
                <w:spacing w:val="-20"/>
              </w:rPr>
              <w:t>253</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E96714" w:rsidRPr="00BE562A">
              <w:rPr>
                <w:rFonts w:hAnsi="標楷體"/>
                <w:spacing w:val="-20"/>
              </w:rPr>
              <w:t>,</w:t>
            </w:r>
            <w:r w:rsidRPr="00BE562A">
              <w:rPr>
                <w:rFonts w:hAnsi="標楷體"/>
                <w:spacing w:val="-20"/>
              </w:rPr>
              <w:t>253</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E96714" w:rsidRPr="00BE562A">
              <w:rPr>
                <w:rFonts w:hAnsi="標楷體"/>
                <w:spacing w:val="-20"/>
              </w:rPr>
              <w:t>,</w:t>
            </w:r>
            <w:r w:rsidRPr="00BE562A">
              <w:rPr>
                <w:rFonts w:hAnsi="標楷體"/>
                <w:spacing w:val="-20"/>
              </w:rPr>
              <w:t>277</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120583" w:rsidRPr="00BE562A">
              <w:rPr>
                <w:rFonts w:hAnsi="標楷體"/>
                <w:spacing w:val="-20"/>
              </w:rPr>
              <w:t>,</w:t>
            </w:r>
            <w:r w:rsidRPr="00BE562A">
              <w:rPr>
                <w:rFonts w:hAnsi="標楷體"/>
                <w:spacing w:val="-20"/>
              </w:rPr>
              <w:t>277</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朴子醫院</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88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53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005"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546"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901"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新營醫院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8</w:t>
            </w:r>
            <w:r w:rsidR="00D140A7" w:rsidRPr="00BE562A">
              <w:rPr>
                <w:rFonts w:hAnsi="標楷體"/>
                <w:spacing w:val="-20"/>
              </w:rPr>
              <w:t>,</w:t>
            </w:r>
            <w:r w:rsidRPr="00BE562A">
              <w:rPr>
                <w:rFonts w:hAnsi="標楷體"/>
                <w:spacing w:val="-20"/>
              </w:rPr>
              <w:t>706</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104</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8</w:t>
            </w:r>
            <w:r w:rsidR="00D140A7" w:rsidRPr="00BE562A">
              <w:rPr>
                <w:rFonts w:hAnsi="標楷體"/>
                <w:spacing w:val="-20"/>
              </w:rPr>
              <w:t>,</w:t>
            </w:r>
            <w:r w:rsidRPr="00BE562A">
              <w:rPr>
                <w:rFonts w:hAnsi="標楷體"/>
                <w:spacing w:val="-20"/>
              </w:rPr>
              <w:t>602</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214</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8</w:t>
            </w:r>
            <w:r w:rsidR="00D140A7" w:rsidRPr="00BE562A">
              <w:rPr>
                <w:rFonts w:hAnsi="標楷體"/>
                <w:spacing w:val="-20"/>
              </w:rPr>
              <w:t>,</w:t>
            </w:r>
            <w:r w:rsidRPr="00BE562A">
              <w:rPr>
                <w:rFonts w:hAnsi="標楷體"/>
                <w:spacing w:val="-20"/>
              </w:rPr>
              <w:t>441</w:t>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257</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臺南醫院</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88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497</w:t>
            </w:r>
          </w:p>
        </w:tc>
        <w:tc>
          <w:tcPr>
            <w:tcW w:w="153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005"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761</w:t>
            </w:r>
          </w:p>
        </w:tc>
        <w:tc>
          <w:tcPr>
            <w:tcW w:w="1546"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901"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D140A7" w:rsidRPr="00BE562A">
              <w:rPr>
                <w:rFonts w:hAnsi="標楷體"/>
                <w:spacing w:val="-20"/>
              </w:rPr>
              <w:t>,</w:t>
            </w:r>
            <w:r w:rsidRPr="00BE562A">
              <w:rPr>
                <w:rFonts w:hAnsi="標楷體"/>
                <w:spacing w:val="-20"/>
              </w:rPr>
              <w:t>348</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胸腔病院</w:t>
            </w:r>
          </w:p>
        </w:tc>
        <w:tc>
          <w:tcPr>
            <w:tcW w:w="1559" w:type="dxa"/>
            <w:tcBorders>
              <w:top w:val="single" w:sz="4" w:space="0" w:color="auto"/>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非主辦</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8</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非主辦</w:t>
            </w:r>
          </w:p>
        </w:tc>
        <w:tc>
          <w:tcPr>
            <w:tcW w:w="2447" w:type="dxa"/>
            <w:gridSpan w:val="2"/>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5</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旗山醫院</w:t>
            </w:r>
          </w:p>
        </w:tc>
        <w:tc>
          <w:tcPr>
            <w:tcW w:w="7421"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屏東醫院</w:t>
            </w:r>
          </w:p>
        </w:tc>
        <w:tc>
          <w:tcPr>
            <w:tcW w:w="2439"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c>
          <w:tcPr>
            <w:tcW w:w="153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005"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114</w:t>
            </w:r>
          </w:p>
        </w:tc>
        <w:tc>
          <w:tcPr>
            <w:tcW w:w="1546"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901"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102</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FA4A91" w:rsidRPr="00BE562A" w:rsidRDefault="00120583" w:rsidP="00CA791F">
            <w:pPr>
              <w:pStyle w:val="120"/>
              <w:spacing w:line="250" w:lineRule="exact"/>
              <w:jc w:val="center"/>
              <w:rPr>
                <w:rFonts w:hAnsi="標楷體"/>
                <w:spacing w:val="-20"/>
              </w:rPr>
            </w:pPr>
            <w:r w:rsidRPr="00BE562A">
              <w:rPr>
                <w:rFonts w:hAnsi="標楷體" w:hint="eastAsia"/>
                <w:spacing w:val="-20"/>
              </w:rPr>
              <w:t>恆春旅遊醫院</w:t>
            </w:r>
          </w:p>
        </w:tc>
        <w:tc>
          <w:tcPr>
            <w:tcW w:w="7421"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花蓮醫院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w:t>
            </w:r>
            <w:r w:rsidR="00D140A7" w:rsidRPr="00BE562A">
              <w:rPr>
                <w:rFonts w:hAnsi="標楷體"/>
                <w:spacing w:val="-20"/>
              </w:rPr>
              <w:t>,</w:t>
            </w:r>
            <w:r w:rsidRPr="00BE562A">
              <w:rPr>
                <w:rFonts w:hAnsi="標楷體"/>
                <w:spacing w:val="-20"/>
              </w:rPr>
              <w:t>863</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w:t>
            </w:r>
            <w:r w:rsidR="00D140A7" w:rsidRPr="00BE562A">
              <w:rPr>
                <w:rFonts w:hAnsi="標楷體"/>
                <w:spacing w:val="-20"/>
              </w:rPr>
              <w:t>,</w:t>
            </w:r>
            <w:r w:rsidRPr="00BE562A">
              <w:rPr>
                <w:rFonts w:hAnsi="標楷體"/>
                <w:spacing w:val="-20"/>
              </w:rPr>
              <w:t>797</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w:t>
            </w:r>
            <w:r w:rsidR="00D140A7" w:rsidRPr="00BE562A">
              <w:rPr>
                <w:rFonts w:hAnsi="標楷體"/>
                <w:spacing w:val="-20"/>
              </w:rPr>
              <w:t>,</w:t>
            </w:r>
            <w:r w:rsidRPr="00BE562A">
              <w:rPr>
                <w:rFonts w:hAnsi="標楷體"/>
                <w:spacing w:val="-20"/>
              </w:rPr>
              <w:t>915</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2</w:t>
            </w:r>
            <w:r w:rsidR="00D140A7" w:rsidRPr="00BE562A">
              <w:rPr>
                <w:rFonts w:hAnsi="標楷體"/>
                <w:spacing w:val="-20"/>
              </w:rPr>
              <w:t>,</w:t>
            </w:r>
            <w:r w:rsidRPr="00BE562A">
              <w:rPr>
                <w:rFonts w:hAnsi="標楷體"/>
                <w:spacing w:val="-20"/>
              </w:rPr>
              <w:t>354</w:t>
            </w:r>
          </w:p>
        </w:tc>
        <w:tc>
          <w:tcPr>
            <w:tcW w:w="1546"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4</w:t>
            </w:r>
            <w:r w:rsidR="00D140A7" w:rsidRPr="00BE562A">
              <w:rPr>
                <w:rFonts w:hAnsi="標楷體"/>
                <w:spacing w:val="-20"/>
              </w:rPr>
              <w:t>,</w:t>
            </w:r>
            <w:r w:rsidRPr="00BE562A">
              <w:rPr>
                <w:rFonts w:hAnsi="標楷體"/>
                <w:spacing w:val="-20"/>
              </w:rPr>
              <w:t>049</w:t>
            </w:r>
          </w:p>
        </w:tc>
        <w:tc>
          <w:tcPr>
            <w:tcW w:w="901" w:type="dxa"/>
            <w:tcBorders>
              <w:top w:val="nil"/>
              <w:left w:val="nil"/>
              <w:bottom w:val="single" w:sz="4" w:space="0" w:color="auto"/>
              <w:right w:val="single" w:sz="4" w:space="0" w:color="auto"/>
            </w:tcBorders>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w:t>
            </w:r>
            <w:r w:rsidR="00D140A7" w:rsidRPr="00BE562A">
              <w:rPr>
                <w:rFonts w:hAnsi="標楷體"/>
                <w:spacing w:val="-20"/>
              </w:rPr>
              <w:t>,</w:t>
            </w:r>
            <w:r w:rsidRPr="00BE562A">
              <w:rPr>
                <w:rFonts w:hAnsi="標楷體"/>
                <w:spacing w:val="-20"/>
              </w:rPr>
              <w:t>151</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FA4A91" w:rsidRPr="00BE562A" w:rsidRDefault="00596B52" w:rsidP="00CA791F">
            <w:pPr>
              <w:pStyle w:val="120"/>
              <w:spacing w:line="250" w:lineRule="exact"/>
              <w:jc w:val="center"/>
              <w:rPr>
                <w:rFonts w:hAnsi="標楷體"/>
                <w:spacing w:val="-20"/>
              </w:rPr>
            </w:pPr>
            <w:r w:rsidRPr="00BE562A">
              <w:rPr>
                <w:rFonts w:hAnsi="標楷體" w:hint="eastAsia"/>
                <w:spacing w:val="-20"/>
              </w:rPr>
              <w:t>臺東</w:t>
            </w:r>
            <w:r w:rsidR="00FA4A91" w:rsidRPr="00BE562A">
              <w:rPr>
                <w:rFonts w:hAnsi="標楷體" w:hint="eastAsia"/>
                <w:spacing w:val="-20"/>
              </w:rPr>
              <w:t>醫院</w:t>
            </w:r>
          </w:p>
        </w:tc>
        <w:tc>
          <w:tcPr>
            <w:tcW w:w="7421"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金門醫院</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88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163</w:t>
            </w:r>
          </w:p>
        </w:tc>
        <w:tc>
          <w:tcPr>
            <w:tcW w:w="153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005"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184</w:t>
            </w:r>
          </w:p>
        </w:tc>
        <w:tc>
          <w:tcPr>
            <w:tcW w:w="1546"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901"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312</w:t>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lastRenderedPageBreak/>
              <w:t>澎湖醫院</w:t>
            </w:r>
          </w:p>
        </w:tc>
        <w:tc>
          <w:tcPr>
            <w:tcW w:w="1559"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9</w:t>
            </w:r>
            <w:r w:rsidR="00D140A7" w:rsidRPr="00BE562A">
              <w:rPr>
                <w:rFonts w:hAnsi="標楷體"/>
                <w:spacing w:val="-20"/>
              </w:rPr>
              <w:t>,</w:t>
            </w:r>
            <w:r w:rsidRPr="00BE562A">
              <w:rPr>
                <w:rFonts w:hAnsi="標楷體"/>
                <w:spacing w:val="-20"/>
              </w:rPr>
              <w:t>712</w:t>
            </w:r>
          </w:p>
        </w:tc>
        <w:tc>
          <w:tcPr>
            <w:tcW w:w="88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無統計</w:t>
            </w:r>
          </w:p>
        </w:tc>
        <w:tc>
          <w:tcPr>
            <w:tcW w:w="1530"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11</w:t>
            </w:r>
            <w:r w:rsidR="00260F84">
              <w:rPr>
                <w:rFonts w:hAnsi="標楷體" w:hint="eastAsia"/>
                <w:spacing w:val="-20"/>
              </w:rPr>
              <w:t>,</w:t>
            </w:r>
            <w:r w:rsidRPr="00BE562A">
              <w:rPr>
                <w:rFonts w:hAnsi="標楷體"/>
                <w:spacing w:val="-20"/>
              </w:rPr>
              <w:t>159</w:t>
            </w:r>
          </w:p>
        </w:tc>
        <w:tc>
          <w:tcPr>
            <w:tcW w:w="1005"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696</w:t>
            </w:r>
          </w:p>
        </w:tc>
        <w:tc>
          <w:tcPr>
            <w:tcW w:w="1546" w:type="dxa"/>
            <w:tcBorders>
              <w:top w:val="nil"/>
              <w:left w:val="nil"/>
              <w:bottom w:val="single" w:sz="4" w:space="0" w:color="auto"/>
              <w:right w:val="single" w:sz="4" w:space="0" w:color="auto"/>
            </w:tcBorders>
            <w:shd w:val="clear" w:color="auto" w:fill="auto"/>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25</w:t>
            </w:r>
            <w:r w:rsidR="00D140A7" w:rsidRPr="00BE562A">
              <w:rPr>
                <w:rFonts w:hAnsi="標楷體"/>
                <w:spacing w:val="-20"/>
              </w:rPr>
              <w:t>,</w:t>
            </w:r>
            <w:r w:rsidRPr="00BE562A">
              <w:rPr>
                <w:rFonts w:hAnsi="標楷體"/>
                <w:spacing w:val="-20"/>
              </w:rPr>
              <w:t>311</w:t>
            </w:r>
            <w:r w:rsidRPr="00CA791F">
              <w:rPr>
                <w:rFonts w:hAnsi="標楷體"/>
                <w:spacing w:val="-20"/>
                <w:vertAlign w:val="superscript"/>
              </w:rPr>
              <w:footnoteReference w:id="6"/>
            </w:r>
          </w:p>
        </w:tc>
        <w:tc>
          <w:tcPr>
            <w:tcW w:w="901" w:type="dxa"/>
            <w:tcBorders>
              <w:top w:val="nil"/>
              <w:left w:val="nil"/>
              <w:bottom w:val="single" w:sz="4" w:space="0" w:color="auto"/>
              <w:right w:val="single" w:sz="4" w:space="0" w:color="auto"/>
            </w:tcBorders>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899</w:t>
            </w:r>
            <w:r w:rsidRPr="00CA791F">
              <w:rPr>
                <w:rFonts w:hAnsi="標楷體"/>
                <w:spacing w:val="-20"/>
                <w:vertAlign w:val="superscript"/>
              </w:rPr>
              <w:footnoteReference w:id="7"/>
            </w:r>
          </w:p>
        </w:tc>
      </w:tr>
      <w:tr w:rsidR="00BE562A" w:rsidRPr="00BE562A" w:rsidTr="00CC2C3A">
        <w:trPr>
          <w:trHeight w:val="227"/>
        </w:trPr>
        <w:tc>
          <w:tcPr>
            <w:tcW w:w="141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center"/>
              <w:rPr>
                <w:rFonts w:hAnsi="標楷體"/>
                <w:spacing w:val="-20"/>
              </w:rPr>
            </w:pPr>
            <w:r w:rsidRPr="00BE562A">
              <w:rPr>
                <w:rFonts w:hAnsi="標楷體" w:hint="eastAsia"/>
                <w:spacing w:val="-20"/>
              </w:rPr>
              <w:t>樂生療養院</w:t>
            </w:r>
          </w:p>
        </w:tc>
        <w:tc>
          <w:tcPr>
            <w:tcW w:w="2439" w:type="dxa"/>
            <w:gridSpan w:val="2"/>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hint="eastAsia"/>
                <w:spacing w:val="-20"/>
              </w:rPr>
              <w:t>未參加</w:t>
            </w:r>
          </w:p>
        </w:tc>
        <w:tc>
          <w:tcPr>
            <w:tcW w:w="1530"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1005"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15</w:t>
            </w:r>
          </w:p>
        </w:tc>
        <w:tc>
          <w:tcPr>
            <w:tcW w:w="1546"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0</w:t>
            </w:r>
          </w:p>
        </w:tc>
        <w:tc>
          <w:tcPr>
            <w:tcW w:w="901" w:type="dxa"/>
            <w:tcBorders>
              <w:top w:val="nil"/>
              <w:left w:val="nil"/>
              <w:bottom w:val="single" w:sz="4" w:space="0" w:color="auto"/>
              <w:right w:val="single" w:sz="4" w:space="0" w:color="auto"/>
            </w:tcBorders>
            <w:shd w:val="clear" w:color="auto" w:fill="C6D9F1" w:themeFill="text2" w:themeFillTint="33"/>
            <w:noWrap/>
            <w:vAlign w:val="center"/>
            <w:hideMark/>
          </w:tcPr>
          <w:p w:rsidR="00FA4A91" w:rsidRPr="00BE562A" w:rsidRDefault="00FA4A91" w:rsidP="00CA791F">
            <w:pPr>
              <w:pStyle w:val="120"/>
              <w:spacing w:line="250" w:lineRule="exact"/>
              <w:jc w:val="right"/>
              <w:rPr>
                <w:rFonts w:hAnsi="標楷體"/>
                <w:spacing w:val="-20"/>
              </w:rPr>
            </w:pPr>
            <w:r w:rsidRPr="00BE562A">
              <w:rPr>
                <w:rFonts w:hAnsi="標楷體"/>
                <w:spacing w:val="-20"/>
              </w:rPr>
              <w:t>10</w:t>
            </w:r>
          </w:p>
        </w:tc>
      </w:tr>
    </w:tbl>
    <w:p w:rsidR="00FE03A7" w:rsidRPr="00BE562A" w:rsidRDefault="00FE03A7" w:rsidP="00FE03A7">
      <w:pPr>
        <w:kinsoku w:val="0"/>
        <w:spacing w:afterLines="50" w:after="228" w:line="480" w:lineRule="exact"/>
        <w:outlineLvl w:val="1"/>
        <w:rPr>
          <w:rFonts w:hAnsi="標楷體" w:cs="Arial"/>
          <w:sz w:val="24"/>
          <w:szCs w:val="24"/>
        </w:rPr>
      </w:pPr>
      <w:r w:rsidRPr="00BE562A">
        <w:rPr>
          <w:rFonts w:hAnsi="標楷體" w:cs="Arial" w:hint="eastAsia"/>
          <w:sz w:val="24"/>
          <w:szCs w:val="24"/>
        </w:rPr>
        <w:t>資料來源</w:t>
      </w:r>
      <w:r w:rsidR="00447786" w:rsidRPr="00BE562A">
        <w:rPr>
          <w:rFonts w:hAnsi="標楷體" w:cs="Arial" w:hint="eastAsia"/>
          <w:sz w:val="24"/>
          <w:szCs w:val="24"/>
        </w:rPr>
        <w:t>：</w:t>
      </w:r>
      <w:r w:rsidRPr="00BE562A">
        <w:rPr>
          <w:rFonts w:hAnsi="標楷體" w:cs="Arial" w:hint="eastAsia"/>
          <w:sz w:val="24"/>
          <w:szCs w:val="24"/>
        </w:rPr>
        <w:t>衛福部</w:t>
      </w:r>
      <w:r w:rsidRPr="00BE562A">
        <w:rPr>
          <w:rFonts w:hAnsi="標楷體" w:cs="Arial"/>
          <w:sz w:val="24"/>
          <w:szCs w:val="24"/>
        </w:rPr>
        <w:t>108</w:t>
      </w:r>
      <w:r w:rsidRPr="00BE562A">
        <w:rPr>
          <w:rFonts w:hAnsi="標楷體" w:cs="Arial" w:hint="eastAsia"/>
          <w:sz w:val="24"/>
          <w:szCs w:val="24"/>
        </w:rPr>
        <w:t>年</w:t>
      </w:r>
      <w:r w:rsidRPr="00BE562A">
        <w:rPr>
          <w:rFonts w:hAnsi="標楷體" w:cs="Arial"/>
          <w:sz w:val="24"/>
          <w:szCs w:val="24"/>
        </w:rPr>
        <w:t>12</w:t>
      </w:r>
      <w:r w:rsidRPr="00BE562A">
        <w:rPr>
          <w:rFonts w:hAnsi="標楷體" w:cs="Arial" w:hint="eastAsia"/>
          <w:sz w:val="24"/>
          <w:szCs w:val="24"/>
        </w:rPr>
        <w:t>月</w:t>
      </w:r>
      <w:r w:rsidRPr="00BE562A">
        <w:rPr>
          <w:rFonts w:hAnsi="標楷體" w:cs="Arial"/>
          <w:sz w:val="24"/>
          <w:szCs w:val="24"/>
        </w:rPr>
        <w:t>11</w:t>
      </w:r>
      <w:r w:rsidRPr="00BE562A">
        <w:rPr>
          <w:rFonts w:hAnsi="標楷體" w:cs="Arial" w:hint="eastAsia"/>
          <w:sz w:val="24"/>
          <w:szCs w:val="24"/>
        </w:rPr>
        <w:t>日約詢書面資料。</w:t>
      </w:r>
    </w:p>
    <w:p w:rsidR="00430087" w:rsidRPr="00430087" w:rsidRDefault="00430087" w:rsidP="00430087"/>
    <w:p w:rsidR="00E11B3E" w:rsidRPr="00BE562A" w:rsidRDefault="001B229F" w:rsidP="00E11B3E">
      <w:pPr>
        <w:pStyle w:val="3"/>
        <w:numPr>
          <w:ilvl w:val="0"/>
          <w:numId w:val="0"/>
        </w:numPr>
        <w:ind w:left="1701" w:firstLineChars="166" w:firstLine="565"/>
        <w:rPr>
          <w:rFonts w:hAnsi="標楷體"/>
        </w:rPr>
      </w:pPr>
      <w:r w:rsidRPr="00BE562A">
        <w:rPr>
          <w:rFonts w:hAnsi="標楷體" w:hint="eastAsia"/>
        </w:rPr>
        <w:t>依上，目前</w:t>
      </w:r>
      <w:r w:rsidR="00780D02" w:rsidRPr="00BE562A">
        <w:rPr>
          <w:rFonts w:hAnsi="標楷體" w:hint="eastAsia"/>
        </w:rPr>
        <w:t>有</w:t>
      </w:r>
      <w:r w:rsidR="00E01887" w:rsidRPr="00BE562A">
        <w:rPr>
          <w:rFonts w:hAnsi="標楷體" w:hint="eastAsia"/>
        </w:rPr>
        <w:t>衛福部之</w:t>
      </w:r>
      <w:r w:rsidR="00780D02" w:rsidRPr="00BE562A">
        <w:rPr>
          <w:rFonts w:hAnsi="標楷體" w:hint="eastAsia"/>
        </w:rPr>
        <w:t>基隆、旗山、恆春旅遊、</w:t>
      </w:r>
      <w:r w:rsidR="00596B52" w:rsidRPr="00BE562A">
        <w:rPr>
          <w:rFonts w:hAnsi="標楷體" w:hint="eastAsia"/>
        </w:rPr>
        <w:t>臺東</w:t>
      </w:r>
      <w:r w:rsidR="00780D02" w:rsidRPr="00BE562A">
        <w:rPr>
          <w:rFonts w:hAnsi="標楷體" w:hint="eastAsia"/>
        </w:rPr>
        <w:t>醫院未參加計畫；而參與計畫之醫院中，</w:t>
      </w:r>
      <w:r w:rsidR="00E01887" w:rsidRPr="00BE562A">
        <w:rPr>
          <w:rFonts w:hAnsi="標楷體" w:hint="eastAsia"/>
        </w:rPr>
        <w:t>該部之</w:t>
      </w:r>
      <w:r w:rsidR="002D010B" w:rsidRPr="00BE562A">
        <w:rPr>
          <w:rFonts w:hAnsi="標楷體" w:hint="eastAsia"/>
        </w:rPr>
        <w:t>苗栗、朴子、</w:t>
      </w:r>
      <w:r w:rsidR="008A1A14" w:rsidRPr="00BE562A">
        <w:rPr>
          <w:rFonts w:hAnsi="標楷體" w:hint="eastAsia"/>
        </w:rPr>
        <w:t>臺南</w:t>
      </w:r>
      <w:r w:rsidR="002D010B" w:rsidRPr="00BE562A">
        <w:rPr>
          <w:rFonts w:hAnsi="標楷體" w:hint="eastAsia"/>
        </w:rPr>
        <w:t>、屏東、金門醫院及樂生療養院，並無收案人數僅進行轉診服務。</w:t>
      </w:r>
    </w:p>
    <w:p w:rsidR="001B229F" w:rsidRPr="00BE562A" w:rsidRDefault="00677747" w:rsidP="00E11B3E">
      <w:pPr>
        <w:pStyle w:val="3"/>
        <w:numPr>
          <w:ilvl w:val="0"/>
          <w:numId w:val="0"/>
        </w:numPr>
        <w:ind w:left="1276" w:firstLineChars="250" w:firstLine="850"/>
        <w:rPr>
          <w:rFonts w:hAnsi="標楷體"/>
        </w:rPr>
      </w:pPr>
      <w:r w:rsidRPr="00BE562A">
        <w:rPr>
          <w:rFonts w:hAnsi="標楷體" w:hint="eastAsia"/>
        </w:rPr>
        <w:t>基上</w:t>
      </w:r>
      <w:r w:rsidR="00E96714" w:rsidRPr="00BE562A">
        <w:rPr>
          <w:rFonts w:hAnsi="標楷體" w:hint="eastAsia"/>
        </w:rPr>
        <w:t>，</w:t>
      </w:r>
      <w:r w:rsidRPr="00BE562A">
        <w:rPr>
          <w:rFonts w:hAnsi="標楷體" w:hint="eastAsia"/>
        </w:rPr>
        <w:t>各部立醫院執行狀況，</w:t>
      </w:r>
      <w:r w:rsidR="00E94E24" w:rsidRPr="00BE562A">
        <w:rPr>
          <w:rFonts w:hAnsi="標楷體" w:hint="eastAsia"/>
        </w:rPr>
        <w:t>本院於約詢時</w:t>
      </w:r>
      <w:r w:rsidRPr="00BE562A">
        <w:rPr>
          <w:rFonts w:hAnsi="標楷體" w:hint="eastAsia"/>
        </w:rPr>
        <w:t>詢問</w:t>
      </w:r>
      <w:r w:rsidR="00E94E24" w:rsidRPr="00BE562A">
        <w:rPr>
          <w:rFonts w:hAnsi="標楷體" w:hint="eastAsia"/>
        </w:rPr>
        <w:t>部立醫院辦理</w:t>
      </w:r>
      <w:r w:rsidRPr="00BE562A">
        <w:rPr>
          <w:rFonts w:hAnsi="標楷體" w:hint="eastAsia"/>
        </w:rPr>
        <w:t>急性後期整合照護計畫</w:t>
      </w:r>
      <w:r w:rsidR="00E94E24" w:rsidRPr="00BE562A">
        <w:rPr>
          <w:rFonts w:hAnsi="標楷體" w:hint="eastAsia"/>
        </w:rPr>
        <w:t>、</w:t>
      </w:r>
      <w:r w:rsidR="0085589C" w:rsidRPr="00BE562A">
        <w:rPr>
          <w:rFonts w:hAnsi="標楷體" w:hint="eastAsia"/>
        </w:rPr>
        <w:t>居家醫療照護整合計畫</w:t>
      </w:r>
      <w:r w:rsidR="00E94E24" w:rsidRPr="00BE562A">
        <w:rPr>
          <w:rFonts w:hAnsi="標楷體" w:hint="eastAsia"/>
        </w:rPr>
        <w:t>、</w:t>
      </w:r>
      <w:r w:rsidR="0085589C" w:rsidRPr="00BE562A">
        <w:rPr>
          <w:rFonts w:hAnsi="標楷體" w:hint="eastAsia"/>
        </w:rPr>
        <w:t>家庭醫師整合性照護計畫</w:t>
      </w:r>
      <w:r w:rsidR="00E94E24" w:rsidRPr="00BE562A">
        <w:rPr>
          <w:rFonts w:hAnsi="標楷體" w:hint="eastAsia"/>
        </w:rPr>
        <w:t>之服務個案數欠佳如何改善，衛福部薛瑞元次長表示</w:t>
      </w:r>
      <w:r w:rsidR="00447786" w:rsidRPr="00BE562A">
        <w:rPr>
          <w:rFonts w:hAnsi="標楷體" w:hint="eastAsia"/>
        </w:rPr>
        <w:t>：</w:t>
      </w:r>
      <w:r w:rsidR="00E94E24" w:rsidRPr="00BE562A">
        <w:rPr>
          <w:rFonts w:hAnsi="標楷體" w:hint="eastAsia"/>
        </w:rPr>
        <w:t>「本部不會強制部立醫院一定加入PAC計畫、</w:t>
      </w:r>
      <w:r w:rsidR="00AC47A9" w:rsidRPr="00BE562A">
        <w:rPr>
          <w:rFonts w:hAnsi="標楷體" w:hint="eastAsia"/>
        </w:rPr>
        <w:t>居家醫療照護整合計畫</w:t>
      </w:r>
      <w:r w:rsidR="00E94E24" w:rsidRPr="00BE562A">
        <w:rPr>
          <w:rFonts w:hAnsi="標楷體" w:hint="eastAsia"/>
        </w:rPr>
        <w:t>、家醫計畫，應確立各家醫院資源、定位、當地醫療需求，落實公共衛生政策。」</w:t>
      </w:r>
    </w:p>
    <w:p w:rsidR="00902C8E" w:rsidRPr="00BE562A" w:rsidRDefault="00902C8E" w:rsidP="00902C8E">
      <w:pPr>
        <w:pStyle w:val="3"/>
        <w:numPr>
          <w:ilvl w:val="2"/>
          <w:numId w:val="1"/>
        </w:numPr>
      </w:pPr>
      <w:r w:rsidRPr="00BE562A">
        <w:rPr>
          <w:rFonts w:hint="eastAsia"/>
        </w:rPr>
        <w:t>臺灣的醫療系統有其公/私立自成的體系，如長庚療體系、臺大醫院體系、馬偕醫院體系、彰化基督教醫院體系、國軍退除役官兵輔導委員會榮民體系等，各體系當中依據不同體系內各醫院的能力與需求，可相互支援，惟部立醫院雖負有公醫使命及對偏鄉離島及弱勢族群的照護責任，然在部立醫院體系中，卻無醫學中心等足以承載支援各醫院之能力醫院，此亦可由醫療網第八期有關</w:t>
      </w:r>
      <w:r w:rsidRPr="00BE562A">
        <w:rPr>
          <w:rFonts w:hAnsi="標楷體" w:hint="eastAsia"/>
        </w:rPr>
        <w:t>「</w:t>
      </w:r>
      <w:r w:rsidRPr="00BE562A">
        <w:rPr>
          <w:rFonts w:hint="eastAsia"/>
        </w:rPr>
        <w:t>充實並留置偏遠地區醫事人力</w:t>
      </w:r>
      <w:r w:rsidRPr="00BE562A">
        <w:rPr>
          <w:rFonts w:hAnsi="標楷體" w:hint="eastAsia"/>
        </w:rPr>
        <w:t>」一</w:t>
      </w:r>
      <w:r w:rsidRPr="00BE562A">
        <w:rPr>
          <w:rFonts w:hint="eastAsia"/>
        </w:rPr>
        <w:t>節</w:t>
      </w:r>
      <w:r w:rsidRPr="00BE562A">
        <w:rPr>
          <w:rStyle w:val="aff"/>
        </w:rPr>
        <w:footnoteReference w:id="8"/>
      </w:r>
      <w:r w:rsidRPr="00BE562A">
        <w:rPr>
          <w:rFonts w:hint="eastAsia"/>
        </w:rPr>
        <w:t>之背景分析可證。</w:t>
      </w:r>
    </w:p>
    <w:p w:rsidR="006E1995" w:rsidRPr="00BE562A" w:rsidRDefault="003360F7" w:rsidP="00812034">
      <w:pPr>
        <w:pStyle w:val="3"/>
        <w:rPr>
          <w:rFonts w:hAnsi="標楷體"/>
        </w:rPr>
      </w:pPr>
      <w:r w:rsidRPr="00BE562A">
        <w:rPr>
          <w:rFonts w:hAnsi="標楷體" w:hint="eastAsia"/>
        </w:rPr>
        <w:t>綜上，</w:t>
      </w:r>
      <w:r w:rsidR="00BE7B03" w:rsidRPr="00BE562A">
        <w:rPr>
          <w:rFonts w:hAnsi="標楷體" w:hint="eastAsia"/>
        </w:rPr>
        <w:t>臺灣醫療資源整體而言早已飽和，然卻分布不均，</w:t>
      </w:r>
      <w:r w:rsidR="00B938DE" w:rsidRPr="00BE562A">
        <w:rPr>
          <w:rFonts w:hAnsi="標楷體" w:hint="eastAsia"/>
        </w:rPr>
        <w:t>衛福部為促進醫療資源均衡發展，訂有醫療</w:t>
      </w:r>
      <w:r w:rsidR="00B938DE" w:rsidRPr="00BE562A">
        <w:rPr>
          <w:rFonts w:hAnsi="標楷體" w:hint="eastAsia"/>
        </w:rPr>
        <w:lastRenderedPageBreak/>
        <w:t>網計畫，鑑於該部</w:t>
      </w:r>
      <w:r w:rsidR="00046175" w:rsidRPr="00BE562A">
        <w:rPr>
          <w:rFonts w:hAnsi="標楷體" w:hint="eastAsia"/>
        </w:rPr>
        <w:t>部立醫院</w:t>
      </w:r>
      <w:r w:rsidR="00B938DE" w:rsidRPr="00BE562A">
        <w:rPr>
          <w:rFonts w:hAnsi="標楷體" w:hint="eastAsia"/>
        </w:rPr>
        <w:t>多數位處偏遠或醫療資源缺乏之地區，其營運狀況、醫療設備、醫師人力科別需求各有不同，爰檢討盤整各院專科醫師人力結構，提供偏遠地區</w:t>
      </w:r>
      <w:r w:rsidR="00046175" w:rsidRPr="00BE562A">
        <w:rPr>
          <w:rFonts w:hAnsi="標楷體" w:hint="eastAsia"/>
        </w:rPr>
        <w:t>部立醫院</w:t>
      </w:r>
      <w:r w:rsidR="00B938DE" w:rsidRPr="00BE562A">
        <w:rPr>
          <w:rFonts w:hAnsi="標楷體" w:hint="eastAsia"/>
        </w:rPr>
        <w:t>欠缺之診療科別及人力，以符合醫院運作。目前衛福部所屬</w:t>
      </w:r>
      <w:r w:rsidR="00B938DE" w:rsidRPr="00BE562A">
        <w:rPr>
          <w:rFonts w:hAnsi="標楷體"/>
        </w:rPr>
        <w:t>26家醫院，扣除5家精神專科醫院因資格未符</w:t>
      </w:r>
      <w:r w:rsidR="009A3002" w:rsidRPr="00BE562A">
        <w:rPr>
          <w:rFonts w:hAnsi="標楷體" w:hint="eastAsia"/>
        </w:rPr>
        <w:t>急性後期整合照護計畫</w:t>
      </w:r>
      <w:r w:rsidR="00B938DE" w:rsidRPr="00BE562A">
        <w:rPr>
          <w:rFonts w:hAnsi="標楷體" w:hint="eastAsia"/>
        </w:rPr>
        <w:t>、</w:t>
      </w:r>
      <w:r w:rsidR="009A3002" w:rsidRPr="00BE562A">
        <w:rPr>
          <w:rFonts w:hAnsi="標楷體" w:hint="eastAsia"/>
        </w:rPr>
        <w:t>居家醫療照護整合計畫</w:t>
      </w:r>
      <w:r w:rsidR="00B938DE" w:rsidRPr="00BE562A">
        <w:rPr>
          <w:rFonts w:hAnsi="標楷體" w:hint="eastAsia"/>
        </w:rPr>
        <w:t>、</w:t>
      </w:r>
      <w:r w:rsidR="0085589C" w:rsidRPr="00BE562A">
        <w:rPr>
          <w:rFonts w:hAnsi="標楷體" w:hint="eastAsia"/>
        </w:rPr>
        <w:t>家庭醫師整合性照護計畫</w:t>
      </w:r>
      <w:r w:rsidR="00B938DE" w:rsidRPr="00BE562A">
        <w:rPr>
          <w:rFonts w:hAnsi="標楷體" w:hint="eastAsia"/>
        </w:rPr>
        <w:t>而未加入外，都已加入計畫。由於</w:t>
      </w:r>
      <w:r w:rsidR="00B938DE" w:rsidRPr="00BE562A">
        <w:rPr>
          <w:rFonts w:hAnsi="標楷體"/>
        </w:rPr>
        <w:t>各該計畫之</w:t>
      </w:r>
      <w:r w:rsidR="00B938DE" w:rsidRPr="00BE562A">
        <w:rPr>
          <w:rFonts w:hAnsi="標楷體" w:hint="eastAsia"/>
        </w:rPr>
        <w:t>醫師人力資格，涉及</w:t>
      </w:r>
      <w:r w:rsidR="00B938DE" w:rsidRPr="00BE562A">
        <w:rPr>
          <w:rFonts w:hAnsi="標楷體"/>
        </w:rPr>
        <w:t>神經科、神經外科、內科、家醫科或復健科、整形外科、骨科、心臟內/外科……</w:t>
      </w:r>
      <w:r w:rsidR="00B938DE" w:rsidRPr="00BE562A">
        <w:rPr>
          <w:rFonts w:hAnsi="標楷體" w:hint="eastAsia"/>
        </w:rPr>
        <w:t>等專科醫師之參與及執行。然據本院調查發現</w:t>
      </w:r>
      <w:r w:rsidR="00075BF2" w:rsidRPr="00BE562A">
        <w:rPr>
          <w:rFonts w:hAnsi="標楷體" w:hint="eastAsia"/>
        </w:rPr>
        <w:t>，</w:t>
      </w:r>
      <w:r w:rsidR="00B938DE" w:rsidRPr="00BE562A">
        <w:rPr>
          <w:rFonts w:hAnsi="標楷體" w:hint="eastAsia"/>
        </w:rPr>
        <w:t>目前部立醫院各專科醫師人力仍處於短缺之狀態，致衛福部</w:t>
      </w:r>
      <w:r w:rsidR="00046175" w:rsidRPr="00BE562A">
        <w:rPr>
          <w:rFonts w:hAnsi="標楷體" w:hint="eastAsia"/>
        </w:rPr>
        <w:t>部立醫院</w:t>
      </w:r>
      <w:r w:rsidR="00B938DE" w:rsidRPr="00BE562A">
        <w:rPr>
          <w:rFonts w:hAnsi="標楷體" w:hint="eastAsia"/>
        </w:rPr>
        <w:t>雖已加入上開計畫，近</w:t>
      </w:r>
      <w:r w:rsidR="00B938DE" w:rsidRPr="00BE562A">
        <w:rPr>
          <w:rFonts w:hAnsi="標楷體"/>
        </w:rPr>
        <w:t>3年部分醫院辦理成效並不佳，衛福部允應盤整</w:t>
      </w:r>
      <w:r w:rsidR="00915619" w:rsidRPr="00BE562A">
        <w:rPr>
          <w:rFonts w:hAnsi="標楷體" w:hint="eastAsia"/>
        </w:rPr>
        <w:t>各</w:t>
      </w:r>
      <w:r w:rsidR="00B938DE" w:rsidRPr="00BE562A">
        <w:rPr>
          <w:rFonts w:hAnsi="標楷體" w:hint="eastAsia"/>
        </w:rPr>
        <w:t>部立醫院所有醫療資源，並依據</w:t>
      </w:r>
      <w:r w:rsidR="00046175" w:rsidRPr="00BE562A">
        <w:rPr>
          <w:rFonts w:hAnsi="標楷體" w:hint="eastAsia"/>
        </w:rPr>
        <w:t>部立醫院</w:t>
      </w:r>
      <w:r w:rsidR="00B938DE" w:rsidRPr="00BE562A">
        <w:rPr>
          <w:rFonts w:hAnsi="標楷體" w:hint="eastAsia"/>
        </w:rPr>
        <w:t>之發展特性配合在地醫療需求，提供所需之醫療服務</w:t>
      </w:r>
      <w:r w:rsidR="00915619" w:rsidRPr="00BE562A">
        <w:rPr>
          <w:rFonts w:hAnsi="標楷體" w:hint="eastAsia"/>
        </w:rPr>
        <w:t>為主</w:t>
      </w:r>
      <w:r w:rsidR="00B938DE" w:rsidRPr="00BE562A">
        <w:rPr>
          <w:rFonts w:hAnsi="標楷體" w:hint="eastAsia"/>
        </w:rPr>
        <w:t>，</w:t>
      </w:r>
      <w:r w:rsidR="00915619" w:rsidRPr="00BE562A">
        <w:rPr>
          <w:rFonts w:hAnsi="標楷體" w:hint="eastAsia"/>
        </w:rPr>
        <w:t>以發揮其在地之角色與功能</w:t>
      </w:r>
      <w:r w:rsidRPr="00BE562A">
        <w:rPr>
          <w:rFonts w:hAnsi="標楷體" w:hint="eastAsia"/>
        </w:rPr>
        <w:t>。</w:t>
      </w:r>
    </w:p>
    <w:p w:rsidR="00FD0406" w:rsidRPr="00BE562A" w:rsidRDefault="00F20695" w:rsidP="003415A2">
      <w:pPr>
        <w:pStyle w:val="2"/>
        <w:spacing w:beforeLines="50" w:before="228"/>
        <w:ind w:left="1020" w:hanging="680"/>
        <w:rPr>
          <w:rFonts w:hAnsi="標楷體"/>
          <w:b/>
        </w:rPr>
      </w:pPr>
      <w:r w:rsidRPr="00BE562A">
        <w:rPr>
          <w:rFonts w:hAnsi="標楷體" w:hint="eastAsia"/>
          <w:b/>
        </w:rPr>
        <w:t>「</w:t>
      </w:r>
      <w:r w:rsidRPr="00BE562A">
        <w:rPr>
          <w:rFonts w:hAnsi="標楷體" w:hint="eastAsia"/>
          <w:b/>
          <w:lang w:eastAsia="zh-HK"/>
        </w:rPr>
        <w:t>全民健康保險</w:t>
      </w:r>
      <w:r w:rsidR="001118B1" w:rsidRPr="00BE562A">
        <w:rPr>
          <w:rFonts w:hAnsi="標楷體" w:hint="eastAsia"/>
          <w:b/>
        </w:rPr>
        <w:t>居家醫療</w:t>
      </w:r>
      <w:r w:rsidR="007B1870" w:rsidRPr="00BE562A">
        <w:rPr>
          <w:rFonts w:hAnsi="標楷體" w:hint="eastAsia"/>
          <w:b/>
        </w:rPr>
        <w:t>照護整合</w:t>
      </w:r>
      <w:r w:rsidR="001118B1" w:rsidRPr="00BE562A">
        <w:rPr>
          <w:rFonts w:hAnsi="標楷體" w:hint="eastAsia"/>
          <w:b/>
        </w:rPr>
        <w:t>計畫</w:t>
      </w:r>
      <w:r w:rsidRPr="00BE562A">
        <w:rPr>
          <w:rFonts w:hAnsi="標楷體" w:hint="eastAsia"/>
          <w:b/>
        </w:rPr>
        <w:t>」</w:t>
      </w:r>
      <w:r w:rsidR="001118B1" w:rsidRPr="00BE562A">
        <w:rPr>
          <w:rFonts w:hAnsi="標楷體" w:hint="eastAsia"/>
          <w:b/>
        </w:rPr>
        <w:t>之目的係提升因失能或疾病特性致外出就醫不便患者之醫療照護可近性、提供住院替代服務，降低住院日數或減少不必要之社會性住院及改善現行不同類型居家醫療照護片段式的服務模式，提供整合性之照護。然在執行上面臨</w:t>
      </w:r>
      <w:r w:rsidR="00447786" w:rsidRPr="00BE562A">
        <w:rPr>
          <w:rFonts w:hAnsi="標楷體" w:hint="eastAsia"/>
          <w:b/>
        </w:rPr>
        <w:t>：</w:t>
      </w:r>
      <w:r w:rsidR="001118B1" w:rsidRPr="00BE562A">
        <w:rPr>
          <w:rFonts w:hAnsi="標楷體" w:hint="eastAsia"/>
          <w:b/>
        </w:rPr>
        <w:t>藥物整合、訪視醫師面臨跨科別專業處置、資訊系統等軟體硬體設備受限……等困難，雖健保署已針對藥物整合部分研議放寬居家醫療訪視醫師開立具專科別限制之藥品範圍，但未獲相關醫/學會共識，而居家藥物整合係民眾參與計畫意願之主要因素之一，健保署應予重視並持續尋求解決。又現行「居家醫療」之照護並未給付護理人員訪視費、現階段計</w:t>
      </w:r>
      <w:r w:rsidR="001118B1" w:rsidRPr="00BE562A">
        <w:rPr>
          <w:rFonts w:hAnsi="標楷體" w:hint="eastAsia"/>
          <w:b/>
        </w:rPr>
        <w:lastRenderedPageBreak/>
        <w:t>畫</w:t>
      </w:r>
      <w:r w:rsidR="00032911" w:rsidRPr="00BE562A">
        <w:rPr>
          <w:rFonts w:hAnsi="標楷體" w:hint="eastAsia"/>
          <w:b/>
          <w:lang w:eastAsia="zh-HK"/>
        </w:rPr>
        <w:t>限制</w:t>
      </w:r>
      <w:r w:rsidR="00032911" w:rsidRPr="00BE562A">
        <w:rPr>
          <w:rFonts w:hint="eastAsia"/>
          <w:b/>
        </w:rPr>
        <w:t>每日8名病患遠低於醫師門診量，而偏遠地區，又因路程限制更影響醫師居家服務量，致執行計畫所得給付不高而誘因不足，影響醫師之意願等</w:t>
      </w:r>
      <w:r w:rsidR="001118B1" w:rsidRPr="00BE562A">
        <w:rPr>
          <w:rFonts w:hAnsi="標楷體" w:hint="eastAsia"/>
          <w:b/>
        </w:rPr>
        <w:t>，皆影響計畫之推動，健保署亦應一併檢討研議改善</w:t>
      </w:r>
    </w:p>
    <w:p w:rsidR="00302B8E" w:rsidRPr="00BE562A" w:rsidRDefault="00302B8E" w:rsidP="00302B8E">
      <w:pPr>
        <w:pStyle w:val="3"/>
        <w:rPr>
          <w:rFonts w:hAnsi="標楷體"/>
        </w:rPr>
      </w:pPr>
      <w:r w:rsidRPr="00BE562A">
        <w:rPr>
          <w:rFonts w:hAnsi="標楷體" w:hint="eastAsia"/>
        </w:rPr>
        <w:t>依據居家醫療照護整合計畫</w:t>
      </w:r>
      <w:r w:rsidRPr="00BE562A">
        <w:rPr>
          <w:rStyle w:val="aff"/>
          <w:rFonts w:hAnsi="標楷體"/>
        </w:rPr>
        <w:footnoteReference w:id="9"/>
      </w:r>
      <w:r w:rsidRPr="00BE562A">
        <w:rPr>
          <w:rFonts w:hAnsi="標楷體" w:hint="eastAsia"/>
        </w:rPr>
        <w:t>，其中九、照護內容</w:t>
      </w:r>
      <w:r w:rsidR="00447786" w:rsidRPr="00BE562A">
        <w:rPr>
          <w:rFonts w:hAnsi="標楷體" w:hint="eastAsia"/>
        </w:rPr>
        <w:t>：</w:t>
      </w:r>
      <w:r w:rsidRPr="00BE562A">
        <w:rPr>
          <w:rFonts w:hAnsi="標楷體" w:hint="eastAsia"/>
        </w:rPr>
        <w:t>「本計畫之</w:t>
      </w:r>
      <w:r w:rsidR="00722606" w:rsidRPr="00BE562A">
        <w:rPr>
          <w:rFonts w:hAnsi="標楷體" w:hint="eastAsia"/>
        </w:rPr>
        <w:t>『</w:t>
      </w:r>
      <w:r w:rsidRPr="00BE562A">
        <w:rPr>
          <w:rFonts w:hAnsi="標楷體" w:hint="eastAsia"/>
        </w:rPr>
        <w:t>居家醫療</w:t>
      </w:r>
      <w:r w:rsidR="00722606" w:rsidRPr="00BE562A">
        <w:rPr>
          <w:rFonts w:hAnsi="標楷體" w:hint="eastAsia"/>
        </w:rPr>
        <w:t>』</w:t>
      </w:r>
      <w:r w:rsidRPr="00BE562A">
        <w:rPr>
          <w:rFonts w:hAnsi="標楷體" w:hint="eastAsia"/>
        </w:rPr>
        <w:t>、</w:t>
      </w:r>
      <w:r w:rsidR="00722606" w:rsidRPr="00BE562A">
        <w:rPr>
          <w:rFonts w:hAnsi="標楷體" w:hint="eastAsia"/>
        </w:rPr>
        <w:t>『</w:t>
      </w:r>
      <w:r w:rsidRPr="00BE562A">
        <w:rPr>
          <w:rFonts w:hAnsi="標楷體" w:hint="eastAsia"/>
        </w:rPr>
        <w:t>重度居家醫療</w:t>
      </w:r>
      <w:r w:rsidR="00722606" w:rsidRPr="00BE562A">
        <w:rPr>
          <w:rFonts w:hAnsi="標楷體" w:hint="eastAsia"/>
        </w:rPr>
        <w:t>』</w:t>
      </w:r>
      <w:r w:rsidRPr="00BE562A">
        <w:rPr>
          <w:rFonts w:hAnsi="標楷體" w:hint="eastAsia"/>
        </w:rPr>
        <w:t>及</w:t>
      </w:r>
      <w:r w:rsidR="00722606" w:rsidRPr="00BE562A">
        <w:rPr>
          <w:rFonts w:hAnsi="標楷體" w:hint="eastAsia"/>
        </w:rPr>
        <w:t>『</w:t>
      </w:r>
      <w:r w:rsidRPr="00BE562A">
        <w:rPr>
          <w:rFonts w:hAnsi="標楷體" w:hint="eastAsia"/>
        </w:rPr>
        <w:t>安寧療護</w:t>
      </w:r>
      <w:r w:rsidR="00722606" w:rsidRPr="00BE562A">
        <w:rPr>
          <w:rFonts w:hAnsi="標楷體" w:hint="eastAsia"/>
        </w:rPr>
        <w:t>』</w:t>
      </w:r>
      <w:r w:rsidRPr="00BE562A">
        <w:rPr>
          <w:rFonts w:hAnsi="標楷體" w:hint="eastAsia"/>
        </w:rPr>
        <w:t>三照護階段之照護內容，包括：(一)醫師訪視：</w:t>
      </w:r>
      <w:r w:rsidRPr="00BE562A">
        <w:rPr>
          <w:rFonts w:hAnsi="標楷體"/>
        </w:rPr>
        <w:t>……</w:t>
      </w:r>
      <w:r w:rsidRPr="00BE562A">
        <w:rPr>
          <w:rFonts w:hAnsi="標楷體" w:hint="eastAsia"/>
        </w:rPr>
        <w:t>3.一般藥品處方箋用藥，得按病人病情需要，每次開給足夠用量。4.醫師開立藥品處方時，應透過VPN，以健保雲端藥歷系統，即時查詢照護對象近期之用藥資訊，避免重複處方，以提升照護對象用藥安全及品質。(五)藥品處方調劑服務：照護對象所需之藥品，得由處方之特約醫療院所提供調劑與送藥服務，或由家屬持健保卡及處方箋至社區藥局或原處方院所調劑領藥。照護對象獨居時，應提供適當之藥事服務。</w:t>
      </w:r>
      <w:r w:rsidR="00F20695" w:rsidRPr="00BE562A">
        <w:rPr>
          <w:rFonts w:hAnsi="標楷體" w:hint="eastAsia"/>
        </w:rPr>
        <w:t>」</w:t>
      </w:r>
    </w:p>
    <w:p w:rsidR="00DD181B" w:rsidRPr="00BE562A" w:rsidRDefault="001D533D" w:rsidP="008503CA">
      <w:pPr>
        <w:pStyle w:val="3"/>
        <w:rPr>
          <w:rFonts w:hAnsi="標楷體"/>
          <w:kern w:val="0"/>
        </w:rPr>
      </w:pPr>
      <w:r w:rsidRPr="00BE562A">
        <w:rPr>
          <w:rFonts w:hAnsi="標楷體" w:hint="eastAsia"/>
        </w:rPr>
        <w:t>目前部立所屬26家醫院，扣除5家精神專科醫院，其餘醫院均已加入</w:t>
      </w:r>
      <w:r w:rsidR="00173B25" w:rsidRPr="00BE562A">
        <w:rPr>
          <w:rFonts w:hAnsi="標楷體" w:hint="eastAsia"/>
        </w:rPr>
        <w:t>，各院辦理情形詳如表11</w:t>
      </w:r>
      <w:r w:rsidR="002947DB" w:rsidRPr="00BE562A">
        <w:rPr>
          <w:rFonts w:hAnsi="標楷體" w:hint="eastAsia"/>
        </w:rPr>
        <w:t>，而</w:t>
      </w:r>
      <w:r w:rsidR="002F6F38" w:rsidRPr="00BE562A">
        <w:rPr>
          <w:rFonts w:hAnsi="標楷體" w:hint="eastAsia"/>
        </w:rPr>
        <w:t>衛福部</w:t>
      </w:r>
      <w:r w:rsidR="002947DB" w:rsidRPr="00BE562A">
        <w:rPr>
          <w:rFonts w:hAnsi="標楷體" w:hint="eastAsia"/>
        </w:rPr>
        <w:t>臺東醫院成功分院因地處偏遠，專科醫師人力</w:t>
      </w:r>
      <w:r w:rsidR="00173B25" w:rsidRPr="00BE562A">
        <w:rPr>
          <w:rFonts w:hAnsi="標楷體" w:hint="eastAsia"/>
        </w:rPr>
        <w:t>不足</w:t>
      </w:r>
      <w:r w:rsidR="002947DB" w:rsidRPr="00BE562A">
        <w:rPr>
          <w:rFonts w:hAnsi="標楷體" w:hint="eastAsia"/>
        </w:rPr>
        <w:t>，故未提出申請</w:t>
      </w:r>
      <w:r w:rsidR="00173B25" w:rsidRPr="00BE562A">
        <w:rPr>
          <w:rFonts w:hAnsi="標楷體" w:hint="eastAsia"/>
        </w:rPr>
        <w:t>，已如前述。</w:t>
      </w:r>
      <w:r w:rsidR="00D46AE0" w:rsidRPr="00BE562A">
        <w:rPr>
          <w:rFonts w:hAnsi="標楷體" w:hint="eastAsia"/>
        </w:rPr>
        <w:t>經查</w:t>
      </w:r>
      <w:r w:rsidR="00FE3C09" w:rsidRPr="00BE562A">
        <w:rPr>
          <w:rFonts w:hAnsi="標楷體" w:hint="eastAsia"/>
        </w:rPr>
        <w:t>部立醫院加入</w:t>
      </w:r>
      <w:r w:rsidR="009A3002" w:rsidRPr="00BE562A">
        <w:rPr>
          <w:rFonts w:hAnsi="標楷體" w:hint="eastAsia"/>
        </w:rPr>
        <w:t>居家醫療照護整合計畫</w:t>
      </w:r>
      <w:r w:rsidR="00FE3C09" w:rsidRPr="00BE562A">
        <w:rPr>
          <w:rFonts w:hAnsi="標楷體" w:hint="eastAsia"/>
        </w:rPr>
        <w:t>執行後之相關困境</w:t>
      </w:r>
      <w:r w:rsidR="00791062" w:rsidRPr="00BE562A">
        <w:rPr>
          <w:rFonts w:hAnsi="標楷體" w:hint="eastAsia"/>
        </w:rPr>
        <w:t>有</w:t>
      </w:r>
      <w:r w:rsidR="00447786" w:rsidRPr="00BE562A">
        <w:rPr>
          <w:rFonts w:hAnsi="標楷體" w:hint="eastAsia"/>
        </w:rPr>
        <w:t>：</w:t>
      </w:r>
    </w:p>
    <w:p w:rsidR="00DD181B" w:rsidRPr="00BE562A" w:rsidRDefault="00DD181B" w:rsidP="00F26335">
      <w:pPr>
        <w:pStyle w:val="4"/>
        <w:rPr>
          <w:rFonts w:hAnsi="標楷體"/>
        </w:rPr>
      </w:pPr>
      <w:r w:rsidRPr="00BE562A">
        <w:rPr>
          <w:rFonts w:hAnsi="標楷體" w:hint="eastAsia"/>
        </w:rPr>
        <w:t>藥物整合困難</w:t>
      </w:r>
      <w:r w:rsidR="00F26335" w:rsidRPr="00BE562A">
        <w:rPr>
          <w:rFonts w:hAnsi="標楷體" w:hint="eastAsia"/>
        </w:rPr>
        <w:t>，包括</w:t>
      </w:r>
      <w:r w:rsidR="00447786" w:rsidRPr="00BE562A">
        <w:rPr>
          <w:rFonts w:hAnsi="標楷體" w:hint="eastAsia"/>
        </w:rPr>
        <w:t>：</w:t>
      </w:r>
      <w:r w:rsidR="00F26335" w:rsidRPr="00BE562A">
        <w:rPr>
          <w:rFonts w:hAnsi="標楷體"/>
        </w:rPr>
        <w:t>(1)</w:t>
      </w:r>
      <w:r w:rsidRPr="00BE562A">
        <w:rPr>
          <w:rFonts w:hAnsi="標楷體" w:hint="eastAsia"/>
        </w:rPr>
        <w:t>病人習慣特定品牌藥物，對新開立之藥品感到不適應而退出計畫。</w:t>
      </w:r>
      <w:r w:rsidR="00F26335" w:rsidRPr="00BE562A">
        <w:rPr>
          <w:rFonts w:hAnsi="標楷體"/>
        </w:rPr>
        <w:t>(2)</w:t>
      </w:r>
      <w:r w:rsidRPr="00BE562A">
        <w:rPr>
          <w:rFonts w:hAnsi="標楷體" w:hint="eastAsia"/>
        </w:rPr>
        <w:t>因涉專科醫師用藥，部分藥物更替未能獲病人或家屬同意，致訪視中個案有異常狀況則無法開藥。</w:t>
      </w:r>
      <w:r w:rsidR="00F26335" w:rsidRPr="00BE562A">
        <w:rPr>
          <w:rFonts w:hAnsi="標楷體"/>
        </w:rPr>
        <w:t>(3)</w:t>
      </w:r>
      <w:r w:rsidRPr="00BE562A">
        <w:rPr>
          <w:rFonts w:hAnsi="標楷體"/>
        </w:rPr>
        <w:t>108</w:t>
      </w:r>
      <w:r w:rsidRPr="00BE562A">
        <w:rPr>
          <w:rFonts w:hAnsi="標楷體" w:hint="eastAsia"/>
        </w:rPr>
        <w:t>年新增用藥整合規定，開藥醫師與居家看診醫師未必同一，且部分藥物開立有限制，非訪視醫師可開立。</w:t>
      </w:r>
    </w:p>
    <w:p w:rsidR="00DD181B" w:rsidRPr="00BE562A" w:rsidRDefault="00DD181B" w:rsidP="00F26335">
      <w:pPr>
        <w:pStyle w:val="4"/>
        <w:rPr>
          <w:rFonts w:hAnsi="標楷體"/>
        </w:rPr>
      </w:pPr>
      <w:r w:rsidRPr="00BE562A">
        <w:rPr>
          <w:rFonts w:hAnsi="標楷體" w:hint="eastAsia"/>
        </w:rPr>
        <w:lastRenderedPageBreak/>
        <w:t>訪視醫師面臨跨科別專業處置困難</w:t>
      </w:r>
      <w:r w:rsidR="00F26335" w:rsidRPr="00BE562A">
        <w:rPr>
          <w:rFonts w:hAnsi="標楷體" w:hint="eastAsia"/>
        </w:rPr>
        <w:t>，包括</w:t>
      </w:r>
      <w:r w:rsidRPr="00BE562A">
        <w:rPr>
          <w:rFonts w:hAnsi="標楷體" w:hint="eastAsia"/>
        </w:rPr>
        <w:t>：</w:t>
      </w:r>
      <w:r w:rsidR="00F26335" w:rsidRPr="00BE562A">
        <w:rPr>
          <w:rFonts w:hAnsi="標楷體"/>
        </w:rPr>
        <w:t>(1)</w:t>
      </w:r>
      <w:r w:rsidRPr="00BE562A">
        <w:rPr>
          <w:rFonts w:hAnsi="標楷體" w:hint="eastAsia"/>
        </w:rPr>
        <w:t>計畫</w:t>
      </w:r>
      <w:r w:rsidR="00F26335" w:rsidRPr="00BE562A">
        <w:rPr>
          <w:rFonts w:hAnsi="標楷體" w:hint="eastAsia"/>
        </w:rPr>
        <w:t>多</w:t>
      </w:r>
      <w:r w:rsidRPr="00BE562A">
        <w:rPr>
          <w:rFonts w:hAnsi="標楷體" w:hint="eastAsia"/>
        </w:rPr>
        <w:t>由家醫科醫師進行看診，非原</w:t>
      </w:r>
      <w:r w:rsidR="00F26335" w:rsidRPr="00BE562A">
        <w:rPr>
          <w:rFonts w:hAnsi="標楷體" w:hint="eastAsia"/>
        </w:rPr>
        <w:t>專科</w:t>
      </w:r>
      <w:r w:rsidRPr="00BE562A">
        <w:rPr>
          <w:rFonts w:hAnsi="標楷體" w:hint="eastAsia"/>
        </w:rPr>
        <w:t>主治醫師為訪視醫師。</w:t>
      </w:r>
      <w:r w:rsidR="00F26335" w:rsidRPr="00BE562A">
        <w:rPr>
          <w:rFonts w:hAnsi="標楷體"/>
        </w:rPr>
        <w:t>(2)</w:t>
      </w:r>
      <w:r w:rsidRPr="00BE562A">
        <w:rPr>
          <w:rFonts w:hAnsi="標楷體" w:hint="eastAsia"/>
        </w:rPr>
        <w:t>訪視醫師面臨專業診斷及跨科處置問題</w:t>
      </w:r>
      <w:r w:rsidR="00F26335" w:rsidRPr="00BE562A">
        <w:rPr>
          <w:rFonts w:hAnsi="標楷體" w:hint="eastAsia"/>
        </w:rPr>
        <w:t>時</w:t>
      </w:r>
      <w:r w:rsidRPr="00BE562A">
        <w:rPr>
          <w:rFonts w:hAnsi="標楷體" w:hint="eastAsia"/>
        </w:rPr>
        <w:t>，仍需轉介</w:t>
      </w:r>
      <w:r w:rsidR="00F26335" w:rsidRPr="00BE562A">
        <w:rPr>
          <w:rFonts w:hAnsi="標楷體" w:hint="eastAsia"/>
        </w:rPr>
        <w:t>其</w:t>
      </w:r>
      <w:r w:rsidRPr="00BE562A">
        <w:rPr>
          <w:rFonts w:hAnsi="標楷體" w:hint="eastAsia"/>
        </w:rPr>
        <w:t>他</w:t>
      </w:r>
      <w:r w:rsidR="00F26335" w:rsidRPr="00BE562A">
        <w:rPr>
          <w:rFonts w:hAnsi="標楷體" w:hint="eastAsia"/>
        </w:rPr>
        <w:t>專科，因病患</w:t>
      </w:r>
      <w:r w:rsidRPr="00BE562A">
        <w:rPr>
          <w:rFonts w:hAnsi="標楷體" w:hint="eastAsia"/>
        </w:rPr>
        <w:t>在意專科醫師</w:t>
      </w:r>
      <w:r w:rsidR="00F26335" w:rsidRPr="00BE562A">
        <w:rPr>
          <w:rFonts w:hAnsi="標楷體" w:hint="eastAsia"/>
        </w:rPr>
        <w:t>是否</w:t>
      </w:r>
      <w:r w:rsidRPr="00BE562A">
        <w:rPr>
          <w:rFonts w:hAnsi="標楷體" w:hint="eastAsia"/>
        </w:rPr>
        <w:t>能持續治療</w:t>
      </w:r>
      <w:r w:rsidR="00F26335" w:rsidRPr="00BE562A">
        <w:rPr>
          <w:rFonts w:hAnsi="標楷體" w:hint="eastAsia"/>
        </w:rPr>
        <w:t>而非加入計畫</w:t>
      </w:r>
      <w:r w:rsidRPr="00BE562A">
        <w:rPr>
          <w:rFonts w:hAnsi="標楷體" w:hint="eastAsia"/>
        </w:rPr>
        <w:t>，故多重慢性病人會退出計畫。</w:t>
      </w:r>
      <w:r w:rsidR="00F26335" w:rsidRPr="00BE562A">
        <w:rPr>
          <w:rFonts w:hAnsi="標楷體"/>
        </w:rPr>
        <w:t>(3)</w:t>
      </w:r>
      <w:r w:rsidRPr="00BE562A">
        <w:rPr>
          <w:rFonts w:hAnsi="標楷體" w:hint="eastAsia"/>
        </w:rPr>
        <w:t>能配合該計畫醫師科別少，缺乏專科性。</w:t>
      </w:r>
    </w:p>
    <w:p w:rsidR="00DD181B" w:rsidRPr="00BE562A" w:rsidRDefault="00DD181B" w:rsidP="00922608">
      <w:pPr>
        <w:pStyle w:val="4"/>
        <w:rPr>
          <w:rFonts w:hAnsi="標楷體"/>
        </w:rPr>
      </w:pPr>
      <w:r w:rsidRPr="00BE562A">
        <w:rPr>
          <w:rFonts w:hAnsi="標楷體" w:hint="eastAsia"/>
        </w:rPr>
        <w:t>資訊系統等軟體硬體設備受限</w:t>
      </w:r>
      <w:r w:rsidR="00922608" w:rsidRPr="00BE562A">
        <w:rPr>
          <w:rFonts w:hAnsi="標楷體" w:hint="eastAsia"/>
        </w:rPr>
        <w:t>，包括</w:t>
      </w:r>
      <w:r w:rsidRPr="00BE562A">
        <w:rPr>
          <w:rFonts w:hAnsi="標楷體" w:hint="eastAsia"/>
        </w:rPr>
        <w:t>：</w:t>
      </w:r>
      <w:r w:rsidR="00922608" w:rsidRPr="00BE562A">
        <w:rPr>
          <w:rFonts w:hAnsi="標楷體" w:hint="eastAsia"/>
        </w:rPr>
        <w:t>(1)為利雲端藥歷連線查看用藥</w:t>
      </w:r>
      <w:r w:rsidRPr="00BE562A">
        <w:rPr>
          <w:rFonts w:hAnsi="標楷體" w:hint="eastAsia"/>
        </w:rPr>
        <w:t>，居家訪視需攜帶多樣且沉重的資訊設備</w:t>
      </w:r>
      <w:r w:rsidR="00922608" w:rsidRPr="00BE562A">
        <w:rPr>
          <w:rFonts w:hAnsi="標楷體" w:hint="eastAsia"/>
        </w:rPr>
        <w:t>及</w:t>
      </w:r>
      <w:r w:rsidRPr="00BE562A">
        <w:rPr>
          <w:rFonts w:hAnsi="標楷體" w:hint="eastAsia"/>
        </w:rPr>
        <w:t>需穩定的通訊網路。</w:t>
      </w:r>
      <w:r w:rsidR="00922608" w:rsidRPr="00BE562A">
        <w:rPr>
          <w:rFonts w:hAnsi="標楷體"/>
        </w:rPr>
        <w:t>(2)</w:t>
      </w:r>
      <w:r w:rsidRPr="00BE562A">
        <w:rPr>
          <w:rFonts w:hAnsi="標楷體" w:hint="eastAsia"/>
        </w:rPr>
        <w:t>計畫系統軟體目前無法與各院</w:t>
      </w:r>
      <w:r w:rsidRPr="00BE562A">
        <w:rPr>
          <w:rFonts w:hAnsi="標楷體"/>
        </w:rPr>
        <w:t>HIS</w:t>
      </w:r>
      <w:r w:rsidR="007F0392" w:rsidRPr="00BE562A">
        <w:rPr>
          <w:rFonts w:hAnsi="標楷體"/>
        </w:rPr>
        <w:t>(Hospital Information System</w:t>
      </w:r>
      <w:r w:rsidR="007F0392" w:rsidRPr="00BE562A">
        <w:rPr>
          <w:rFonts w:hAnsi="標楷體" w:hint="eastAsia"/>
        </w:rPr>
        <w:t>，</w:t>
      </w:r>
      <w:r w:rsidR="008C636C" w:rsidRPr="00BE562A">
        <w:rPr>
          <w:rFonts w:hAnsi="標楷體" w:hint="eastAsia"/>
          <w:lang w:eastAsia="zh-HK"/>
        </w:rPr>
        <w:t>下</w:t>
      </w:r>
      <w:r w:rsidR="007F0392" w:rsidRPr="00BE562A">
        <w:rPr>
          <w:rFonts w:hAnsi="標楷體" w:hint="eastAsia"/>
        </w:rPr>
        <w:t>稱</w:t>
      </w:r>
      <w:r w:rsidR="007F0392" w:rsidRPr="00BE562A">
        <w:rPr>
          <w:rFonts w:hAnsi="標楷體"/>
        </w:rPr>
        <w:t>HIS)</w:t>
      </w:r>
      <w:r w:rsidRPr="00BE562A">
        <w:rPr>
          <w:rFonts w:hAnsi="標楷體" w:hint="eastAsia"/>
        </w:rPr>
        <w:t>系統連接</w:t>
      </w:r>
      <w:r w:rsidR="00922608" w:rsidRPr="00BE562A">
        <w:rPr>
          <w:rFonts w:hAnsi="標楷體" w:hint="eastAsia"/>
        </w:rPr>
        <w:t>，</w:t>
      </w:r>
      <w:r w:rsidRPr="00BE562A">
        <w:rPr>
          <w:rFonts w:hAnsi="標楷體" w:hint="eastAsia"/>
        </w:rPr>
        <w:t>雖</w:t>
      </w:r>
      <w:r w:rsidR="00922608" w:rsidRPr="00BE562A">
        <w:rPr>
          <w:rFonts w:hAnsi="標楷體" w:hint="eastAsia"/>
        </w:rPr>
        <w:t>已</w:t>
      </w:r>
      <w:r w:rsidRPr="00BE562A">
        <w:rPr>
          <w:rFonts w:hAnsi="標楷體" w:hint="eastAsia"/>
        </w:rPr>
        <w:t>開發軟體可於手機進行線上登打病歷與開藥，但</w:t>
      </w:r>
      <w:r w:rsidR="00922608" w:rsidRPr="00BE562A">
        <w:rPr>
          <w:rFonts w:hAnsi="標楷體" w:hint="eastAsia"/>
        </w:rPr>
        <w:t>仍</w:t>
      </w:r>
      <w:r w:rsidRPr="00BE562A">
        <w:rPr>
          <w:rFonts w:hAnsi="標楷體" w:hint="eastAsia"/>
        </w:rPr>
        <w:t>無法與各醫院的</w:t>
      </w:r>
      <w:r w:rsidRPr="00BE562A">
        <w:rPr>
          <w:rFonts w:hAnsi="標楷體"/>
        </w:rPr>
        <w:t>HIS</w:t>
      </w:r>
      <w:r w:rsidRPr="00BE562A">
        <w:rPr>
          <w:rFonts w:hAnsi="標楷體" w:hint="eastAsia"/>
        </w:rPr>
        <w:t>系統連通，</w:t>
      </w:r>
      <w:r w:rsidR="00922608" w:rsidRPr="00BE562A">
        <w:rPr>
          <w:rFonts w:hAnsi="標楷體" w:hint="eastAsia"/>
        </w:rPr>
        <w:t>訪視完</w:t>
      </w:r>
      <w:r w:rsidRPr="00BE562A">
        <w:rPr>
          <w:rFonts w:hAnsi="標楷體" w:hint="eastAsia"/>
        </w:rPr>
        <w:t>仍</w:t>
      </w:r>
      <w:r w:rsidR="00922608" w:rsidRPr="00BE562A">
        <w:rPr>
          <w:rFonts w:hAnsi="標楷體" w:hint="eastAsia"/>
        </w:rPr>
        <w:t>至</w:t>
      </w:r>
      <w:r w:rsidRPr="00BE562A">
        <w:rPr>
          <w:rFonts w:hAnsi="標楷體" w:hint="eastAsia"/>
        </w:rPr>
        <w:t>院</w:t>
      </w:r>
      <w:r w:rsidR="00922608" w:rsidRPr="00BE562A">
        <w:rPr>
          <w:rFonts w:hAnsi="標楷體" w:hint="eastAsia"/>
        </w:rPr>
        <w:t>內</w:t>
      </w:r>
      <w:r w:rsidRPr="00BE562A">
        <w:rPr>
          <w:rFonts w:hAnsi="標楷體"/>
        </w:rPr>
        <w:t>HIS</w:t>
      </w:r>
      <w:r w:rsidRPr="00BE562A">
        <w:rPr>
          <w:rFonts w:hAnsi="標楷體" w:hint="eastAsia"/>
        </w:rPr>
        <w:t>系統重新登打，</w:t>
      </w:r>
      <w:r w:rsidR="00922608" w:rsidRPr="00BE562A">
        <w:rPr>
          <w:rFonts w:hAnsi="標楷體" w:hint="eastAsia"/>
        </w:rPr>
        <w:t>相關</w:t>
      </w:r>
      <w:r w:rsidRPr="00BE562A">
        <w:rPr>
          <w:rFonts w:hAnsi="標楷體" w:hint="eastAsia"/>
        </w:rPr>
        <w:t>病歷、申報作業與收費明細等，做工繁複。</w:t>
      </w:r>
    </w:p>
    <w:p w:rsidR="00DD181B" w:rsidRPr="00BE562A" w:rsidRDefault="00E01992" w:rsidP="00E01992">
      <w:pPr>
        <w:pStyle w:val="4"/>
        <w:rPr>
          <w:rFonts w:hAnsi="標楷體"/>
        </w:rPr>
      </w:pPr>
      <w:r w:rsidRPr="00BE562A">
        <w:rPr>
          <w:rFonts w:hAnsi="標楷體" w:hint="eastAsia"/>
        </w:rPr>
        <w:t>其他包括</w:t>
      </w:r>
      <w:r w:rsidR="00DD181B" w:rsidRPr="00BE562A">
        <w:rPr>
          <w:rFonts w:hAnsi="標楷體" w:hint="eastAsia"/>
        </w:rPr>
        <w:t>：</w:t>
      </w:r>
      <w:r w:rsidRPr="00BE562A">
        <w:rPr>
          <w:rFonts w:hAnsi="標楷體"/>
        </w:rPr>
        <w:t>(1)</w:t>
      </w:r>
      <w:r w:rsidR="00DD181B" w:rsidRPr="00BE562A">
        <w:rPr>
          <w:rFonts w:hAnsi="標楷體" w:hint="eastAsia"/>
        </w:rPr>
        <w:t>醫院對健保署抽審標準評分規範不甚清楚，導致核刪比例過高。</w:t>
      </w:r>
      <w:r w:rsidRPr="00BE562A">
        <w:rPr>
          <w:rFonts w:hAnsi="標楷體"/>
        </w:rPr>
        <w:t>(2)</w:t>
      </w:r>
      <w:r w:rsidR="00DD181B" w:rsidRPr="00BE562A">
        <w:rPr>
          <w:rFonts w:hAnsi="標楷體" w:hint="eastAsia"/>
        </w:rPr>
        <w:t>目前對計畫訪視交通費尚未制定通用</w:t>
      </w:r>
      <w:r w:rsidRPr="00BE562A">
        <w:rPr>
          <w:rFonts w:hAnsi="標楷體" w:hint="eastAsia"/>
        </w:rPr>
        <w:t>之</w:t>
      </w:r>
      <w:r w:rsidR="00DD181B" w:rsidRPr="00BE562A">
        <w:rPr>
          <w:rFonts w:hAnsi="標楷體" w:hint="eastAsia"/>
        </w:rPr>
        <w:t>收費準則。</w:t>
      </w:r>
      <w:r w:rsidRPr="00BE562A">
        <w:rPr>
          <w:rFonts w:hAnsi="標楷體"/>
        </w:rPr>
        <w:t>(3)</w:t>
      </w:r>
      <w:r w:rsidR="00DD181B" w:rsidRPr="00BE562A">
        <w:rPr>
          <w:rFonts w:hAnsi="標楷體" w:hint="eastAsia"/>
        </w:rPr>
        <w:t>醫師覺得看診時間花費長，但計畫給付費用不高，故配合度不高。</w:t>
      </w:r>
    </w:p>
    <w:p w:rsidR="00DD181B" w:rsidRPr="00BE562A" w:rsidRDefault="00951BD7" w:rsidP="00951BD7">
      <w:pPr>
        <w:pStyle w:val="3"/>
        <w:rPr>
          <w:rFonts w:hAnsi="標楷體"/>
        </w:rPr>
      </w:pPr>
      <w:r w:rsidRPr="00BE562A">
        <w:rPr>
          <w:rFonts w:hAnsi="標楷體" w:hint="eastAsia"/>
        </w:rPr>
        <w:t>據上</w:t>
      </w:r>
      <w:r w:rsidR="00A12835" w:rsidRPr="00BE562A">
        <w:rPr>
          <w:rFonts w:hAnsi="標楷體" w:hint="eastAsia"/>
        </w:rPr>
        <w:t>，</w:t>
      </w:r>
      <w:r w:rsidRPr="00BE562A">
        <w:rPr>
          <w:rFonts w:hAnsi="標楷體" w:hint="eastAsia"/>
        </w:rPr>
        <w:t>各部立醫院提出</w:t>
      </w:r>
      <w:r w:rsidR="00DD181B" w:rsidRPr="00BE562A">
        <w:rPr>
          <w:rFonts w:hAnsi="標楷體" w:hint="eastAsia"/>
        </w:rPr>
        <w:t>相關建議</w:t>
      </w:r>
      <w:r w:rsidR="00791062" w:rsidRPr="00BE562A">
        <w:rPr>
          <w:rFonts w:hAnsi="標楷體" w:hint="eastAsia"/>
        </w:rPr>
        <w:t>如下</w:t>
      </w:r>
      <w:r w:rsidR="00447786" w:rsidRPr="00BE562A">
        <w:rPr>
          <w:rFonts w:hAnsi="標楷體" w:hint="eastAsia"/>
        </w:rPr>
        <w:t>：</w:t>
      </w:r>
    </w:p>
    <w:p w:rsidR="00DD181B" w:rsidRPr="00BE562A" w:rsidRDefault="00DD181B" w:rsidP="00E140E4">
      <w:pPr>
        <w:pStyle w:val="4"/>
        <w:rPr>
          <w:rFonts w:hAnsi="標楷體"/>
          <w:kern w:val="0"/>
        </w:rPr>
      </w:pPr>
      <w:r w:rsidRPr="00BE562A">
        <w:rPr>
          <w:rFonts w:hAnsi="標楷體" w:hint="eastAsia"/>
        </w:rPr>
        <w:t>調整用藥整合的條件</w:t>
      </w:r>
      <w:r w:rsidR="007A3672" w:rsidRPr="00BE562A">
        <w:rPr>
          <w:rFonts w:hAnsi="標楷體" w:hint="eastAsia"/>
        </w:rPr>
        <w:t>，</w:t>
      </w:r>
      <w:r w:rsidRPr="00BE562A">
        <w:rPr>
          <w:rFonts w:hAnsi="標楷體" w:hint="eastAsia"/>
        </w:rPr>
        <w:t>以鼓勵制度使病人願意轉介至居家醫療照護，</w:t>
      </w:r>
      <w:r w:rsidR="007A3672" w:rsidRPr="00BE562A">
        <w:rPr>
          <w:rFonts w:hAnsi="標楷體" w:hint="eastAsia"/>
        </w:rPr>
        <w:t>諸如</w:t>
      </w:r>
      <w:r w:rsidR="00447786" w:rsidRPr="00BE562A">
        <w:rPr>
          <w:rFonts w:hAnsi="標楷體" w:hint="eastAsia"/>
        </w:rPr>
        <w:t>：</w:t>
      </w:r>
      <w:r w:rsidRPr="00BE562A">
        <w:rPr>
          <w:rFonts w:hAnsi="標楷體" w:hint="eastAsia"/>
        </w:rPr>
        <w:t>健保署應提供鄰近地區居家醫療的轉介資訊給病人，</w:t>
      </w:r>
      <w:r w:rsidR="007A3672" w:rsidRPr="00BE562A">
        <w:rPr>
          <w:rFonts w:hAnsi="標楷體" w:hint="eastAsia"/>
        </w:rPr>
        <w:t>對</w:t>
      </w:r>
      <w:r w:rsidRPr="00BE562A">
        <w:rPr>
          <w:rFonts w:hAnsi="標楷體" w:hint="eastAsia"/>
        </w:rPr>
        <w:t>願意接受藥物整合</w:t>
      </w:r>
      <w:r w:rsidR="007A3672" w:rsidRPr="00BE562A">
        <w:rPr>
          <w:rFonts w:hAnsi="標楷體" w:hint="eastAsia"/>
        </w:rPr>
        <w:t>者</w:t>
      </w:r>
      <w:r w:rsidRPr="00BE562A">
        <w:rPr>
          <w:rFonts w:hAnsi="標楷體" w:hint="eastAsia"/>
        </w:rPr>
        <w:t>，給予費用優待等</w:t>
      </w:r>
      <w:r w:rsidR="00A12835" w:rsidRPr="00BE562A">
        <w:rPr>
          <w:rFonts w:hAnsi="標楷體" w:hint="eastAsia"/>
        </w:rPr>
        <w:t>；</w:t>
      </w:r>
      <w:r w:rsidRPr="00BE562A">
        <w:rPr>
          <w:rFonts w:hAnsi="標楷體" w:hint="eastAsia"/>
        </w:rPr>
        <w:t>第二階段居家用藥整合部分，案家就診他院及診所選擇多，若個案至他院就診，由系統強制結案，個案接受長期醫療照護之權益受損</w:t>
      </w:r>
      <w:r w:rsidR="00A12835" w:rsidRPr="00BE562A">
        <w:rPr>
          <w:rFonts w:hAnsi="標楷體" w:hint="eastAsia"/>
        </w:rPr>
        <w:t>；</w:t>
      </w:r>
      <w:r w:rsidRPr="00BE562A">
        <w:rPr>
          <w:rFonts w:hAnsi="標楷體" w:hint="eastAsia"/>
        </w:rPr>
        <w:t>健保署對藥師送藥限制過嚴，建議鬆綁</w:t>
      </w:r>
      <w:r w:rsidR="007A3672" w:rsidRPr="00BE562A">
        <w:rPr>
          <w:rFonts w:hAnsi="標楷體"/>
        </w:rPr>
        <w:t>……</w:t>
      </w:r>
      <w:r w:rsidR="007A3672" w:rsidRPr="00BE562A">
        <w:rPr>
          <w:rFonts w:hAnsi="標楷體" w:hint="eastAsia"/>
        </w:rPr>
        <w:t>等措施。</w:t>
      </w:r>
    </w:p>
    <w:p w:rsidR="00DD181B" w:rsidRPr="00BE562A" w:rsidRDefault="00DD181B" w:rsidP="00E140E4">
      <w:pPr>
        <w:pStyle w:val="4"/>
        <w:rPr>
          <w:rFonts w:hAnsi="標楷體"/>
        </w:rPr>
      </w:pPr>
      <w:r w:rsidRPr="00BE562A">
        <w:rPr>
          <w:rFonts w:hAnsi="標楷體" w:hint="eastAsia"/>
        </w:rPr>
        <w:lastRenderedPageBreak/>
        <w:t>建立居家訪視健全的照會制度</w:t>
      </w:r>
      <w:r w:rsidR="00E140E4" w:rsidRPr="00BE562A">
        <w:rPr>
          <w:rFonts w:hAnsi="標楷體" w:hint="eastAsia"/>
        </w:rPr>
        <w:t>，諸如</w:t>
      </w:r>
      <w:r w:rsidRPr="00BE562A">
        <w:rPr>
          <w:rFonts w:hAnsi="標楷體" w:hint="eastAsia"/>
        </w:rPr>
        <w:t>：應發展後送照會制度，讓居家病人需轉介者，有便利的照會專科制度。身障鑑定目前侷限在器官別專科，建議加入責任家庭醫師做長照個案身心障礙鑑定。</w:t>
      </w:r>
    </w:p>
    <w:p w:rsidR="00DD181B" w:rsidRPr="00BE562A" w:rsidRDefault="00DD181B" w:rsidP="006F4ECD">
      <w:pPr>
        <w:pStyle w:val="4"/>
        <w:rPr>
          <w:rFonts w:hAnsi="標楷體"/>
        </w:rPr>
      </w:pPr>
      <w:r w:rsidRPr="00BE562A">
        <w:rPr>
          <w:rFonts w:hAnsi="標楷體" w:hint="eastAsia"/>
        </w:rPr>
        <w:t>重新檢視計畫給付標準</w:t>
      </w:r>
      <w:r w:rsidR="006F4ECD" w:rsidRPr="00BE562A">
        <w:rPr>
          <w:rFonts w:hAnsi="標楷體" w:hint="eastAsia"/>
        </w:rPr>
        <w:t>包括</w:t>
      </w:r>
      <w:r w:rsidRPr="00BE562A">
        <w:rPr>
          <w:rFonts w:hAnsi="標楷體" w:hint="eastAsia"/>
        </w:rPr>
        <w:t>：</w:t>
      </w:r>
      <w:r w:rsidR="006F4ECD" w:rsidRPr="00BE562A">
        <w:rPr>
          <w:rFonts w:hAnsi="標楷體" w:hint="eastAsia"/>
        </w:rPr>
        <w:t>醫師及護理師是執行居家醫療最小的人力團隊，居家訪視的各階段</w:t>
      </w:r>
      <w:r w:rsidRPr="00BE562A">
        <w:rPr>
          <w:rFonts w:hAnsi="標楷體" w:hint="eastAsia"/>
        </w:rPr>
        <w:t>皆由護理師陪同，應一併給付護理訪視費、居家護理師費用。</w:t>
      </w:r>
      <w:r w:rsidR="00123928" w:rsidRPr="00BE562A">
        <w:rPr>
          <w:rFonts w:hAnsi="標楷體" w:hint="eastAsia"/>
        </w:rPr>
        <w:t>「居家醫療」</w:t>
      </w:r>
      <w:r w:rsidRPr="00BE562A">
        <w:rPr>
          <w:rFonts w:hAnsi="標楷體" w:hint="eastAsia"/>
        </w:rPr>
        <w:t>、</w:t>
      </w:r>
      <w:r w:rsidR="00123928" w:rsidRPr="00BE562A">
        <w:rPr>
          <w:rFonts w:hAnsi="標楷體" w:hint="eastAsia"/>
        </w:rPr>
        <w:t>「重度居家醫療」及「安寧療護」</w:t>
      </w:r>
      <w:r w:rsidRPr="00BE562A">
        <w:rPr>
          <w:rFonts w:hAnsi="標楷體" w:hint="eastAsia"/>
        </w:rPr>
        <w:t>均需要醫護合作的持續性照護，應依個案照顧需求給予醫師及護理合宜給付，不應侷限次數或專業。偏鄉醫師聘請不易，審核上建議放寬。</w:t>
      </w:r>
    </w:p>
    <w:p w:rsidR="007F35F2" w:rsidRPr="00BE562A" w:rsidRDefault="00DD181B" w:rsidP="008503CA">
      <w:pPr>
        <w:pStyle w:val="3"/>
        <w:rPr>
          <w:rFonts w:hAnsi="標楷體"/>
        </w:rPr>
      </w:pPr>
      <w:r w:rsidRPr="00BE562A">
        <w:rPr>
          <w:rFonts w:hAnsi="標楷體" w:hint="eastAsia"/>
        </w:rPr>
        <w:t>另本院</w:t>
      </w:r>
      <w:r w:rsidR="001A5B25" w:rsidRPr="00BE562A">
        <w:rPr>
          <w:rFonts w:hAnsi="標楷體" w:hint="eastAsia"/>
        </w:rPr>
        <w:t>於108年10月31日</w:t>
      </w:r>
      <w:r w:rsidRPr="00BE562A">
        <w:rPr>
          <w:rFonts w:hAnsi="標楷體" w:hint="eastAsia"/>
        </w:rPr>
        <w:t>履勘嘉義長庚</w:t>
      </w:r>
      <w:r w:rsidR="00894DED" w:rsidRPr="00BE562A">
        <w:rPr>
          <w:rFonts w:hAnsi="標楷體" w:hint="eastAsia"/>
        </w:rPr>
        <w:t>醫院</w:t>
      </w:r>
      <w:r w:rsidRPr="00BE562A">
        <w:rPr>
          <w:rFonts w:hAnsi="標楷體" w:hint="eastAsia"/>
        </w:rPr>
        <w:t>參與</w:t>
      </w:r>
      <w:r w:rsidR="009A3002" w:rsidRPr="00BE562A">
        <w:rPr>
          <w:rFonts w:hAnsi="標楷體" w:hint="eastAsia"/>
        </w:rPr>
        <w:t>居家醫療照護整合計畫</w:t>
      </w:r>
      <w:r w:rsidRPr="00BE562A">
        <w:rPr>
          <w:rFonts w:hAnsi="標楷體" w:hint="eastAsia"/>
        </w:rPr>
        <w:t>執行情形</w:t>
      </w:r>
      <w:r w:rsidR="00CA21E7" w:rsidRPr="00BE562A">
        <w:rPr>
          <w:rFonts w:hAnsi="標楷體" w:hint="eastAsia"/>
        </w:rPr>
        <w:t>，該院自106年3月1日開始執行計畫，照護團隊除主責之嘉義長庚醫院外，尚有1家居戶所及12家診所，共計14家醫療院所。人力方面，參與科別包括</w:t>
      </w:r>
      <w:r w:rsidR="00447786" w:rsidRPr="00BE562A">
        <w:rPr>
          <w:rFonts w:hAnsi="標楷體" w:hint="eastAsia"/>
        </w:rPr>
        <w:t>：</w:t>
      </w:r>
      <w:r w:rsidR="00CA21E7" w:rsidRPr="00BE562A">
        <w:rPr>
          <w:rFonts w:hAnsi="標楷體" w:hint="eastAsia"/>
        </w:rPr>
        <w:t>家醫科6人、血腫科2人、居戶所6人、藥師1人、營養師1人及社工師1人。</w:t>
      </w:r>
      <w:r w:rsidR="001A5B25" w:rsidRPr="00BE562A">
        <w:rPr>
          <w:rFonts w:hAnsi="標楷體" w:hint="eastAsia"/>
        </w:rPr>
        <w:t>而該院之</w:t>
      </w:r>
      <w:r w:rsidR="007F35F2" w:rsidRPr="00BE562A">
        <w:rPr>
          <w:rFonts w:hAnsi="標楷體" w:hint="eastAsia"/>
        </w:rPr>
        <w:t>建議事項</w:t>
      </w:r>
      <w:r w:rsidR="00BF77E4" w:rsidRPr="00BE562A">
        <w:rPr>
          <w:rFonts w:hAnsi="標楷體" w:hint="eastAsia"/>
        </w:rPr>
        <w:t>包括</w:t>
      </w:r>
      <w:r w:rsidR="007F35F2" w:rsidRPr="00BE562A">
        <w:rPr>
          <w:rFonts w:hAnsi="標楷體" w:hint="eastAsia"/>
        </w:rPr>
        <w:t>：</w:t>
      </w:r>
      <w:r w:rsidR="00BF77E4" w:rsidRPr="00BE562A">
        <w:rPr>
          <w:rFonts w:hAnsi="標楷體"/>
        </w:rPr>
        <w:t>(1)</w:t>
      </w:r>
      <w:r w:rsidR="007F35F2" w:rsidRPr="00BE562A">
        <w:rPr>
          <w:rFonts w:hAnsi="標楷體" w:hint="eastAsia"/>
        </w:rPr>
        <w:t>居家醫療給付可依路程適度加權，提升偏遠地區收</w:t>
      </w:r>
      <w:r w:rsidR="00BF77E4" w:rsidRPr="00BE562A">
        <w:rPr>
          <w:rFonts w:hAnsi="標楷體" w:hint="eastAsia"/>
        </w:rPr>
        <w:t>案</w:t>
      </w:r>
      <w:r w:rsidR="007F35F2" w:rsidRPr="00BE562A">
        <w:rPr>
          <w:rFonts w:hAnsi="標楷體" w:hint="eastAsia"/>
        </w:rPr>
        <w:t>照護意願</w:t>
      </w:r>
      <w:r w:rsidR="00BF77E4" w:rsidRPr="00BE562A">
        <w:rPr>
          <w:rFonts w:hAnsi="標楷體" w:hint="eastAsia"/>
        </w:rPr>
        <w:t>；(2)</w:t>
      </w:r>
      <w:r w:rsidR="007F35F2" w:rsidRPr="00BE562A">
        <w:rPr>
          <w:rFonts w:hAnsi="標楷體" w:hint="eastAsia"/>
        </w:rPr>
        <w:t>新增居家醫療(S1)其他專業人員的訪視費用</w:t>
      </w:r>
      <w:r w:rsidR="00BF77E4" w:rsidRPr="00BE562A">
        <w:rPr>
          <w:rFonts w:hAnsi="標楷體" w:hint="eastAsia"/>
        </w:rPr>
        <w:t>；(3)</w:t>
      </w:r>
      <w:r w:rsidR="007F35F2" w:rsidRPr="00BE562A">
        <w:rPr>
          <w:rFonts w:hAnsi="標楷體" w:hint="eastAsia"/>
        </w:rPr>
        <w:t>居家個案用藥整合於鄉村地區適度開放標準</w:t>
      </w:r>
      <w:r w:rsidR="00BF77E4" w:rsidRPr="00BE562A">
        <w:rPr>
          <w:rFonts w:hAnsi="標楷體" w:hint="eastAsia"/>
        </w:rPr>
        <w:t>；(4)</w:t>
      </w:r>
      <w:r w:rsidR="007F35F2" w:rsidRPr="00BE562A">
        <w:rPr>
          <w:rFonts w:hAnsi="標楷體" w:hint="eastAsia"/>
        </w:rPr>
        <w:t>開放多個居家團隊同時照護一個居家個案，互相支援，提升照護效率及品質</w:t>
      </w:r>
      <w:r w:rsidR="00BF77E4" w:rsidRPr="00BE562A">
        <w:rPr>
          <w:rFonts w:hAnsi="標楷體" w:hint="eastAsia"/>
        </w:rPr>
        <w:t>；(5)</w:t>
      </w:r>
      <w:r w:rsidR="007F35F2" w:rsidRPr="00BE562A">
        <w:rPr>
          <w:rFonts w:hAnsi="標楷體" w:hint="eastAsia"/>
        </w:rPr>
        <w:t>提供獎勵措施，引導民眾願意參與居家藥物整合及下轉基層醫療院所</w:t>
      </w:r>
      <w:r w:rsidR="00BF77E4" w:rsidRPr="00BE562A">
        <w:rPr>
          <w:rFonts w:hAnsi="標楷體" w:hint="eastAsia"/>
        </w:rPr>
        <w:t>。</w:t>
      </w:r>
    </w:p>
    <w:p w:rsidR="007F35F2" w:rsidRPr="00BE562A" w:rsidRDefault="00996B17" w:rsidP="008503CA">
      <w:pPr>
        <w:pStyle w:val="3"/>
        <w:rPr>
          <w:rFonts w:hAnsi="標楷體"/>
        </w:rPr>
      </w:pPr>
      <w:r w:rsidRPr="00BE562A">
        <w:rPr>
          <w:rFonts w:hAnsi="標楷體" w:hint="eastAsia"/>
        </w:rPr>
        <w:t>而</w:t>
      </w:r>
      <w:r w:rsidR="007F35F2" w:rsidRPr="00BE562A">
        <w:rPr>
          <w:rFonts w:hAnsi="標楷體" w:hint="eastAsia"/>
        </w:rPr>
        <w:t>健保</w:t>
      </w:r>
      <w:r w:rsidRPr="00BE562A">
        <w:rPr>
          <w:rFonts w:hAnsi="標楷體" w:hint="eastAsia"/>
        </w:rPr>
        <w:t>署於本院約詢時，</w:t>
      </w:r>
      <w:r w:rsidR="007F35F2" w:rsidRPr="00BE562A">
        <w:rPr>
          <w:rFonts w:hAnsi="標楷體" w:hint="eastAsia"/>
        </w:rPr>
        <w:t>就上開專科用藥家醫科不能開</w:t>
      </w:r>
      <w:r w:rsidRPr="00BE562A">
        <w:rPr>
          <w:rFonts w:hAnsi="標楷體" w:hint="eastAsia"/>
        </w:rPr>
        <w:t>立</w:t>
      </w:r>
      <w:r w:rsidR="007F35F2" w:rsidRPr="00BE562A">
        <w:rPr>
          <w:rFonts w:hAnsi="標楷體" w:hint="eastAsia"/>
        </w:rPr>
        <w:t>，病患面臨換藥，</w:t>
      </w:r>
      <w:r w:rsidRPr="00BE562A">
        <w:rPr>
          <w:rFonts w:hAnsi="標楷體" w:hint="eastAsia"/>
        </w:rPr>
        <w:t>致</w:t>
      </w:r>
      <w:r w:rsidR="007F35F2" w:rsidRPr="00BE562A">
        <w:rPr>
          <w:rFonts w:hAnsi="標楷體" w:hint="eastAsia"/>
        </w:rPr>
        <w:t>多數病患選擇退出</w:t>
      </w:r>
      <w:r w:rsidRPr="00BE562A">
        <w:rPr>
          <w:rFonts w:hAnsi="標楷體" w:hint="eastAsia"/>
        </w:rPr>
        <w:t>計畫</w:t>
      </w:r>
      <w:r w:rsidR="007F35F2" w:rsidRPr="00BE562A">
        <w:rPr>
          <w:rFonts w:hAnsi="標楷體" w:hint="eastAsia"/>
        </w:rPr>
        <w:t>，</w:t>
      </w:r>
      <w:r w:rsidR="007F35F2" w:rsidRPr="00BE562A">
        <w:rPr>
          <w:rFonts w:hAnsi="標楷體" w:hint="eastAsia"/>
        </w:rPr>
        <w:lastRenderedPageBreak/>
        <w:t>推動不易</w:t>
      </w:r>
      <w:r w:rsidR="006113B6" w:rsidRPr="00BE562A">
        <w:rPr>
          <w:rFonts w:hAnsi="標楷體" w:hint="eastAsia"/>
        </w:rPr>
        <w:t>情形</w:t>
      </w:r>
      <w:r w:rsidRPr="00BE562A">
        <w:rPr>
          <w:rFonts w:hAnsi="標楷體" w:hint="eastAsia"/>
        </w:rPr>
        <w:t>，表示</w:t>
      </w:r>
      <w:r w:rsidR="00BA183E" w:rsidRPr="00BE562A">
        <w:rPr>
          <w:rStyle w:val="aff"/>
          <w:rFonts w:hAnsi="標楷體"/>
        </w:rPr>
        <w:footnoteReference w:id="10"/>
      </w:r>
      <w:r w:rsidR="00447786" w:rsidRPr="00BE562A">
        <w:rPr>
          <w:rFonts w:hAnsi="標楷體" w:hint="eastAsia"/>
        </w:rPr>
        <w:t>：</w:t>
      </w:r>
      <w:r w:rsidR="0053235B" w:rsidRPr="00BE562A">
        <w:rPr>
          <w:rFonts w:hAnsi="標楷體" w:hint="eastAsia"/>
        </w:rPr>
        <w:t>該</w:t>
      </w:r>
      <w:r w:rsidR="007F35F2" w:rsidRPr="00BE562A">
        <w:rPr>
          <w:rFonts w:hAnsi="標楷體" w:hint="eastAsia"/>
        </w:rPr>
        <w:t>署前請臺灣家庭醫學醫學會、臺灣在宅醫療學會、臺灣整合照護學會，及臺灣醫院整合醫學醫學會</w:t>
      </w:r>
      <w:r w:rsidR="00330DB7" w:rsidRPr="00BE562A">
        <w:rPr>
          <w:rFonts w:hAnsi="標楷體" w:hint="eastAsia"/>
          <w:lang w:eastAsia="zh-HK"/>
        </w:rPr>
        <w:t>等</w:t>
      </w:r>
      <w:r w:rsidR="00330DB7" w:rsidRPr="00BE562A">
        <w:rPr>
          <w:rFonts w:hAnsi="標楷體" w:hint="eastAsia"/>
        </w:rPr>
        <w:t>醫</w:t>
      </w:r>
      <w:r w:rsidR="00330DB7" w:rsidRPr="00BE562A">
        <w:rPr>
          <w:rFonts w:hAnsi="標楷體"/>
        </w:rPr>
        <w:t>/</w:t>
      </w:r>
      <w:r w:rsidR="00330DB7" w:rsidRPr="00BE562A">
        <w:rPr>
          <w:rFonts w:hAnsi="標楷體" w:hint="eastAsia"/>
        </w:rPr>
        <w:t>學會</w:t>
      </w:r>
      <w:r w:rsidR="007F35F2" w:rsidRPr="00BE562A">
        <w:rPr>
          <w:rFonts w:hAnsi="標楷體" w:hint="eastAsia"/>
        </w:rPr>
        <w:t>，依實務經驗提供放寬藥品及相關意見後，於108年3月15日開會討論研議放寬居家醫療訪視醫師開立具專科別限制之藥品範圍，但未獲共識，故用藥整合範圍排除下列藥品：</w:t>
      </w:r>
      <w:r w:rsidR="0053235B" w:rsidRPr="00BE562A">
        <w:rPr>
          <w:rFonts w:hAnsi="標楷體"/>
        </w:rPr>
        <w:t>(1)</w:t>
      </w:r>
      <w:r w:rsidR="007F35F2" w:rsidRPr="00BE562A">
        <w:rPr>
          <w:rFonts w:hAnsi="標楷體"/>
          <w:szCs w:val="32"/>
        </w:rPr>
        <w:t>Permethrin</w:t>
      </w:r>
      <w:r w:rsidR="007F35F2" w:rsidRPr="00BE562A">
        <w:rPr>
          <w:rFonts w:hAnsi="標楷體" w:hint="eastAsia"/>
          <w:szCs w:val="32"/>
        </w:rPr>
        <w:t>外用製劑及</w:t>
      </w:r>
      <w:r w:rsidR="007F35F2" w:rsidRPr="00BE562A">
        <w:rPr>
          <w:rFonts w:hAnsi="標楷體"/>
          <w:szCs w:val="32"/>
        </w:rPr>
        <w:t>Ivermectin</w:t>
      </w:r>
      <w:r w:rsidR="007F35F2" w:rsidRPr="00BE562A">
        <w:rPr>
          <w:rFonts w:hAnsi="標楷體" w:hint="eastAsia"/>
          <w:szCs w:val="32"/>
        </w:rPr>
        <w:t>兩項治療疥瘡用藥</w:t>
      </w:r>
      <w:r w:rsidR="000D5372" w:rsidRPr="00BE562A">
        <w:rPr>
          <w:rFonts w:hAnsi="標楷體" w:hint="eastAsia"/>
          <w:szCs w:val="32"/>
        </w:rPr>
        <w:t>；</w:t>
      </w:r>
      <w:r w:rsidR="0053235B" w:rsidRPr="00BE562A">
        <w:rPr>
          <w:rFonts w:hAnsi="標楷體"/>
          <w:szCs w:val="32"/>
        </w:rPr>
        <w:t>(2)</w:t>
      </w:r>
      <w:r w:rsidR="007F35F2" w:rsidRPr="00BE562A">
        <w:rPr>
          <w:rFonts w:hAnsi="標楷體" w:hint="eastAsia"/>
          <w:szCs w:val="32"/>
        </w:rPr>
        <w:t>思覺失調症後線用藥</w:t>
      </w:r>
      <w:r w:rsidR="007F35F2" w:rsidRPr="00BE562A">
        <w:rPr>
          <w:rFonts w:hAnsi="標楷體"/>
          <w:szCs w:val="32"/>
        </w:rPr>
        <w:t>Clozapine</w:t>
      </w:r>
      <w:r w:rsidR="000D5372" w:rsidRPr="00BE562A">
        <w:rPr>
          <w:rFonts w:hAnsi="標楷體" w:hint="eastAsia"/>
          <w:szCs w:val="32"/>
        </w:rPr>
        <w:t>；</w:t>
      </w:r>
      <w:r w:rsidR="0053235B" w:rsidRPr="00BE562A">
        <w:rPr>
          <w:rFonts w:hAnsi="標楷體"/>
          <w:szCs w:val="32"/>
        </w:rPr>
        <w:t>(3)</w:t>
      </w:r>
      <w:r w:rsidR="007F35F2" w:rsidRPr="00BE562A">
        <w:rPr>
          <w:rFonts w:hAnsi="標楷體" w:hint="eastAsia"/>
          <w:szCs w:val="32"/>
        </w:rPr>
        <w:t>免疫製劑</w:t>
      </w:r>
      <w:r w:rsidR="007F35F2" w:rsidRPr="00BE562A">
        <w:rPr>
          <w:rFonts w:hAnsi="標楷體"/>
          <w:szCs w:val="32"/>
        </w:rPr>
        <w:t>Etanercept</w:t>
      </w:r>
      <w:r w:rsidR="007F35F2" w:rsidRPr="00BE562A">
        <w:rPr>
          <w:rFonts w:hAnsi="標楷體" w:hint="eastAsia"/>
          <w:szCs w:val="32"/>
        </w:rPr>
        <w:t>、</w:t>
      </w:r>
      <w:r w:rsidR="007F35F2" w:rsidRPr="00BE562A">
        <w:rPr>
          <w:rFonts w:hAnsi="標楷體"/>
          <w:szCs w:val="32"/>
        </w:rPr>
        <w:t>Adalimumab</w:t>
      </w:r>
      <w:r w:rsidR="007F35F2" w:rsidRPr="00BE562A">
        <w:rPr>
          <w:rFonts w:hAnsi="標楷體" w:hint="eastAsia"/>
          <w:szCs w:val="32"/>
        </w:rPr>
        <w:t>等</w:t>
      </w:r>
      <w:r w:rsidR="000D5372" w:rsidRPr="00BE562A">
        <w:rPr>
          <w:rFonts w:hAnsi="標楷體" w:hint="eastAsia"/>
          <w:szCs w:val="32"/>
        </w:rPr>
        <w:t>；</w:t>
      </w:r>
      <w:r w:rsidR="0053235B" w:rsidRPr="00BE562A">
        <w:rPr>
          <w:rFonts w:hAnsi="標楷體"/>
          <w:szCs w:val="32"/>
        </w:rPr>
        <w:t>(4)</w:t>
      </w:r>
      <w:r w:rsidR="007F35F2" w:rsidRPr="00BE562A">
        <w:rPr>
          <w:rFonts w:hAnsi="標楷體" w:hint="eastAsia"/>
          <w:szCs w:val="32"/>
        </w:rPr>
        <w:t>個案收案前非由收案院所申請事前審查同意之用藥，應於該藥品事前審查同意效期失效過後，由收案院所申請後納入整合</w:t>
      </w:r>
      <w:r w:rsidR="000D5372" w:rsidRPr="00BE562A">
        <w:rPr>
          <w:rFonts w:hAnsi="標楷體" w:hint="eastAsia"/>
          <w:szCs w:val="32"/>
        </w:rPr>
        <w:t>；</w:t>
      </w:r>
      <w:r w:rsidR="0053235B" w:rsidRPr="00BE562A">
        <w:rPr>
          <w:rFonts w:hAnsi="標楷體"/>
          <w:szCs w:val="32"/>
        </w:rPr>
        <w:t>(5)</w:t>
      </w:r>
      <w:r w:rsidR="007F35F2" w:rsidRPr="00BE562A">
        <w:rPr>
          <w:rFonts w:hAnsi="標楷體" w:hint="eastAsia"/>
          <w:szCs w:val="32"/>
        </w:rPr>
        <w:t>個案之居家精神治療案件開立之藥物</w:t>
      </w:r>
      <w:r w:rsidR="000D5372" w:rsidRPr="00BE562A">
        <w:rPr>
          <w:rFonts w:hAnsi="標楷體" w:hint="eastAsia"/>
          <w:szCs w:val="32"/>
        </w:rPr>
        <w:t>；</w:t>
      </w:r>
      <w:r w:rsidR="0053235B" w:rsidRPr="00BE562A">
        <w:rPr>
          <w:rFonts w:hAnsi="標楷體"/>
          <w:szCs w:val="32"/>
        </w:rPr>
        <w:t>(6)</w:t>
      </w:r>
      <w:r w:rsidR="007F35F2" w:rsidRPr="00BE562A">
        <w:rPr>
          <w:rFonts w:hAnsi="標楷體" w:hint="eastAsia"/>
          <w:szCs w:val="32"/>
        </w:rPr>
        <w:t>失智症藥物及纖維肌痛</w:t>
      </w:r>
      <w:r w:rsidR="007F35F2" w:rsidRPr="00BE562A">
        <w:rPr>
          <w:rFonts w:hAnsi="標楷體"/>
          <w:szCs w:val="32"/>
        </w:rPr>
        <w:t>(fibromyalgia)</w:t>
      </w:r>
      <w:r w:rsidR="007F35F2" w:rsidRPr="00BE562A">
        <w:rPr>
          <w:rFonts w:hAnsi="標楷體" w:hint="eastAsia"/>
          <w:szCs w:val="32"/>
        </w:rPr>
        <w:t>之</w:t>
      </w:r>
      <w:r w:rsidR="007F35F2" w:rsidRPr="00BE562A">
        <w:rPr>
          <w:rFonts w:hAnsi="標楷體"/>
          <w:szCs w:val="32"/>
        </w:rPr>
        <w:t>Duloxetine</w:t>
      </w:r>
      <w:r w:rsidR="007F35F2" w:rsidRPr="00BE562A">
        <w:rPr>
          <w:rFonts w:hAnsi="標楷體" w:hint="eastAsia"/>
          <w:szCs w:val="32"/>
        </w:rPr>
        <w:t>、</w:t>
      </w:r>
      <w:r w:rsidR="007F35F2" w:rsidRPr="00BE562A">
        <w:rPr>
          <w:rFonts w:hAnsi="標楷體"/>
          <w:szCs w:val="32"/>
        </w:rPr>
        <w:t>Pregabalin</w:t>
      </w:r>
      <w:r w:rsidR="007F35F2" w:rsidRPr="00BE562A">
        <w:rPr>
          <w:rFonts w:hAnsi="標楷體" w:hint="eastAsia"/>
          <w:szCs w:val="32"/>
        </w:rPr>
        <w:t>用藥</w:t>
      </w:r>
      <w:r w:rsidR="000D5372" w:rsidRPr="00BE562A">
        <w:rPr>
          <w:rFonts w:hAnsi="標楷體" w:hint="eastAsia"/>
          <w:szCs w:val="32"/>
        </w:rPr>
        <w:t>，</w:t>
      </w:r>
      <w:r w:rsidR="006363E5" w:rsidRPr="00BE562A">
        <w:rPr>
          <w:rFonts w:hAnsi="標楷體" w:hint="eastAsia"/>
          <w:szCs w:val="32"/>
        </w:rPr>
        <w:t>並說明</w:t>
      </w:r>
      <w:r w:rsidR="00447786" w:rsidRPr="00BE562A">
        <w:rPr>
          <w:rFonts w:hAnsi="標楷體" w:hint="eastAsia"/>
          <w:szCs w:val="32"/>
        </w:rPr>
        <w:t>：</w:t>
      </w:r>
      <w:r w:rsidR="006363E5" w:rsidRPr="00BE562A">
        <w:rPr>
          <w:rFonts w:hAnsi="標楷體" w:hint="eastAsia"/>
          <w:szCs w:val="32"/>
        </w:rPr>
        <w:t>「</w:t>
      </w:r>
      <w:r w:rsidR="007F35F2" w:rsidRPr="00BE562A">
        <w:rPr>
          <w:rFonts w:hAnsi="標楷體" w:hint="eastAsia"/>
        </w:rPr>
        <w:t>用藥整合執行係以照護團隊計算，故由照護團隊內不同醫事服務機構之專科醫師合力提供病人居家醫療服務，</w:t>
      </w:r>
      <w:r w:rsidR="006363E5" w:rsidRPr="00BE562A">
        <w:rPr>
          <w:rFonts w:hAnsi="標楷體"/>
        </w:rPr>
        <w:t>……</w:t>
      </w:r>
      <w:r w:rsidR="006363E5" w:rsidRPr="00BE562A">
        <w:rPr>
          <w:rFonts w:hAnsi="標楷體" w:hint="eastAsia"/>
        </w:rPr>
        <w:t>」及「</w:t>
      </w:r>
      <w:r w:rsidR="007F35F2" w:rsidRPr="00BE562A">
        <w:rPr>
          <w:rFonts w:hAnsi="標楷體" w:hint="eastAsia"/>
        </w:rPr>
        <w:t>另照護對象如欲維持原就醫模式，無法配合居家西醫主治醫師提供整合照護，</w:t>
      </w:r>
      <w:r w:rsidR="006363E5" w:rsidRPr="00BE562A">
        <w:rPr>
          <w:rFonts w:hAnsi="標楷體"/>
        </w:rPr>
        <w:t>……</w:t>
      </w:r>
      <w:r w:rsidR="007F35F2" w:rsidRPr="00BE562A">
        <w:rPr>
          <w:rFonts w:hAnsi="標楷體" w:hint="eastAsia"/>
        </w:rPr>
        <w:t>因是類病人可依原就醫模式至健保特約院所就醫，不影響其就醫權益，應不重複於本計畫收案，已收案者應予結案</w:t>
      </w:r>
      <w:r w:rsidR="006363E5" w:rsidRPr="00BE562A">
        <w:rPr>
          <w:rFonts w:hAnsi="標楷體" w:hint="eastAsia"/>
        </w:rPr>
        <w:t>」</w:t>
      </w:r>
      <w:r w:rsidR="005D0ED0" w:rsidRPr="00BE562A">
        <w:rPr>
          <w:rFonts w:hAnsi="標楷體" w:hint="eastAsia"/>
        </w:rPr>
        <w:t>云云。</w:t>
      </w:r>
    </w:p>
    <w:p w:rsidR="007F35F2" w:rsidRPr="00BE562A" w:rsidRDefault="007F35F2" w:rsidP="007F35F2">
      <w:pPr>
        <w:pStyle w:val="3"/>
        <w:rPr>
          <w:rFonts w:hAnsi="標楷體"/>
        </w:rPr>
      </w:pPr>
      <w:r w:rsidRPr="00BE562A">
        <w:rPr>
          <w:rFonts w:hAnsi="標楷體" w:hint="eastAsia"/>
        </w:rPr>
        <w:t>然查</w:t>
      </w:r>
      <w:r w:rsidR="001937AC" w:rsidRPr="00BE562A">
        <w:rPr>
          <w:rFonts w:hAnsi="標楷體" w:hint="eastAsia"/>
        </w:rPr>
        <w:t>居家醫療照護整合計畫</w:t>
      </w:r>
      <w:r w:rsidRPr="00BE562A">
        <w:rPr>
          <w:rFonts w:hAnsi="標楷體" w:hint="eastAsia"/>
        </w:rPr>
        <w:t>之目的</w:t>
      </w:r>
      <w:r w:rsidR="00CF2DBF" w:rsidRPr="00BE562A">
        <w:rPr>
          <w:rFonts w:hAnsi="標楷體" w:hint="eastAsia"/>
        </w:rPr>
        <w:t>係提升因失能或疾病特性致外出就醫不便患者之醫療照護可近性、提供住院替代服務，降低住院日數或減少不必要之社會性住院及改善現行不同類型居家醫療照護片段式的服務模式，提供整合性之照護。</w:t>
      </w:r>
      <w:r w:rsidR="008672EB" w:rsidRPr="00BE562A">
        <w:rPr>
          <w:rFonts w:hAnsi="標楷體" w:hint="eastAsia"/>
        </w:rPr>
        <w:t>雖健保署已針對藥物整合部分邀請相關醫</w:t>
      </w:r>
      <w:r w:rsidR="000D5372" w:rsidRPr="00BE562A">
        <w:rPr>
          <w:rFonts w:hAnsi="標楷體"/>
        </w:rPr>
        <w:t>/</w:t>
      </w:r>
      <w:r w:rsidR="008672EB" w:rsidRPr="00BE562A">
        <w:rPr>
          <w:rFonts w:hAnsi="標楷體" w:hint="eastAsia"/>
        </w:rPr>
        <w:t>學會進行</w:t>
      </w:r>
      <w:r w:rsidRPr="00BE562A">
        <w:rPr>
          <w:rFonts w:hAnsi="標楷體" w:hint="eastAsia"/>
        </w:rPr>
        <w:t>研議</w:t>
      </w:r>
      <w:r w:rsidR="008672EB" w:rsidRPr="00BE562A">
        <w:rPr>
          <w:rFonts w:hAnsi="標楷體" w:hint="eastAsia"/>
        </w:rPr>
        <w:t>，以</w:t>
      </w:r>
      <w:r w:rsidRPr="00BE562A">
        <w:rPr>
          <w:rFonts w:hAnsi="標楷體" w:hint="eastAsia"/>
        </w:rPr>
        <w:t>放寬居家醫療訪視醫師開立具專科別限制之藥品</w:t>
      </w:r>
      <w:r w:rsidRPr="00BE562A">
        <w:rPr>
          <w:rFonts w:hAnsi="標楷體" w:hint="eastAsia"/>
        </w:rPr>
        <w:lastRenderedPageBreak/>
        <w:t>範圍，但未獲共識</w:t>
      </w:r>
      <w:r w:rsidR="00F42367" w:rsidRPr="00BE562A">
        <w:rPr>
          <w:rFonts w:hAnsi="標楷體" w:hint="eastAsia"/>
        </w:rPr>
        <w:t>，然依本院調查各部立醫院及</w:t>
      </w:r>
      <w:r w:rsidR="00264C65" w:rsidRPr="00BE562A">
        <w:rPr>
          <w:rFonts w:hAnsi="標楷體" w:hint="eastAsia"/>
        </w:rPr>
        <w:t>嘉義</w:t>
      </w:r>
      <w:r w:rsidR="005917E2" w:rsidRPr="00BE562A">
        <w:rPr>
          <w:rFonts w:hAnsi="標楷體" w:hint="eastAsia"/>
        </w:rPr>
        <w:t>長</w:t>
      </w:r>
      <w:r w:rsidR="00264C65" w:rsidRPr="00BE562A">
        <w:rPr>
          <w:rFonts w:hAnsi="標楷體" w:hint="eastAsia"/>
        </w:rPr>
        <w:t>庚</w:t>
      </w:r>
      <w:r w:rsidR="005917E2" w:rsidRPr="00BE562A">
        <w:rPr>
          <w:rFonts w:hAnsi="標楷體" w:hint="eastAsia"/>
        </w:rPr>
        <w:t>醫院</w:t>
      </w:r>
      <w:r w:rsidR="005D0ED0" w:rsidRPr="00BE562A">
        <w:rPr>
          <w:rFonts w:hAnsi="標楷體" w:hint="eastAsia"/>
        </w:rPr>
        <w:t>執行之困境，</w:t>
      </w:r>
      <w:r w:rsidR="00F42367" w:rsidRPr="00BE562A">
        <w:rPr>
          <w:rFonts w:hAnsi="標楷體" w:hint="eastAsia"/>
        </w:rPr>
        <w:t>皆提出居家藥物整合係民眾參與計畫意願之主要因素之一</w:t>
      </w:r>
      <w:r w:rsidR="005D0ED0" w:rsidRPr="00BE562A">
        <w:rPr>
          <w:rFonts w:hAnsi="標楷體" w:hint="eastAsia"/>
        </w:rPr>
        <w:t>，</w:t>
      </w:r>
      <w:r w:rsidR="00517065" w:rsidRPr="00BE562A">
        <w:rPr>
          <w:rFonts w:hAnsi="標楷體" w:hint="eastAsia"/>
        </w:rPr>
        <w:t>是以，</w:t>
      </w:r>
      <w:r w:rsidR="005D0ED0" w:rsidRPr="00BE562A">
        <w:rPr>
          <w:rFonts w:hAnsi="標楷體" w:hint="eastAsia"/>
        </w:rPr>
        <w:t>健保署應予重視並</w:t>
      </w:r>
      <w:r w:rsidR="000D7C8E" w:rsidRPr="00BE562A">
        <w:rPr>
          <w:rFonts w:hAnsi="標楷體" w:hint="eastAsia"/>
        </w:rPr>
        <w:t>持續</w:t>
      </w:r>
      <w:r w:rsidR="005D0ED0" w:rsidRPr="00BE562A">
        <w:rPr>
          <w:rFonts w:hAnsi="標楷體" w:hint="eastAsia"/>
        </w:rPr>
        <w:t>尋求解決</w:t>
      </w:r>
      <w:r w:rsidR="008672EB" w:rsidRPr="00BE562A">
        <w:rPr>
          <w:rFonts w:hAnsi="標楷體" w:hint="eastAsia"/>
        </w:rPr>
        <w:t>。</w:t>
      </w:r>
    </w:p>
    <w:p w:rsidR="00D16E30" w:rsidRPr="00BE562A" w:rsidRDefault="000D6AFA" w:rsidP="00FD2C92">
      <w:pPr>
        <w:pStyle w:val="3"/>
        <w:rPr>
          <w:rFonts w:hAnsi="標楷體"/>
        </w:rPr>
      </w:pPr>
      <w:r w:rsidRPr="00BE562A">
        <w:rPr>
          <w:rFonts w:hAnsi="標楷體" w:hint="eastAsia"/>
        </w:rPr>
        <w:t>另查</w:t>
      </w:r>
      <w:r w:rsidR="00447786" w:rsidRPr="00BE562A">
        <w:rPr>
          <w:rFonts w:hAnsi="標楷體" w:hint="eastAsia"/>
        </w:rPr>
        <w:t>：</w:t>
      </w:r>
    </w:p>
    <w:p w:rsidR="00FD2C92" w:rsidRDefault="000D6AFA" w:rsidP="00D16E30">
      <w:pPr>
        <w:pStyle w:val="4"/>
        <w:rPr>
          <w:rFonts w:hAnsi="標楷體"/>
        </w:rPr>
      </w:pPr>
      <w:r w:rsidRPr="00BE562A">
        <w:rPr>
          <w:rFonts w:hAnsi="標楷體" w:hint="eastAsia"/>
        </w:rPr>
        <w:t>居家醫療照護整合計畫包含「居家醫療」、「重度居家醫療」及「安寧療護」三照護階段。</w:t>
      </w:r>
      <w:r w:rsidR="00FD2C92" w:rsidRPr="00BE562A">
        <w:rPr>
          <w:rFonts w:hAnsi="標楷體" w:hint="eastAsia"/>
        </w:rPr>
        <w:t>依該計畫各照護階段之給付項目及支付標準原則如下：</w:t>
      </w:r>
    </w:p>
    <w:tbl>
      <w:tblPr>
        <w:tblStyle w:val="af6"/>
        <w:tblW w:w="0" w:type="auto"/>
        <w:tblInd w:w="1271" w:type="dxa"/>
        <w:tblCellMar>
          <w:left w:w="28" w:type="dxa"/>
          <w:right w:w="28" w:type="dxa"/>
        </w:tblCellMar>
        <w:tblLook w:val="04A0" w:firstRow="1" w:lastRow="0" w:firstColumn="1" w:lastColumn="0" w:noHBand="0" w:noVBand="1"/>
      </w:tblPr>
      <w:tblGrid>
        <w:gridCol w:w="1701"/>
        <w:gridCol w:w="2268"/>
        <w:gridCol w:w="3594"/>
      </w:tblGrid>
      <w:tr w:rsidR="00BE562A" w:rsidRPr="00BE562A" w:rsidTr="00CC2C3A">
        <w:trPr>
          <w:trHeight w:val="283"/>
          <w:tblHeader/>
        </w:trPr>
        <w:tc>
          <w:tcPr>
            <w:tcW w:w="1701" w:type="dxa"/>
            <w:shd w:val="clear" w:color="auto" w:fill="EEECE1" w:themeFill="background2"/>
          </w:tcPr>
          <w:p w:rsidR="00FD2C92" w:rsidRPr="00BE562A" w:rsidRDefault="00FD2C92" w:rsidP="00CC2C3A">
            <w:pPr>
              <w:pStyle w:val="14"/>
              <w:spacing w:line="280" w:lineRule="exact"/>
              <w:rPr>
                <w:rFonts w:hAnsi="標楷體"/>
              </w:rPr>
            </w:pPr>
            <w:r w:rsidRPr="00BE562A">
              <w:rPr>
                <w:rFonts w:hAnsi="標楷體" w:hint="eastAsia"/>
              </w:rPr>
              <w:t>照護階段</w:t>
            </w:r>
          </w:p>
        </w:tc>
        <w:tc>
          <w:tcPr>
            <w:tcW w:w="2268" w:type="dxa"/>
            <w:shd w:val="clear" w:color="auto" w:fill="EEECE1" w:themeFill="background2"/>
          </w:tcPr>
          <w:p w:rsidR="00FD2C92" w:rsidRPr="00BE562A" w:rsidRDefault="00FD2C92" w:rsidP="00CC2C3A">
            <w:pPr>
              <w:pStyle w:val="14"/>
              <w:spacing w:line="280" w:lineRule="exact"/>
              <w:rPr>
                <w:rFonts w:hAnsi="標楷體"/>
              </w:rPr>
            </w:pPr>
            <w:r w:rsidRPr="00BE562A">
              <w:rPr>
                <w:rFonts w:hAnsi="標楷體" w:hint="eastAsia"/>
              </w:rPr>
              <w:t>給付項目</w:t>
            </w:r>
          </w:p>
        </w:tc>
        <w:tc>
          <w:tcPr>
            <w:tcW w:w="3594" w:type="dxa"/>
            <w:shd w:val="clear" w:color="auto" w:fill="EEECE1" w:themeFill="background2"/>
          </w:tcPr>
          <w:p w:rsidR="00FD2C92" w:rsidRPr="00BE562A" w:rsidRDefault="00FD2C92" w:rsidP="00CC2C3A">
            <w:pPr>
              <w:pStyle w:val="14"/>
              <w:spacing w:line="280" w:lineRule="exact"/>
              <w:rPr>
                <w:rFonts w:hAnsi="標楷體"/>
              </w:rPr>
            </w:pPr>
            <w:r w:rsidRPr="00BE562A">
              <w:rPr>
                <w:rFonts w:hAnsi="標楷體" w:hint="eastAsia"/>
              </w:rPr>
              <w:t>支付標準</w:t>
            </w:r>
          </w:p>
        </w:tc>
      </w:tr>
      <w:tr w:rsidR="00BE562A" w:rsidRPr="00BE562A" w:rsidTr="00CC2C3A">
        <w:trPr>
          <w:trHeight w:val="283"/>
        </w:trPr>
        <w:tc>
          <w:tcPr>
            <w:tcW w:w="1701" w:type="dxa"/>
            <w:shd w:val="clear" w:color="auto" w:fill="EEECE1" w:themeFill="background2"/>
          </w:tcPr>
          <w:p w:rsidR="00FD2C92" w:rsidRPr="00BE562A" w:rsidRDefault="00FD2C92" w:rsidP="00CC2C3A">
            <w:pPr>
              <w:pStyle w:val="14"/>
              <w:spacing w:line="280" w:lineRule="exact"/>
              <w:rPr>
                <w:rFonts w:hAnsi="標楷體"/>
              </w:rPr>
            </w:pPr>
            <w:r w:rsidRPr="00BE562A">
              <w:rPr>
                <w:rFonts w:hAnsi="標楷體" w:hint="eastAsia"/>
              </w:rPr>
              <w:t>居家醫療</w:t>
            </w:r>
          </w:p>
          <w:p w:rsidR="000D5372" w:rsidRPr="00BE562A" w:rsidRDefault="00447786" w:rsidP="00CC2C3A">
            <w:pPr>
              <w:pStyle w:val="14"/>
              <w:spacing w:line="280" w:lineRule="exact"/>
              <w:rPr>
                <w:rFonts w:hAnsi="標楷體"/>
              </w:rPr>
            </w:pPr>
            <w:r w:rsidRPr="00BE562A">
              <w:rPr>
                <w:rFonts w:hAnsi="標楷體"/>
              </w:rPr>
              <w:t>(</w:t>
            </w:r>
            <w:r w:rsidR="000D5372" w:rsidRPr="00BE562A">
              <w:rPr>
                <w:rFonts w:hAnsi="標楷體"/>
              </w:rPr>
              <w:t>S1</w:t>
            </w:r>
            <w:r w:rsidRPr="00BE562A">
              <w:rPr>
                <w:rFonts w:hAnsi="標楷體"/>
              </w:rPr>
              <w:t>)</w:t>
            </w:r>
          </w:p>
        </w:tc>
        <w:tc>
          <w:tcPr>
            <w:tcW w:w="2268" w:type="dxa"/>
          </w:tcPr>
          <w:p w:rsidR="00FD2C92" w:rsidRPr="00BE562A" w:rsidRDefault="00FD2C92" w:rsidP="00CC2C3A">
            <w:pPr>
              <w:pStyle w:val="14"/>
              <w:spacing w:line="280" w:lineRule="exact"/>
              <w:rPr>
                <w:rFonts w:hAnsi="標楷體"/>
              </w:rPr>
            </w:pPr>
            <w:r w:rsidRPr="00BE562A">
              <w:rPr>
                <w:rFonts w:hAnsi="標楷體" w:hint="eastAsia"/>
              </w:rPr>
              <w:t>醫師訪視</w:t>
            </w:r>
          </w:p>
        </w:tc>
        <w:tc>
          <w:tcPr>
            <w:tcW w:w="3594" w:type="dxa"/>
          </w:tcPr>
          <w:p w:rsidR="00FD2C92" w:rsidRPr="00BE562A" w:rsidRDefault="00FD2C92" w:rsidP="00CC2C3A">
            <w:pPr>
              <w:pStyle w:val="14"/>
              <w:spacing w:line="280" w:lineRule="exact"/>
              <w:rPr>
                <w:rFonts w:hAnsi="標楷體"/>
              </w:rPr>
            </w:pPr>
            <w:r w:rsidRPr="00BE562A">
              <w:rPr>
                <w:rFonts w:hAnsi="標楷體" w:hint="eastAsia"/>
              </w:rPr>
              <w:t>訪視費論次計酬</w:t>
            </w:r>
          </w:p>
          <w:p w:rsidR="00FD2C92" w:rsidRPr="00BE562A" w:rsidRDefault="00FD2C92" w:rsidP="00CC2C3A">
            <w:pPr>
              <w:pStyle w:val="14"/>
              <w:spacing w:line="280" w:lineRule="exact"/>
              <w:rPr>
                <w:rFonts w:hAnsi="標楷體"/>
              </w:rPr>
            </w:pPr>
            <w:r w:rsidRPr="00BE562A">
              <w:rPr>
                <w:rFonts w:hAnsi="標楷體" w:hint="eastAsia"/>
              </w:rPr>
              <w:t>藥費、藥事服務費核實</w:t>
            </w:r>
          </w:p>
          <w:p w:rsidR="00FD2C92" w:rsidRPr="00BE562A" w:rsidRDefault="00FD2C92" w:rsidP="00CC2C3A">
            <w:pPr>
              <w:pStyle w:val="14"/>
              <w:spacing w:line="280" w:lineRule="exact"/>
              <w:rPr>
                <w:rFonts w:hAnsi="標楷體"/>
              </w:rPr>
            </w:pPr>
            <w:r w:rsidRPr="00BE562A">
              <w:rPr>
                <w:rFonts w:hAnsi="標楷體" w:hint="eastAsia"/>
              </w:rPr>
              <w:t>檢驗</w:t>
            </w:r>
            <w:r w:rsidR="00447786" w:rsidRPr="00BE562A">
              <w:rPr>
                <w:rFonts w:hAnsi="標楷體"/>
              </w:rPr>
              <w:t>(</w:t>
            </w:r>
            <w:r w:rsidRPr="00BE562A">
              <w:rPr>
                <w:rFonts w:hAnsi="標楷體" w:hint="eastAsia"/>
              </w:rPr>
              <w:t>查</w:t>
            </w:r>
            <w:r w:rsidR="00447786" w:rsidRPr="00BE562A">
              <w:rPr>
                <w:rFonts w:hAnsi="標楷體"/>
              </w:rPr>
              <w:t>)</w:t>
            </w:r>
            <w:r w:rsidRPr="00BE562A">
              <w:rPr>
                <w:rFonts w:hAnsi="標楷體" w:hint="eastAsia"/>
              </w:rPr>
              <w:t>費核實</w:t>
            </w:r>
          </w:p>
        </w:tc>
      </w:tr>
      <w:tr w:rsidR="00BE562A" w:rsidRPr="00BE562A" w:rsidTr="00CC2C3A">
        <w:trPr>
          <w:trHeight w:val="283"/>
        </w:trPr>
        <w:tc>
          <w:tcPr>
            <w:tcW w:w="1701" w:type="dxa"/>
            <w:shd w:val="clear" w:color="auto" w:fill="EEECE1" w:themeFill="background2"/>
          </w:tcPr>
          <w:p w:rsidR="000D5372" w:rsidRPr="00BE562A" w:rsidRDefault="00FD2C92" w:rsidP="00CC2C3A">
            <w:pPr>
              <w:pStyle w:val="14"/>
              <w:spacing w:line="280" w:lineRule="exact"/>
              <w:rPr>
                <w:rFonts w:hAnsi="標楷體"/>
              </w:rPr>
            </w:pPr>
            <w:r w:rsidRPr="00BE562A">
              <w:rPr>
                <w:rFonts w:hAnsi="標楷體" w:hint="eastAsia"/>
              </w:rPr>
              <w:t>重度居家醫療</w:t>
            </w:r>
          </w:p>
          <w:p w:rsidR="00FD2C92" w:rsidRPr="00BE562A" w:rsidRDefault="00447786" w:rsidP="00CC2C3A">
            <w:pPr>
              <w:pStyle w:val="14"/>
              <w:spacing w:line="280" w:lineRule="exact"/>
              <w:rPr>
                <w:rFonts w:hAnsi="標楷體"/>
              </w:rPr>
            </w:pPr>
            <w:r w:rsidRPr="00BE562A">
              <w:rPr>
                <w:rFonts w:hAnsi="標楷體"/>
              </w:rPr>
              <w:t>(</w:t>
            </w:r>
            <w:r w:rsidR="000D5372" w:rsidRPr="00BE562A">
              <w:rPr>
                <w:rFonts w:hAnsi="標楷體"/>
              </w:rPr>
              <w:t>S2</w:t>
            </w:r>
            <w:r w:rsidRPr="00BE562A">
              <w:rPr>
                <w:rFonts w:hAnsi="標楷體"/>
              </w:rPr>
              <w:t>)</w:t>
            </w:r>
          </w:p>
        </w:tc>
        <w:tc>
          <w:tcPr>
            <w:tcW w:w="2268" w:type="dxa"/>
          </w:tcPr>
          <w:p w:rsidR="00FD2C92" w:rsidRPr="00BE562A" w:rsidRDefault="00FD2C92" w:rsidP="00CC2C3A">
            <w:pPr>
              <w:pStyle w:val="14"/>
              <w:spacing w:line="280" w:lineRule="exact"/>
              <w:rPr>
                <w:rFonts w:hAnsi="標楷體"/>
              </w:rPr>
            </w:pPr>
            <w:r w:rsidRPr="00BE562A">
              <w:rPr>
                <w:rFonts w:hAnsi="標楷體" w:hint="eastAsia"/>
              </w:rPr>
              <w:t>醫師訪視</w:t>
            </w:r>
          </w:p>
          <w:p w:rsidR="00FD2C92" w:rsidRPr="00BE562A" w:rsidRDefault="00FD2C92" w:rsidP="00CC2C3A">
            <w:pPr>
              <w:pStyle w:val="14"/>
              <w:spacing w:line="280" w:lineRule="exact"/>
              <w:rPr>
                <w:rFonts w:hAnsi="標楷體"/>
              </w:rPr>
            </w:pPr>
            <w:r w:rsidRPr="00BE562A">
              <w:rPr>
                <w:rFonts w:hAnsi="標楷體" w:hint="eastAsia"/>
              </w:rPr>
              <w:t>護理人員訪視</w:t>
            </w:r>
          </w:p>
          <w:p w:rsidR="00FD2C92" w:rsidRPr="00BE562A" w:rsidRDefault="00FD2C92" w:rsidP="00CC2C3A">
            <w:pPr>
              <w:pStyle w:val="14"/>
              <w:spacing w:line="280" w:lineRule="exact"/>
              <w:rPr>
                <w:rFonts w:hAnsi="標楷體"/>
              </w:rPr>
            </w:pPr>
            <w:r w:rsidRPr="00BE562A">
              <w:rPr>
                <w:rFonts w:hAnsi="標楷體" w:hint="eastAsia"/>
              </w:rPr>
              <w:t>呼吸治療人員訪視</w:t>
            </w:r>
          </w:p>
          <w:p w:rsidR="00FD2C92" w:rsidRPr="00BE562A" w:rsidRDefault="00FD2C92" w:rsidP="00CC2C3A">
            <w:pPr>
              <w:pStyle w:val="14"/>
              <w:spacing w:line="280" w:lineRule="exact"/>
              <w:rPr>
                <w:rFonts w:hAnsi="標楷體"/>
              </w:rPr>
            </w:pPr>
            <w:r w:rsidRPr="00BE562A">
              <w:rPr>
                <w:rFonts w:hAnsi="標楷體" w:hint="eastAsia"/>
              </w:rPr>
              <w:t>其他專業人員訪</w:t>
            </w:r>
          </w:p>
        </w:tc>
        <w:tc>
          <w:tcPr>
            <w:tcW w:w="3594" w:type="dxa"/>
          </w:tcPr>
          <w:p w:rsidR="00FD2C92" w:rsidRPr="00BE562A" w:rsidRDefault="00FD2C92" w:rsidP="00CC2C3A">
            <w:pPr>
              <w:pStyle w:val="14"/>
              <w:spacing w:line="280" w:lineRule="exact"/>
              <w:rPr>
                <w:rFonts w:hAnsi="標楷體"/>
              </w:rPr>
            </w:pPr>
            <w:r w:rsidRPr="00BE562A">
              <w:rPr>
                <w:rFonts w:hAnsi="標楷體" w:hint="eastAsia"/>
              </w:rPr>
              <w:t>訪視費論次計酬</w:t>
            </w:r>
          </w:p>
          <w:p w:rsidR="00FD2C92" w:rsidRPr="00BE562A" w:rsidRDefault="00FD2C92" w:rsidP="00CC2C3A">
            <w:pPr>
              <w:pStyle w:val="14"/>
              <w:spacing w:line="280" w:lineRule="exact"/>
              <w:rPr>
                <w:rFonts w:hAnsi="標楷體"/>
              </w:rPr>
            </w:pPr>
            <w:r w:rsidRPr="00BE562A">
              <w:rPr>
                <w:rFonts w:hAnsi="標楷體" w:hint="eastAsia"/>
              </w:rPr>
              <w:t>藥費、藥事服務費核實</w:t>
            </w:r>
          </w:p>
          <w:p w:rsidR="00FD2C92" w:rsidRPr="00BE562A" w:rsidRDefault="00FD2C92" w:rsidP="00CC2C3A">
            <w:pPr>
              <w:pStyle w:val="14"/>
              <w:spacing w:line="280" w:lineRule="exact"/>
              <w:rPr>
                <w:rFonts w:hAnsi="標楷體"/>
              </w:rPr>
            </w:pPr>
            <w:r w:rsidRPr="00BE562A">
              <w:rPr>
                <w:rFonts w:hAnsi="標楷體" w:hint="eastAsia"/>
              </w:rPr>
              <w:t>檢驗</w:t>
            </w:r>
            <w:r w:rsidR="00447786" w:rsidRPr="00BE562A">
              <w:rPr>
                <w:rFonts w:hAnsi="標楷體"/>
              </w:rPr>
              <w:t>(</w:t>
            </w:r>
            <w:r w:rsidRPr="00BE562A">
              <w:rPr>
                <w:rFonts w:hAnsi="標楷體" w:hint="eastAsia"/>
              </w:rPr>
              <w:t>查</w:t>
            </w:r>
            <w:r w:rsidR="00447786" w:rsidRPr="00BE562A">
              <w:rPr>
                <w:rFonts w:hAnsi="標楷體"/>
              </w:rPr>
              <w:t>)</w:t>
            </w:r>
            <w:r w:rsidRPr="00BE562A">
              <w:rPr>
                <w:rFonts w:hAnsi="標楷體" w:hint="eastAsia"/>
              </w:rPr>
              <w:t>費核實</w:t>
            </w:r>
          </w:p>
          <w:p w:rsidR="00FD2C92" w:rsidRPr="00BE562A" w:rsidRDefault="00FD2C92" w:rsidP="00CC2C3A">
            <w:pPr>
              <w:pStyle w:val="14"/>
              <w:spacing w:line="280" w:lineRule="exact"/>
              <w:rPr>
                <w:rFonts w:hAnsi="標楷體"/>
              </w:rPr>
            </w:pPr>
            <w:r w:rsidRPr="00BE562A">
              <w:rPr>
                <w:rFonts w:hAnsi="標楷體" w:hint="eastAsia"/>
              </w:rPr>
              <w:t>呼吸器使用論日計酬</w:t>
            </w:r>
          </w:p>
          <w:p w:rsidR="00FD2C92" w:rsidRPr="00BE562A" w:rsidRDefault="00FD2C92" w:rsidP="00CC2C3A">
            <w:pPr>
              <w:pStyle w:val="14"/>
              <w:spacing w:line="280" w:lineRule="exact"/>
              <w:rPr>
                <w:rFonts w:hAnsi="標楷體"/>
              </w:rPr>
            </w:pPr>
            <w:r w:rsidRPr="00BE562A">
              <w:rPr>
                <w:rFonts w:hAnsi="標楷體" w:hint="eastAsia"/>
              </w:rPr>
              <w:t>緩和醫療家庭諮詢費論次計酬</w:t>
            </w:r>
          </w:p>
        </w:tc>
      </w:tr>
      <w:tr w:rsidR="00BE562A" w:rsidRPr="00BE562A" w:rsidTr="00CC2C3A">
        <w:trPr>
          <w:trHeight w:val="283"/>
        </w:trPr>
        <w:tc>
          <w:tcPr>
            <w:tcW w:w="1701" w:type="dxa"/>
            <w:shd w:val="clear" w:color="auto" w:fill="EEECE1" w:themeFill="background2"/>
          </w:tcPr>
          <w:p w:rsidR="00FD2C92" w:rsidRPr="00BE562A" w:rsidRDefault="00FD2C92" w:rsidP="00CC2C3A">
            <w:pPr>
              <w:pStyle w:val="14"/>
              <w:spacing w:line="280" w:lineRule="exact"/>
              <w:rPr>
                <w:rFonts w:hAnsi="標楷體"/>
              </w:rPr>
            </w:pPr>
            <w:r w:rsidRPr="00BE562A">
              <w:rPr>
                <w:rFonts w:hAnsi="標楷體" w:hint="eastAsia"/>
              </w:rPr>
              <w:t>安寧療護</w:t>
            </w:r>
          </w:p>
          <w:p w:rsidR="000D5372" w:rsidRPr="00BE562A" w:rsidRDefault="000D5372" w:rsidP="00CC2C3A">
            <w:pPr>
              <w:pStyle w:val="14"/>
              <w:spacing w:line="280" w:lineRule="exact"/>
              <w:rPr>
                <w:rFonts w:hAnsi="標楷體"/>
              </w:rPr>
            </w:pPr>
            <w:r w:rsidRPr="00BE562A">
              <w:rPr>
                <w:rFonts w:hAnsi="標楷體"/>
              </w:rPr>
              <w:t>(S3)</w:t>
            </w:r>
          </w:p>
        </w:tc>
        <w:tc>
          <w:tcPr>
            <w:tcW w:w="2268" w:type="dxa"/>
          </w:tcPr>
          <w:p w:rsidR="00FD2C92" w:rsidRPr="00BE562A" w:rsidRDefault="00FD2C92" w:rsidP="00CC2C3A">
            <w:pPr>
              <w:pStyle w:val="14"/>
              <w:spacing w:line="280" w:lineRule="exact"/>
              <w:rPr>
                <w:rFonts w:hAnsi="標楷體"/>
              </w:rPr>
            </w:pPr>
            <w:r w:rsidRPr="00BE562A">
              <w:rPr>
                <w:rFonts w:hAnsi="標楷體" w:hint="eastAsia"/>
              </w:rPr>
              <w:t>醫師訪視</w:t>
            </w:r>
          </w:p>
          <w:p w:rsidR="00FD2C92" w:rsidRPr="00BE562A" w:rsidRDefault="00FD2C92" w:rsidP="00CC2C3A">
            <w:pPr>
              <w:pStyle w:val="14"/>
              <w:spacing w:line="280" w:lineRule="exact"/>
              <w:rPr>
                <w:rFonts w:hAnsi="標楷體"/>
              </w:rPr>
            </w:pPr>
            <w:r w:rsidRPr="00BE562A">
              <w:rPr>
                <w:rFonts w:hAnsi="標楷體" w:hint="eastAsia"/>
              </w:rPr>
              <w:t>護理人員訪視</w:t>
            </w:r>
          </w:p>
          <w:p w:rsidR="00FD2C92" w:rsidRPr="00BE562A" w:rsidRDefault="00FD2C92" w:rsidP="00CC2C3A">
            <w:pPr>
              <w:pStyle w:val="14"/>
              <w:spacing w:line="280" w:lineRule="exact"/>
              <w:rPr>
                <w:rFonts w:hAnsi="標楷體"/>
              </w:rPr>
            </w:pPr>
            <w:r w:rsidRPr="00BE562A">
              <w:rPr>
                <w:rFonts w:hAnsi="標楷體" w:hint="eastAsia"/>
              </w:rPr>
              <w:t>呼吸治療人員訪視</w:t>
            </w:r>
          </w:p>
          <w:p w:rsidR="00FD2C92" w:rsidRPr="00BE562A" w:rsidRDefault="00FD2C92" w:rsidP="00CC2C3A">
            <w:pPr>
              <w:pStyle w:val="14"/>
              <w:spacing w:line="280" w:lineRule="exact"/>
              <w:rPr>
                <w:rFonts w:hAnsi="標楷體"/>
              </w:rPr>
            </w:pPr>
            <w:r w:rsidRPr="00BE562A">
              <w:rPr>
                <w:rFonts w:hAnsi="標楷體" w:hint="eastAsia"/>
              </w:rPr>
              <w:t>其他專業人員訪視</w:t>
            </w:r>
          </w:p>
        </w:tc>
        <w:tc>
          <w:tcPr>
            <w:tcW w:w="3594" w:type="dxa"/>
          </w:tcPr>
          <w:p w:rsidR="00FD2C92" w:rsidRPr="00BE562A" w:rsidRDefault="00FD2C92" w:rsidP="00CC2C3A">
            <w:pPr>
              <w:pStyle w:val="14"/>
              <w:spacing w:line="280" w:lineRule="exact"/>
              <w:rPr>
                <w:rFonts w:hAnsi="標楷體"/>
              </w:rPr>
            </w:pPr>
            <w:r w:rsidRPr="00BE562A">
              <w:rPr>
                <w:rFonts w:hAnsi="標楷體" w:hint="eastAsia"/>
              </w:rPr>
              <w:t>訪視費論次計酬</w:t>
            </w:r>
          </w:p>
          <w:p w:rsidR="00FD2C92" w:rsidRPr="00BE562A" w:rsidRDefault="00FD2C92" w:rsidP="00CC2C3A">
            <w:pPr>
              <w:pStyle w:val="14"/>
              <w:spacing w:line="280" w:lineRule="exact"/>
              <w:rPr>
                <w:rFonts w:hAnsi="標楷體"/>
              </w:rPr>
            </w:pPr>
            <w:r w:rsidRPr="00BE562A">
              <w:rPr>
                <w:rFonts w:hAnsi="標楷體" w:hint="eastAsia"/>
              </w:rPr>
              <w:t>藥費、藥事服務費核實</w:t>
            </w:r>
          </w:p>
          <w:p w:rsidR="00FD2C92" w:rsidRPr="00BE562A" w:rsidRDefault="00FD2C92" w:rsidP="00CC2C3A">
            <w:pPr>
              <w:pStyle w:val="14"/>
              <w:spacing w:line="280" w:lineRule="exact"/>
              <w:rPr>
                <w:rFonts w:hAnsi="標楷體"/>
              </w:rPr>
            </w:pPr>
            <w:r w:rsidRPr="00BE562A">
              <w:rPr>
                <w:rFonts w:hAnsi="標楷體" w:hint="eastAsia"/>
              </w:rPr>
              <w:t>檢驗</w:t>
            </w:r>
            <w:r w:rsidR="00447786" w:rsidRPr="00BE562A">
              <w:rPr>
                <w:rFonts w:hAnsi="標楷體"/>
              </w:rPr>
              <w:t>(</w:t>
            </w:r>
            <w:r w:rsidRPr="00BE562A">
              <w:rPr>
                <w:rFonts w:hAnsi="標楷體" w:hint="eastAsia"/>
              </w:rPr>
              <w:t>查</w:t>
            </w:r>
            <w:r w:rsidR="00447786" w:rsidRPr="00BE562A">
              <w:rPr>
                <w:rFonts w:hAnsi="標楷體"/>
              </w:rPr>
              <w:t>)</w:t>
            </w:r>
            <w:r w:rsidRPr="00BE562A">
              <w:rPr>
                <w:rFonts w:hAnsi="標楷體" w:hint="eastAsia"/>
              </w:rPr>
              <w:t>費核實</w:t>
            </w:r>
          </w:p>
          <w:p w:rsidR="00FD2C92" w:rsidRPr="00BE562A" w:rsidRDefault="00FD2C92" w:rsidP="00CC2C3A">
            <w:pPr>
              <w:pStyle w:val="14"/>
              <w:spacing w:line="280" w:lineRule="exact"/>
              <w:rPr>
                <w:rFonts w:hAnsi="標楷體"/>
              </w:rPr>
            </w:pPr>
            <w:r w:rsidRPr="00BE562A">
              <w:rPr>
                <w:rFonts w:hAnsi="標楷體" w:hint="eastAsia"/>
              </w:rPr>
              <w:t>呼吸器使用論日計酬</w:t>
            </w:r>
          </w:p>
          <w:p w:rsidR="00FD2C92" w:rsidRPr="00BE562A" w:rsidRDefault="00FD2C92" w:rsidP="00CC2C3A">
            <w:pPr>
              <w:pStyle w:val="14"/>
              <w:spacing w:line="280" w:lineRule="exact"/>
              <w:rPr>
                <w:rFonts w:hAnsi="標楷體"/>
              </w:rPr>
            </w:pPr>
            <w:r w:rsidRPr="00BE562A">
              <w:rPr>
                <w:rFonts w:hAnsi="標楷體" w:hint="eastAsia"/>
              </w:rPr>
              <w:t>病患自控式止痛論次計酬</w:t>
            </w:r>
          </w:p>
        </w:tc>
      </w:tr>
    </w:tbl>
    <w:p w:rsidR="000D5372" w:rsidRPr="00BE562A" w:rsidRDefault="000D5372" w:rsidP="00BE562A">
      <w:pPr>
        <w:pStyle w:val="7"/>
        <w:numPr>
          <w:ilvl w:val="0"/>
          <w:numId w:val="0"/>
        </w:numPr>
        <w:spacing w:line="300" w:lineRule="exact"/>
        <w:ind w:leftChars="400" w:left="2610" w:hangingChars="480" w:hanging="1249"/>
        <w:rPr>
          <w:rFonts w:hAnsi="標楷體" w:cs="Arial"/>
          <w:sz w:val="24"/>
          <w:szCs w:val="24"/>
        </w:rPr>
      </w:pPr>
      <w:r w:rsidRPr="00BE562A">
        <w:rPr>
          <w:rFonts w:hAnsi="標楷體" w:cs="Arial" w:hint="eastAsia"/>
          <w:sz w:val="24"/>
          <w:szCs w:val="24"/>
        </w:rPr>
        <w:t>資料來源</w:t>
      </w:r>
      <w:r w:rsidR="00447786" w:rsidRPr="00BE562A">
        <w:rPr>
          <w:rFonts w:hAnsi="標楷體" w:cs="Arial" w:hint="eastAsia"/>
          <w:sz w:val="24"/>
          <w:szCs w:val="24"/>
        </w:rPr>
        <w:t>：</w:t>
      </w:r>
      <w:r w:rsidR="00265E4E" w:rsidRPr="00BE562A">
        <w:rPr>
          <w:rFonts w:hAnsi="標楷體" w:hint="eastAsia"/>
          <w:sz w:val="24"/>
          <w:szCs w:val="24"/>
          <w:lang w:eastAsia="zh-HK"/>
        </w:rPr>
        <w:t>健保署</w:t>
      </w:r>
      <w:r w:rsidR="00265E4E" w:rsidRPr="00BE562A">
        <w:rPr>
          <w:rFonts w:hAnsi="標楷體" w:hint="eastAsia"/>
          <w:sz w:val="24"/>
          <w:szCs w:val="24"/>
        </w:rPr>
        <w:t>109</w:t>
      </w:r>
      <w:r w:rsidR="00265E4E" w:rsidRPr="00BE562A">
        <w:rPr>
          <w:rFonts w:hAnsi="標楷體" w:hint="eastAsia"/>
          <w:sz w:val="24"/>
          <w:szCs w:val="24"/>
          <w:lang w:eastAsia="zh-HK"/>
        </w:rPr>
        <w:t>年</w:t>
      </w:r>
      <w:r w:rsidR="00265E4E" w:rsidRPr="00BE562A">
        <w:rPr>
          <w:rFonts w:hAnsi="標楷體" w:hint="eastAsia"/>
          <w:sz w:val="24"/>
          <w:szCs w:val="24"/>
        </w:rPr>
        <w:t>4</w:t>
      </w:r>
      <w:r w:rsidR="00265E4E" w:rsidRPr="00BE562A">
        <w:rPr>
          <w:rFonts w:hAnsi="標楷體" w:hint="eastAsia"/>
          <w:sz w:val="24"/>
          <w:szCs w:val="24"/>
          <w:lang w:eastAsia="zh-HK"/>
        </w:rPr>
        <w:t>月</w:t>
      </w:r>
      <w:r w:rsidR="00265E4E" w:rsidRPr="00BE562A">
        <w:rPr>
          <w:rFonts w:hAnsi="標楷體" w:hint="eastAsia"/>
          <w:sz w:val="24"/>
          <w:szCs w:val="24"/>
        </w:rPr>
        <w:t>10</w:t>
      </w:r>
      <w:r w:rsidR="00265E4E" w:rsidRPr="00BE562A">
        <w:rPr>
          <w:rFonts w:hAnsi="標楷體" w:hint="eastAsia"/>
          <w:sz w:val="24"/>
          <w:szCs w:val="24"/>
          <w:lang w:eastAsia="zh-HK"/>
        </w:rPr>
        <w:t>日健保醫字第</w:t>
      </w:r>
      <w:r w:rsidR="00265E4E" w:rsidRPr="00BE562A">
        <w:rPr>
          <w:rFonts w:hAnsi="標楷體" w:hint="eastAsia"/>
          <w:sz w:val="24"/>
          <w:szCs w:val="24"/>
        </w:rPr>
        <w:t>1090033067</w:t>
      </w:r>
      <w:r w:rsidR="00265E4E" w:rsidRPr="00BE562A">
        <w:rPr>
          <w:rFonts w:hAnsi="標楷體" w:hint="eastAsia"/>
          <w:sz w:val="24"/>
          <w:szCs w:val="24"/>
          <w:lang w:eastAsia="zh-HK"/>
        </w:rPr>
        <w:t>號</w:t>
      </w:r>
      <w:r w:rsidR="00155B0F" w:rsidRPr="00BE562A">
        <w:rPr>
          <w:rFonts w:hAnsi="標楷體" w:hint="eastAsia"/>
          <w:sz w:val="24"/>
          <w:szCs w:val="24"/>
          <w:lang w:eastAsia="zh-HK"/>
        </w:rPr>
        <w:t>公告修訂</w:t>
      </w:r>
      <w:r w:rsidR="00155B0F" w:rsidRPr="00BE562A">
        <w:rPr>
          <w:rFonts w:hAnsi="標楷體" w:cs="Arial" w:hint="eastAsia"/>
          <w:sz w:val="24"/>
          <w:szCs w:val="24"/>
        </w:rPr>
        <w:t>居家醫療照護整合計畫</w:t>
      </w:r>
      <w:r w:rsidR="00670A98" w:rsidRPr="00BE562A">
        <w:rPr>
          <w:rFonts w:hAnsi="標楷體" w:cs="Arial" w:hint="eastAsia"/>
          <w:sz w:val="24"/>
          <w:szCs w:val="24"/>
        </w:rPr>
        <w:t>。</w:t>
      </w:r>
    </w:p>
    <w:p w:rsidR="000D5372" w:rsidRPr="00BE562A" w:rsidRDefault="000D5372" w:rsidP="00003C90">
      <w:pPr>
        <w:pStyle w:val="7"/>
        <w:numPr>
          <w:ilvl w:val="0"/>
          <w:numId w:val="0"/>
        </w:numPr>
        <w:ind w:left="1701" w:firstLineChars="207" w:firstLine="704"/>
        <w:rPr>
          <w:rFonts w:hAnsi="標楷體"/>
        </w:rPr>
      </w:pPr>
    </w:p>
    <w:p w:rsidR="00FD2C92" w:rsidRPr="00BE562A" w:rsidRDefault="00A23B06" w:rsidP="00003C90">
      <w:pPr>
        <w:pStyle w:val="7"/>
        <w:numPr>
          <w:ilvl w:val="0"/>
          <w:numId w:val="0"/>
        </w:numPr>
        <w:ind w:left="1701" w:firstLineChars="207" w:firstLine="704"/>
        <w:rPr>
          <w:rFonts w:hAnsi="標楷體"/>
        </w:rPr>
      </w:pPr>
      <w:r w:rsidRPr="00BE562A">
        <w:rPr>
          <w:rFonts w:hAnsi="標楷體" w:hint="eastAsia"/>
        </w:rPr>
        <w:t>依上</w:t>
      </w:r>
      <w:r w:rsidR="00FD2C92" w:rsidRPr="00BE562A">
        <w:rPr>
          <w:rFonts w:hAnsi="標楷體" w:hint="eastAsia"/>
        </w:rPr>
        <w:t>，目前在</w:t>
      </w:r>
      <w:r w:rsidR="00D53052" w:rsidRPr="00BE562A">
        <w:rPr>
          <w:rFonts w:hAnsi="標楷體" w:hint="eastAsia"/>
        </w:rPr>
        <w:t>「</w:t>
      </w:r>
      <w:r w:rsidR="00FD2C92" w:rsidRPr="00BE562A">
        <w:rPr>
          <w:rFonts w:hAnsi="標楷體" w:hint="eastAsia"/>
        </w:rPr>
        <w:t>居家醫療</w:t>
      </w:r>
      <w:r w:rsidR="00D53052" w:rsidRPr="00BE562A">
        <w:rPr>
          <w:rFonts w:hAnsi="標楷體" w:hint="eastAsia"/>
        </w:rPr>
        <w:t>」</w:t>
      </w:r>
      <w:r w:rsidR="00FD2C92" w:rsidRPr="00BE562A">
        <w:rPr>
          <w:rFonts w:hAnsi="標楷體" w:hint="eastAsia"/>
        </w:rPr>
        <w:t>之照護階段並未訂有</w:t>
      </w:r>
      <w:r w:rsidR="00D53052" w:rsidRPr="00BE562A">
        <w:rPr>
          <w:rFonts w:hAnsi="標楷體" w:hint="eastAsia"/>
        </w:rPr>
        <w:t>「</w:t>
      </w:r>
      <w:r w:rsidR="00FD2C92" w:rsidRPr="00BE562A">
        <w:rPr>
          <w:rFonts w:hAnsi="標楷體" w:hint="eastAsia"/>
        </w:rPr>
        <w:t>護理人員訪視費用</w:t>
      </w:r>
      <w:r w:rsidR="00D53052" w:rsidRPr="00BE562A">
        <w:rPr>
          <w:rFonts w:hAnsi="標楷體" w:hint="eastAsia"/>
        </w:rPr>
        <w:t>」之給付項目</w:t>
      </w:r>
      <w:r w:rsidR="00FD2C92" w:rsidRPr="00BE562A">
        <w:rPr>
          <w:rFonts w:hAnsi="標楷體" w:hint="eastAsia"/>
        </w:rPr>
        <w:t>，依據上開各部立醫院及嘉義長庚在臨床執行上</w:t>
      </w:r>
      <w:r w:rsidR="00F800DD" w:rsidRPr="00BE562A">
        <w:rPr>
          <w:rFonts w:hAnsi="標楷體" w:hint="eastAsia"/>
        </w:rPr>
        <w:t>之經驗</w:t>
      </w:r>
      <w:r w:rsidR="00FD2C92" w:rsidRPr="00BE562A">
        <w:rPr>
          <w:rFonts w:hAnsi="標楷體" w:hint="eastAsia"/>
        </w:rPr>
        <w:t>認為，醫師及護理師是執行居家醫療最小的人力團隊，在實務照護上皆由護理師陪同訪視，故建議應一併給付護理訪視費。</w:t>
      </w:r>
    </w:p>
    <w:p w:rsidR="00A60075" w:rsidRPr="00BE562A" w:rsidRDefault="00A23B06" w:rsidP="00B90FD5">
      <w:pPr>
        <w:pStyle w:val="4"/>
        <w:rPr>
          <w:rFonts w:hAnsi="標楷體"/>
        </w:rPr>
      </w:pPr>
      <w:r w:rsidRPr="00BE562A">
        <w:rPr>
          <w:rFonts w:hAnsi="標楷體" w:hint="eastAsia"/>
        </w:rPr>
        <w:t>另</w:t>
      </w:r>
      <w:r w:rsidR="00512085" w:rsidRPr="00BE562A">
        <w:rPr>
          <w:rFonts w:hAnsi="標楷體" w:hint="eastAsia"/>
        </w:rPr>
        <w:t>本院約詢時針對目前</w:t>
      </w:r>
      <w:r w:rsidR="0085589C" w:rsidRPr="00BE562A">
        <w:rPr>
          <w:rFonts w:hAnsi="標楷體" w:hint="eastAsia"/>
        </w:rPr>
        <w:t>居家醫療照護整合計畫</w:t>
      </w:r>
      <w:r w:rsidR="00512085" w:rsidRPr="00BE562A">
        <w:rPr>
          <w:rFonts w:hAnsi="標楷體" w:hint="eastAsia"/>
        </w:rPr>
        <w:t>每日限提供8名病患</w:t>
      </w:r>
      <w:r w:rsidR="00EA2CCB" w:rsidRPr="00BE562A">
        <w:rPr>
          <w:rFonts w:hAnsi="標楷體" w:hint="eastAsia"/>
        </w:rPr>
        <w:t>服務</w:t>
      </w:r>
      <w:r w:rsidR="00512085" w:rsidRPr="00BE562A">
        <w:rPr>
          <w:rFonts w:hAnsi="標楷體" w:hint="eastAsia"/>
        </w:rPr>
        <w:t>，相較家醫科醫師院內門診量，</w:t>
      </w:r>
      <w:r w:rsidRPr="00BE562A">
        <w:rPr>
          <w:rFonts w:hAnsi="標楷體" w:hint="eastAsia"/>
        </w:rPr>
        <w:t>執行</w:t>
      </w:r>
      <w:r w:rsidR="00512085" w:rsidRPr="00BE562A">
        <w:rPr>
          <w:rFonts w:hAnsi="標楷體" w:hint="eastAsia"/>
        </w:rPr>
        <w:t>居家醫療照護整合是否具有誘因一節，</w:t>
      </w:r>
      <w:r w:rsidR="00A60075" w:rsidRPr="00BE562A">
        <w:rPr>
          <w:rFonts w:hAnsi="標楷體" w:hint="eastAsia"/>
        </w:rPr>
        <w:t>衛福部薛瑞元次長表示：「一般醫師院內門診量約80-100位病患很正常」。另</w:t>
      </w:r>
      <w:r w:rsidR="00512085" w:rsidRPr="00BE562A">
        <w:rPr>
          <w:rFonts w:hAnsi="標楷體" w:hint="eastAsia"/>
        </w:rPr>
        <w:t>健保署蔡淑鈴副</w:t>
      </w:r>
      <w:r w:rsidR="00512085" w:rsidRPr="00BE562A">
        <w:rPr>
          <w:rFonts w:hAnsi="標楷體" w:hint="eastAsia"/>
        </w:rPr>
        <w:lastRenderedPageBreak/>
        <w:t>署長表示：</w:t>
      </w:r>
      <w:r w:rsidR="0098452B" w:rsidRPr="00BE562A">
        <w:rPr>
          <w:rFonts w:hAnsi="標楷體" w:hint="eastAsia"/>
        </w:rPr>
        <w:t>「</w:t>
      </w:r>
      <w:r w:rsidR="00512085" w:rsidRPr="00BE562A">
        <w:rPr>
          <w:rFonts w:hAnsi="標楷體" w:hint="eastAsia"/>
        </w:rPr>
        <w:t>目前半數參與居家醫療的醫師，有認真收案做居家醫療，但是兼具門診業務，絕大多數參與居家醫療的醫師都有維持門診業務</w:t>
      </w:r>
      <w:r w:rsidR="0098452B" w:rsidRPr="00BE562A">
        <w:rPr>
          <w:rFonts w:hAnsi="標楷體" w:hint="eastAsia"/>
        </w:rPr>
        <w:t>」</w:t>
      </w:r>
      <w:r w:rsidR="00B90FD5" w:rsidRPr="00BE562A">
        <w:rPr>
          <w:rFonts w:hAnsi="標楷體" w:hint="eastAsia"/>
        </w:rPr>
        <w:t>。</w:t>
      </w:r>
      <w:r w:rsidR="00A60075" w:rsidRPr="00BE562A">
        <w:rPr>
          <w:rFonts w:hint="eastAsia"/>
        </w:rPr>
        <w:t>是以，目前醫師於院內看診病患遠高於執行居家照護量，若屬偏遠地區，又因路程限制更影響醫師居家服務量，致執行計畫所得給付不高而誘因不足，影響醫師之意願，故醫院門診執行居家醫療照護整合計畫之醫師，都仍兼具門診業務並非專責。</w:t>
      </w:r>
    </w:p>
    <w:p w:rsidR="00D16E30" w:rsidRPr="00BE562A" w:rsidRDefault="00B90FD5" w:rsidP="00B90FD5">
      <w:pPr>
        <w:pStyle w:val="4"/>
        <w:rPr>
          <w:rFonts w:hAnsi="標楷體"/>
        </w:rPr>
      </w:pPr>
      <w:r w:rsidRPr="00BE562A">
        <w:rPr>
          <w:rFonts w:hAnsi="標楷體" w:hint="eastAsia"/>
        </w:rPr>
        <w:t>在現行每日所能提供病患之服務人數限制及給付</w:t>
      </w:r>
      <w:r w:rsidR="00A23B06" w:rsidRPr="00BE562A">
        <w:rPr>
          <w:rFonts w:hAnsi="標楷體" w:hint="eastAsia"/>
        </w:rPr>
        <w:t>誘</w:t>
      </w:r>
      <w:r w:rsidRPr="00BE562A">
        <w:rPr>
          <w:rFonts w:hAnsi="標楷體" w:hint="eastAsia"/>
        </w:rPr>
        <w:t>因不足下，</w:t>
      </w:r>
      <w:r w:rsidR="0085589C" w:rsidRPr="00BE562A">
        <w:rPr>
          <w:rFonts w:hAnsi="標楷體" w:hint="eastAsia"/>
        </w:rPr>
        <w:t>居家醫療照護整合計畫</w:t>
      </w:r>
      <w:r w:rsidR="00BD6352" w:rsidRPr="00BE562A">
        <w:rPr>
          <w:rFonts w:hAnsi="標楷體" w:hint="eastAsia"/>
        </w:rPr>
        <w:t>之推動有其限制，</w:t>
      </w:r>
      <w:r w:rsidR="00533A46" w:rsidRPr="00BE562A">
        <w:rPr>
          <w:rFonts w:hAnsi="標楷體" w:hint="eastAsia"/>
        </w:rPr>
        <w:t>健保署允宜進行相關檢討。</w:t>
      </w:r>
    </w:p>
    <w:p w:rsidR="007F35F2" w:rsidRPr="00BE562A" w:rsidRDefault="007F35F2" w:rsidP="007F35F2">
      <w:pPr>
        <w:pStyle w:val="3"/>
        <w:rPr>
          <w:rFonts w:hAnsi="標楷體"/>
        </w:rPr>
      </w:pPr>
      <w:r w:rsidRPr="00BE562A">
        <w:rPr>
          <w:rFonts w:hAnsi="標楷體" w:hint="eastAsia"/>
        </w:rPr>
        <w:t>綜上，</w:t>
      </w:r>
      <w:r w:rsidR="00DF0A33" w:rsidRPr="00BE562A">
        <w:rPr>
          <w:rFonts w:hAnsi="標楷體" w:hint="eastAsia"/>
        </w:rPr>
        <w:t>居家醫療照護整合計畫之目的係提升因失能或疾病特性致外出就醫不便患者之醫療照護可近性、提供住院替代服務，降低住院日數或減少不必要之社會性住院及改善現行不同類型居家醫療照護片段式的服務模式，提供整合性之照護。然在執行上面臨</w:t>
      </w:r>
      <w:r w:rsidR="00447786" w:rsidRPr="00BE562A">
        <w:rPr>
          <w:rFonts w:hAnsi="標楷體" w:hint="eastAsia"/>
        </w:rPr>
        <w:t>：</w:t>
      </w:r>
      <w:r w:rsidR="00DF0A33" w:rsidRPr="00BE562A">
        <w:rPr>
          <w:rFonts w:hAnsi="標楷體" w:hint="eastAsia"/>
        </w:rPr>
        <w:t>藥物整合、訪視醫師面臨跨科別專業處置、資訊系統等軟體硬體設備受限……等困難，雖健保署已針對藥物整合部分研議放寬居家醫療訪視醫師開立具專科別限制之藥品範圍，但未獲相關醫/學會共識，而居家藥物整合係民眾參與計畫意願之主要因素之一，健保署應予重視並持續尋求解決。又現行「居家醫療」之照護並未給付護理人員訪視費、</w:t>
      </w:r>
      <w:r w:rsidR="00BE632B" w:rsidRPr="00BE562A">
        <w:rPr>
          <w:rFonts w:hint="eastAsia"/>
        </w:rPr>
        <w:t>現階段計畫限制每日8名病患遠低於醫師門診量，而偏遠地區，又因路程限制更影響醫師居家服務量，致執行計畫所得給付不高而誘因不足，影響醫師之意願等</w:t>
      </w:r>
      <w:r w:rsidR="00DF0A33" w:rsidRPr="00BE562A">
        <w:rPr>
          <w:rFonts w:hAnsi="標楷體" w:hint="eastAsia"/>
        </w:rPr>
        <w:t>，皆影響計畫之推動，健保署亦應一併檢討研議改善</w:t>
      </w:r>
      <w:r w:rsidR="00BC0F07" w:rsidRPr="00BE562A">
        <w:rPr>
          <w:rFonts w:hAnsi="標楷體" w:hint="eastAsia"/>
        </w:rPr>
        <w:t>。</w:t>
      </w:r>
    </w:p>
    <w:p w:rsidR="005A6318" w:rsidRPr="00BE562A" w:rsidRDefault="005A6318" w:rsidP="00A568A0">
      <w:pPr>
        <w:pStyle w:val="2"/>
        <w:spacing w:beforeLines="50" w:before="228"/>
        <w:ind w:left="1020" w:hanging="680"/>
        <w:rPr>
          <w:rFonts w:hAnsi="標楷體"/>
          <w:b/>
        </w:rPr>
      </w:pPr>
      <w:r w:rsidRPr="00BE562A">
        <w:rPr>
          <w:rFonts w:hAnsi="標楷體" w:hint="eastAsia"/>
          <w:b/>
        </w:rPr>
        <w:lastRenderedPageBreak/>
        <w:t>按「全民健康保險家庭醫師整合性照護計畫」之推動係使全民皆有家庭醫師並落實家庭責任醫師及照護責任，為全民健康保險法實施家庭責任醫師制度奠定基礎。現階段在執行上，有各院對診所家戶會員至醫院就醫或住院之狀況無法及時掌握、各衛生主管機關同步實施不同政策相互影響成效、電子轉診平台受理期限等限制，</w:t>
      </w:r>
      <w:r w:rsidR="00CB4165" w:rsidRPr="00BE562A">
        <w:rPr>
          <w:rFonts w:hAnsi="標楷體" w:hint="eastAsia"/>
          <w:b/>
        </w:rPr>
        <w:t>健保署允宜檢視改善，俾利計畫之持續推動</w:t>
      </w:r>
    </w:p>
    <w:p w:rsidR="00A76A52" w:rsidRPr="00BE562A" w:rsidRDefault="002F5F9F" w:rsidP="008503CA">
      <w:pPr>
        <w:pStyle w:val="3"/>
        <w:numPr>
          <w:ilvl w:val="2"/>
          <w:numId w:val="38"/>
        </w:numPr>
        <w:rPr>
          <w:rFonts w:hAnsi="標楷體"/>
        </w:rPr>
      </w:pPr>
      <w:r w:rsidRPr="00BE562A">
        <w:rPr>
          <w:rFonts w:hAnsi="標楷體" w:hint="eastAsia"/>
        </w:rPr>
        <w:t>依</w:t>
      </w:r>
      <w:r w:rsidR="0085589C" w:rsidRPr="00BE562A">
        <w:rPr>
          <w:rFonts w:hAnsi="標楷體" w:hint="eastAsia"/>
        </w:rPr>
        <w:t>家庭醫師整合性照護計畫</w:t>
      </w:r>
      <w:r w:rsidR="008503CA" w:rsidRPr="00BE562A">
        <w:rPr>
          <w:rFonts w:hAnsi="標楷體" w:hint="eastAsia"/>
        </w:rPr>
        <w:t>，其中陸、</w:t>
      </w:r>
      <w:r w:rsidR="00A76A52" w:rsidRPr="00BE562A">
        <w:rPr>
          <w:rFonts w:hAnsi="標楷體" w:hint="eastAsia"/>
        </w:rPr>
        <w:t>組織運作</w:t>
      </w:r>
      <w:r w:rsidR="00447786" w:rsidRPr="00BE562A">
        <w:rPr>
          <w:rFonts w:hAnsi="標楷體" w:hint="eastAsia"/>
        </w:rPr>
        <w:t>：</w:t>
      </w:r>
      <w:r w:rsidR="005066B6" w:rsidRPr="00BE562A">
        <w:rPr>
          <w:rFonts w:hAnsi="標楷體" w:hint="eastAsia"/>
        </w:rPr>
        <w:t>「</w:t>
      </w:r>
      <w:r w:rsidR="008503CA" w:rsidRPr="00BE562A">
        <w:rPr>
          <w:rFonts w:hAnsi="標楷體" w:hint="eastAsia"/>
        </w:rPr>
        <w:t>一、</w:t>
      </w:r>
      <w:r w:rsidR="005066B6" w:rsidRPr="00BE562A">
        <w:rPr>
          <w:rFonts w:hAnsi="標楷體" w:hint="eastAsia"/>
        </w:rPr>
        <w:t>『</w:t>
      </w:r>
      <w:r w:rsidR="00A76A52" w:rsidRPr="00BE562A">
        <w:rPr>
          <w:rFonts w:hAnsi="標楷體" w:hint="eastAsia"/>
        </w:rPr>
        <w:t>社區醫療群之組織運作型式</w:t>
      </w:r>
      <w:r w:rsidR="005066B6" w:rsidRPr="00BE562A">
        <w:rPr>
          <w:rFonts w:hAnsi="標楷體" w:hint="eastAsia"/>
        </w:rPr>
        <w:t>』</w:t>
      </w:r>
      <w:r w:rsidR="00A76A52" w:rsidRPr="00BE562A">
        <w:rPr>
          <w:rFonts w:hAnsi="標楷體" w:hint="eastAsia"/>
        </w:rPr>
        <w:t>方面：</w:t>
      </w:r>
      <w:r w:rsidR="008503CA" w:rsidRPr="00BE562A">
        <w:rPr>
          <w:rFonts w:hAnsi="標楷體"/>
        </w:rPr>
        <w:t>(</w:t>
      </w:r>
      <w:r w:rsidR="008503CA" w:rsidRPr="00BE562A">
        <w:rPr>
          <w:rFonts w:hAnsi="標楷體" w:hint="eastAsia"/>
        </w:rPr>
        <w:t>一</w:t>
      </w:r>
      <w:r w:rsidR="008503CA" w:rsidRPr="00BE562A">
        <w:rPr>
          <w:rFonts w:hAnsi="標楷體"/>
        </w:rPr>
        <w:t>)</w:t>
      </w:r>
      <w:r w:rsidR="00A76A52" w:rsidRPr="00BE562A">
        <w:rPr>
          <w:rFonts w:hAnsi="標楷體" w:hint="eastAsia"/>
        </w:rPr>
        <w:t>以同一地區5家以上(含)特約西醫診所為單位組成，其中1/2以上診所專任醫師需具有內科、外科、婦產科、小兒科或家醫科專科醫師資格或1/5以上診所專任醫師具有家醫科專科醫師資格，並應與1-2家特約醫院(地區醫院家數不限)作為合作對象，建立轉診及合作機制，開辦共同照護門診。</w:t>
      </w:r>
      <w:r w:rsidR="008503CA" w:rsidRPr="00BE562A">
        <w:rPr>
          <w:rFonts w:hAnsi="標楷體"/>
        </w:rPr>
        <w:t>……</w:t>
      </w:r>
      <w:r w:rsidR="008503CA" w:rsidRPr="00BE562A">
        <w:rPr>
          <w:rFonts w:hAnsi="標楷體" w:hint="eastAsia"/>
        </w:rPr>
        <w:t>四、</w:t>
      </w:r>
      <w:r w:rsidR="005066B6" w:rsidRPr="00BE562A">
        <w:rPr>
          <w:rFonts w:hAnsi="標楷體" w:hint="eastAsia"/>
        </w:rPr>
        <w:t>『</w:t>
      </w:r>
      <w:r w:rsidR="00A76A52" w:rsidRPr="00BE562A">
        <w:rPr>
          <w:rFonts w:hAnsi="標楷體" w:hint="eastAsia"/>
        </w:rPr>
        <w:t>社區醫療群應建立醫療照護品質提升及轉診機制</w:t>
      </w:r>
      <w:r w:rsidR="005066B6" w:rsidRPr="00BE562A">
        <w:rPr>
          <w:rFonts w:hAnsi="標楷體" w:hint="eastAsia"/>
        </w:rPr>
        <w:t>』</w:t>
      </w:r>
      <w:r w:rsidR="00A76A52" w:rsidRPr="00BE562A">
        <w:rPr>
          <w:rFonts w:hAnsi="標楷體" w:hint="eastAsia"/>
        </w:rPr>
        <w:t>方面</w:t>
      </w:r>
      <w:r w:rsidR="00447786" w:rsidRPr="00BE562A">
        <w:rPr>
          <w:rFonts w:hAnsi="標楷體" w:hint="eastAsia"/>
        </w:rPr>
        <w:t>：</w:t>
      </w:r>
      <w:r w:rsidR="00A76A52" w:rsidRPr="00BE562A">
        <w:rPr>
          <w:rFonts w:hAnsi="標楷體" w:hint="eastAsia"/>
        </w:rPr>
        <w:t>「(一)參與計畫之基層診所醫師與1-2家特約醫院作為合作對象(地區醫院家數不限)，並得至合作醫院開設共同照護門診(不限其轉診對象)。</w:t>
      </w:r>
      <w:r w:rsidR="00A76A52" w:rsidRPr="00BE562A">
        <w:rPr>
          <w:rFonts w:hAnsi="標楷體"/>
        </w:rPr>
        <w:t>……</w:t>
      </w:r>
      <w:r w:rsidR="00A76A52" w:rsidRPr="00BE562A">
        <w:rPr>
          <w:rFonts w:hAnsi="標楷體" w:hint="eastAsia"/>
        </w:rPr>
        <w:t>(三)醫療群得訂定診所與合作醫院間之實質合作內容</w:t>
      </w:r>
      <w:r w:rsidR="008503CA" w:rsidRPr="00BE562A">
        <w:rPr>
          <w:rFonts w:hAnsi="標楷體"/>
        </w:rPr>
        <w:t>……</w:t>
      </w:r>
      <w:r w:rsidR="00A76A52" w:rsidRPr="00BE562A">
        <w:rPr>
          <w:rFonts w:hAnsi="標楷體" w:hint="eastAsia"/>
        </w:rPr>
        <w:t>。合作內容至少需包含下列項目：1.雙向轉診流程：包含安排病人轉診、追蹤病人轉診至醫院治療結果、病人轉回後之追蹤治療、診所間平行轉診等。2.共同照護機制：包含合作醫院下轉穩定慢性病人至醫療群提供照護、合作醫院與診所醫師間之交班流程等。3.慢性病人用藥一致。4.醫療品質提升計畫。</w:t>
      </w:r>
      <w:r w:rsidR="00A76A52" w:rsidRPr="00BE562A">
        <w:rPr>
          <w:rFonts w:hAnsi="標楷體"/>
        </w:rPr>
        <w:t>……</w:t>
      </w:r>
      <w:r w:rsidR="00A76A52" w:rsidRPr="00BE562A">
        <w:rPr>
          <w:rFonts w:hAnsi="標楷體" w:hint="eastAsia"/>
        </w:rPr>
        <w:t>(五)醫療群與合作醫院應提供收案會員跨院際合作加值服務，如就醫、檢查快速通道、掛號優先等。」</w:t>
      </w:r>
    </w:p>
    <w:p w:rsidR="00A76A52" w:rsidRPr="00BE562A" w:rsidRDefault="00FC65AE" w:rsidP="00302EC8">
      <w:pPr>
        <w:pStyle w:val="3"/>
        <w:rPr>
          <w:rFonts w:hAnsi="標楷體"/>
        </w:rPr>
      </w:pPr>
      <w:r w:rsidRPr="00BE562A">
        <w:rPr>
          <w:rFonts w:hAnsi="標楷體" w:hint="eastAsia"/>
        </w:rPr>
        <w:lastRenderedPageBreak/>
        <w:t>次依</w:t>
      </w:r>
      <w:r w:rsidR="0085589C" w:rsidRPr="00BE562A">
        <w:rPr>
          <w:rFonts w:hAnsi="標楷體" w:hint="eastAsia"/>
        </w:rPr>
        <w:t>家庭醫師整合性照護計畫</w:t>
      </w:r>
      <w:r w:rsidRPr="00BE562A">
        <w:rPr>
          <w:rFonts w:hAnsi="標楷體" w:hint="eastAsia"/>
        </w:rPr>
        <w:t>，其中柒、</w:t>
      </w:r>
      <w:r w:rsidR="00A76A52" w:rsidRPr="00BE562A">
        <w:rPr>
          <w:rFonts w:hAnsi="標楷體" w:hint="eastAsia"/>
        </w:rPr>
        <w:t>收案對象(會員)</w:t>
      </w:r>
      <w:r w:rsidR="00447786" w:rsidRPr="00BE562A">
        <w:rPr>
          <w:rFonts w:hAnsi="標楷體" w:hint="eastAsia"/>
        </w:rPr>
        <w:t>：</w:t>
      </w:r>
      <w:r w:rsidR="005066B6" w:rsidRPr="00BE562A">
        <w:rPr>
          <w:rFonts w:hAnsi="標楷體" w:hint="eastAsia"/>
        </w:rPr>
        <w:t>「</w:t>
      </w:r>
      <w:r w:rsidRPr="00BE562A">
        <w:rPr>
          <w:rFonts w:hAnsi="標楷體" w:hint="eastAsia"/>
        </w:rPr>
        <w:t>一、</w:t>
      </w:r>
      <w:r w:rsidR="00A76A52" w:rsidRPr="00BE562A">
        <w:rPr>
          <w:rFonts w:hAnsi="標楷體" w:hint="eastAsia"/>
        </w:rPr>
        <w:t>保險人依全民健康保險申報門診醫療費用資料，擷取前一年西醫基層門診明細清單資料區分為慢性病及非慢性病就醫之保險對象，並將較需照護之名單，交付該參與本計畫之社區醫療群提供健康管理。</w:t>
      </w:r>
      <w:r w:rsidR="005066B6" w:rsidRPr="00BE562A">
        <w:rPr>
          <w:rFonts w:hAnsi="標楷體" w:hint="eastAsia"/>
        </w:rPr>
        <w:t>」</w:t>
      </w:r>
    </w:p>
    <w:p w:rsidR="00A76A52" w:rsidRPr="00BE562A" w:rsidRDefault="00302EC8" w:rsidP="00E62FE8">
      <w:pPr>
        <w:pStyle w:val="3"/>
        <w:rPr>
          <w:rFonts w:hAnsi="標楷體"/>
        </w:rPr>
      </w:pPr>
      <w:r w:rsidRPr="00BE562A">
        <w:rPr>
          <w:rFonts w:hAnsi="標楷體" w:hint="eastAsia"/>
        </w:rPr>
        <w:t>再依</w:t>
      </w:r>
      <w:r w:rsidR="0085589C" w:rsidRPr="00BE562A">
        <w:rPr>
          <w:rFonts w:hAnsi="標楷體" w:hint="eastAsia"/>
        </w:rPr>
        <w:t>家庭醫師整合性照護計畫</w:t>
      </w:r>
      <w:r w:rsidR="00FC65AE" w:rsidRPr="00BE562A">
        <w:rPr>
          <w:rFonts w:hAnsi="標楷體" w:hint="eastAsia"/>
        </w:rPr>
        <w:t>，其中</w:t>
      </w:r>
      <w:r w:rsidRPr="00BE562A">
        <w:rPr>
          <w:rFonts w:hAnsi="標楷體" w:hint="eastAsia"/>
        </w:rPr>
        <w:t>壹拾壹</w:t>
      </w:r>
      <w:r w:rsidR="00FC65AE" w:rsidRPr="00BE562A">
        <w:rPr>
          <w:rFonts w:hAnsi="標楷體" w:hint="eastAsia"/>
        </w:rPr>
        <w:t>、</w:t>
      </w:r>
      <w:r w:rsidR="00A76A52" w:rsidRPr="00BE562A">
        <w:rPr>
          <w:rFonts w:hAnsi="標楷體" w:hint="eastAsia"/>
        </w:rPr>
        <w:t>計畫評核指標</w:t>
      </w:r>
      <w:r w:rsidR="00447786" w:rsidRPr="00BE562A">
        <w:rPr>
          <w:rFonts w:hAnsi="標楷體" w:hint="eastAsia"/>
        </w:rPr>
        <w:t>：</w:t>
      </w:r>
      <w:r w:rsidR="005066B6" w:rsidRPr="00BE562A">
        <w:rPr>
          <w:rFonts w:hAnsi="標楷體" w:hint="eastAsia"/>
        </w:rPr>
        <w:t>「</w:t>
      </w:r>
      <w:r w:rsidR="00A76A52" w:rsidRPr="00BE562A">
        <w:rPr>
          <w:rFonts w:hAnsi="標楷體" w:hint="eastAsia"/>
        </w:rPr>
        <w:t>社區醫療群型態診所，其達成情形以群為計算單位，並以下列項目作為費用支付評核指標：結構面指標(20分)、過程面指標(25分)、結果面指標(40分)、自選指標(15分)及加分項(本項最高得分10分)</w:t>
      </w:r>
      <w:r w:rsidR="005066B6" w:rsidRPr="00BE562A">
        <w:rPr>
          <w:rFonts w:hAnsi="標楷體" w:hint="eastAsia"/>
        </w:rPr>
        <w:t>」</w:t>
      </w:r>
      <w:r w:rsidR="00A76A52" w:rsidRPr="00BE562A">
        <w:rPr>
          <w:rFonts w:hAnsi="標楷體" w:hint="eastAsia"/>
        </w:rPr>
        <w:t>，其中過程面指標</w:t>
      </w:r>
      <w:r w:rsidR="00005770" w:rsidRPr="00BE562A">
        <w:rPr>
          <w:rFonts w:hAnsi="標楷體" w:hint="eastAsia"/>
        </w:rPr>
        <w:t>包括</w:t>
      </w:r>
      <w:r w:rsidR="00447786" w:rsidRPr="00BE562A">
        <w:rPr>
          <w:rFonts w:hAnsi="標楷體" w:hint="eastAsia"/>
        </w:rPr>
        <w:t>：</w:t>
      </w:r>
    </w:p>
    <w:p w:rsidR="00A76A52" w:rsidRPr="00BE562A" w:rsidRDefault="00A76A52" w:rsidP="004E262D">
      <w:pPr>
        <w:pStyle w:val="5"/>
        <w:rPr>
          <w:rFonts w:hAnsi="標楷體"/>
        </w:rPr>
      </w:pPr>
      <w:r w:rsidRPr="00BE562A">
        <w:rPr>
          <w:rFonts w:hAnsi="標楷體" w:hint="eastAsia"/>
        </w:rPr>
        <w:t>雙向轉診(6分)</w:t>
      </w:r>
      <w:r w:rsidR="00447786" w:rsidRPr="00BE562A">
        <w:rPr>
          <w:rFonts w:hAnsi="標楷體" w:hint="eastAsia"/>
        </w:rPr>
        <w:t>：</w:t>
      </w:r>
      <w:r w:rsidRPr="00BE562A">
        <w:rPr>
          <w:rFonts w:hAnsi="標楷體"/>
        </w:rPr>
        <w:t xml:space="preserve"> </w:t>
      </w:r>
    </w:p>
    <w:p w:rsidR="00A76A52" w:rsidRPr="00BE562A" w:rsidRDefault="00A76A52" w:rsidP="004E262D">
      <w:pPr>
        <w:pStyle w:val="6"/>
        <w:rPr>
          <w:rFonts w:hAnsi="標楷體"/>
        </w:rPr>
      </w:pPr>
      <w:r w:rsidRPr="00BE562A">
        <w:rPr>
          <w:rFonts w:hAnsi="標楷體" w:hint="eastAsia"/>
        </w:rPr>
        <w:t>電子轉診使用率(3分)</w:t>
      </w:r>
      <w:r w:rsidR="00447786" w:rsidRPr="00BE562A">
        <w:rPr>
          <w:rFonts w:hAnsi="標楷體" w:hint="eastAsia"/>
        </w:rPr>
        <w:t>：</w:t>
      </w:r>
      <w:r w:rsidRPr="00BE562A">
        <w:rPr>
          <w:rFonts w:hAnsi="標楷體" w:hint="eastAsia"/>
        </w:rPr>
        <w:t>於保險人「醫事人員溝通平台-轉診資訊交換系統」，登錄及交換轉診病人資訊，進行醫師與醫師聯繫交班，提供連續性照護。</w:t>
      </w:r>
    </w:p>
    <w:p w:rsidR="00BB3AE1" w:rsidRPr="00BE562A" w:rsidRDefault="00A76A52" w:rsidP="002639BE">
      <w:pPr>
        <w:pStyle w:val="6"/>
        <w:rPr>
          <w:rFonts w:hAnsi="標楷體"/>
        </w:rPr>
      </w:pPr>
      <w:r w:rsidRPr="00BE562A">
        <w:rPr>
          <w:rFonts w:hAnsi="標楷體" w:hint="eastAsia"/>
        </w:rPr>
        <w:t>門診雙向轉診率(3分)</w:t>
      </w:r>
    </w:p>
    <w:p w:rsidR="002F5F9F" w:rsidRPr="00BE562A" w:rsidRDefault="00A76A52" w:rsidP="00BB3AE1">
      <w:pPr>
        <w:pStyle w:val="5"/>
        <w:rPr>
          <w:rFonts w:hAnsi="標楷體"/>
        </w:rPr>
      </w:pPr>
      <w:r w:rsidRPr="00BE562A">
        <w:rPr>
          <w:rFonts w:hAnsi="標楷體" w:hint="eastAsia"/>
        </w:rPr>
        <w:t>預防保健達成情形(19分)，包括</w:t>
      </w:r>
      <w:r w:rsidR="00447786" w:rsidRPr="00BE562A">
        <w:rPr>
          <w:rFonts w:hAnsi="標楷體" w:hint="eastAsia"/>
        </w:rPr>
        <w:t>：</w:t>
      </w:r>
      <w:r w:rsidRPr="00BE562A">
        <w:rPr>
          <w:rFonts w:hAnsi="標楷體" w:hint="eastAsia"/>
        </w:rPr>
        <w:t>成人預防保健檢查率(6分)、子宮頸抹片檢查率(5分)、65歲以上老人流感注射率(2分)及糞便潛血檢查率(6分)。</w:t>
      </w:r>
    </w:p>
    <w:p w:rsidR="00AC2197" w:rsidRPr="00BE562A" w:rsidRDefault="00AC2197" w:rsidP="00361061">
      <w:pPr>
        <w:pStyle w:val="5"/>
        <w:numPr>
          <w:ilvl w:val="0"/>
          <w:numId w:val="0"/>
        </w:numPr>
        <w:ind w:left="1418" w:firstLineChars="208" w:firstLine="708"/>
        <w:rPr>
          <w:rFonts w:hAnsi="標楷體"/>
        </w:rPr>
      </w:pPr>
      <w:r w:rsidRPr="00BE562A">
        <w:rPr>
          <w:rFonts w:hAnsi="標楷體" w:hint="eastAsia"/>
        </w:rPr>
        <w:t>基上，家庭醫師整合性照護計畫</w:t>
      </w:r>
      <w:r w:rsidR="00361061" w:rsidRPr="00BE562A">
        <w:rPr>
          <w:rFonts w:hAnsi="標楷體" w:hint="eastAsia"/>
        </w:rPr>
        <w:t>內容針對合作療機構資格、收案對象及計畫評核指標訂有相關規範。</w:t>
      </w:r>
    </w:p>
    <w:p w:rsidR="00A76A52" w:rsidRPr="00BE562A" w:rsidRDefault="00A76A52" w:rsidP="00AF4E61">
      <w:pPr>
        <w:pStyle w:val="3"/>
        <w:rPr>
          <w:rFonts w:hAnsi="標楷體"/>
        </w:rPr>
      </w:pPr>
      <w:r w:rsidRPr="00BE562A">
        <w:rPr>
          <w:rFonts w:hAnsi="標楷體" w:hint="eastAsia"/>
        </w:rPr>
        <w:t>經查部立醫院</w:t>
      </w:r>
      <w:r w:rsidR="00F302FE" w:rsidRPr="00BE562A">
        <w:rPr>
          <w:rFonts w:hAnsi="標楷體" w:hint="eastAsia"/>
        </w:rPr>
        <w:t>近3年</w:t>
      </w:r>
      <w:r w:rsidR="005C106E" w:rsidRPr="00BE562A">
        <w:rPr>
          <w:rFonts w:hAnsi="標楷體" w:hint="eastAsia"/>
        </w:rPr>
        <w:t>辦理</w:t>
      </w:r>
      <w:r w:rsidR="0085589C" w:rsidRPr="00BE562A">
        <w:rPr>
          <w:rFonts w:hAnsi="標楷體" w:hint="eastAsia"/>
        </w:rPr>
        <w:t>家庭醫師整合性照護計畫</w:t>
      </w:r>
      <w:r w:rsidRPr="00BE562A">
        <w:rPr>
          <w:rFonts w:hAnsi="標楷體" w:hint="eastAsia"/>
        </w:rPr>
        <w:t>情形如表</w:t>
      </w:r>
      <w:r w:rsidR="005C106E" w:rsidRPr="00BE562A">
        <w:rPr>
          <w:rFonts w:hAnsi="標楷體" w:hint="eastAsia"/>
        </w:rPr>
        <w:t>12。目前有</w:t>
      </w:r>
      <w:r w:rsidR="0099564A" w:rsidRPr="00BE562A">
        <w:rPr>
          <w:rFonts w:hAnsi="標楷體" w:hint="eastAsia"/>
        </w:rPr>
        <w:t>衛福部之</w:t>
      </w:r>
      <w:r w:rsidR="005C106E" w:rsidRPr="00BE562A">
        <w:rPr>
          <w:rFonts w:hAnsi="標楷體" w:hint="eastAsia"/>
        </w:rPr>
        <w:t>基隆、旗山、恆春旅遊、</w:t>
      </w:r>
      <w:r w:rsidR="00596B52" w:rsidRPr="00BE562A">
        <w:rPr>
          <w:rFonts w:hAnsi="標楷體" w:hint="eastAsia"/>
        </w:rPr>
        <w:t>臺東</w:t>
      </w:r>
      <w:r w:rsidR="005C106E" w:rsidRPr="00BE562A">
        <w:rPr>
          <w:rFonts w:hAnsi="標楷體" w:hint="eastAsia"/>
        </w:rPr>
        <w:t>醫院未參加計畫；而參與計畫之醫院中，</w:t>
      </w:r>
      <w:r w:rsidR="0099564A" w:rsidRPr="00BE562A">
        <w:rPr>
          <w:rFonts w:hAnsi="標楷體" w:hint="eastAsia"/>
        </w:rPr>
        <w:t>該</w:t>
      </w:r>
      <w:r w:rsidR="005C106E" w:rsidRPr="00BE562A">
        <w:rPr>
          <w:rFonts w:hAnsi="標楷體" w:hint="eastAsia"/>
        </w:rPr>
        <w:t>部</w:t>
      </w:r>
      <w:r w:rsidR="0099564A" w:rsidRPr="00BE562A">
        <w:rPr>
          <w:rFonts w:hAnsi="標楷體" w:hint="eastAsia"/>
        </w:rPr>
        <w:t>之</w:t>
      </w:r>
      <w:r w:rsidR="005C106E" w:rsidRPr="00BE562A">
        <w:rPr>
          <w:rFonts w:hAnsi="標楷體" w:hint="eastAsia"/>
        </w:rPr>
        <w:t>苗栗、朴子、</w:t>
      </w:r>
      <w:r w:rsidR="008A1A14" w:rsidRPr="00BE562A">
        <w:rPr>
          <w:rFonts w:hAnsi="標楷體" w:hint="eastAsia"/>
        </w:rPr>
        <w:t>臺南</w:t>
      </w:r>
      <w:r w:rsidR="005C106E" w:rsidRPr="00BE562A">
        <w:rPr>
          <w:rFonts w:hAnsi="標楷體" w:hint="eastAsia"/>
        </w:rPr>
        <w:t>、屏東、金門醫院及樂生療養院，並無收案人數僅進行轉診服務，已如前述。</w:t>
      </w:r>
      <w:r w:rsidR="00AF4E61" w:rsidRPr="00BE562A">
        <w:rPr>
          <w:rFonts w:hAnsi="標楷體" w:hint="eastAsia"/>
        </w:rPr>
        <w:lastRenderedPageBreak/>
        <w:t>該等</w:t>
      </w:r>
      <w:r w:rsidRPr="00BE562A">
        <w:rPr>
          <w:rFonts w:hAnsi="標楷體" w:hint="eastAsia"/>
        </w:rPr>
        <w:t>醫院辦理計畫所遭遇之困境</w:t>
      </w:r>
      <w:r w:rsidR="00DB7F11" w:rsidRPr="00BE562A">
        <w:rPr>
          <w:rFonts w:hAnsi="標楷體" w:hint="eastAsia"/>
        </w:rPr>
        <w:t>如下</w:t>
      </w:r>
      <w:r w:rsidR="00447786" w:rsidRPr="00BE562A">
        <w:rPr>
          <w:rFonts w:hAnsi="標楷體" w:hint="eastAsia"/>
        </w:rPr>
        <w:t>：</w:t>
      </w:r>
    </w:p>
    <w:p w:rsidR="00A76A52" w:rsidRPr="00CA791F" w:rsidRDefault="00A76A52" w:rsidP="002B3E05">
      <w:pPr>
        <w:pStyle w:val="4"/>
        <w:rPr>
          <w:rFonts w:hAnsi="標楷體"/>
        </w:rPr>
      </w:pPr>
      <w:r w:rsidRPr="00BE562A">
        <w:rPr>
          <w:rFonts w:hAnsi="標楷體" w:hint="eastAsia"/>
        </w:rPr>
        <w:t>依每年度分</w:t>
      </w:r>
      <w:r w:rsidRPr="00CA791F">
        <w:rPr>
          <w:rFonts w:hAnsi="標楷體" w:hint="eastAsia"/>
        </w:rPr>
        <w:t>析，各院合作社區醫療群之群數、診所數持續增加，相對合作診所收案之家戶會員亦會增加，惟各院對診所家戶會員至</w:t>
      </w:r>
      <w:r w:rsidR="00C0184B" w:rsidRPr="00CA791F">
        <w:rPr>
          <w:rFonts w:hAnsi="標楷體" w:hint="eastAsia"/>
        </w:rPr>
        <w:t>醫</w:t>
      </w:r>
      <w:r w:rsidRPr="00CA791F">
        <w:rPr>
          <w:rFonts w:hAnsi="標楷體" w:hint="eastAsia"/>
        </w:rPr>
        <w:t>院就醫或住院之狀況無法及時掌握。</w:t>
      </w:r>
    </w:p>
    <w:p w:rsidR="00E627A2" w:rsidRPr="00CA791F" w:rsidRDefault="00A76A52" w:rsidP="00E627A2">
      <w:pPr>
        <w:pStyle w:val="4"/>
        <w:numPr>
          <w:ilvl w:val="3"/>
          <w:numId w:val="1"/>
        </w:numPr>
      </w:pPr>
      <w:r w:rsidRPr="00CA791F">
        <w:rPr>
          <w:rFonts w:hAnsi="標楷體" w:hint="eastAsia"/>
        </w:rPr>
        <w:t>同步實施不同政策時，恐相互影響成效，如：流感疫苗施打，影響本計畫中指標</w:t>
      </w:r>
      <w:r w:rsidRPr="00CA791F">
        <w:rPr>
          <w:rFonts w:hAnsi="標楷體"/>
        </w:rPr>
        <w:t>65</w:t>
      </w:r>
      <w:r w:rsidRPr="00CA791F">
        <w:rPr>
          <w:rFonts w:hAnsi="標楷體" w:hint="eastAsia"/>
        </w:rPr>
        <w:t>歲以上老人流感注射率成效；</w:t>
      </w:r>
      <w:r w:rsidRPr="00CA791F">
        <w:rPr>
          <w:rFonts w:hAnsi="標楷體"/>
        </w:rPr>
        <w:t>108</w:t>
      </w:r>
      <w:r w:rsidRPr="00CA791F">
        <w:rPr>
          <w:rFonts w:hAnsi="標楷體" w:hint="eastAsia"/>
        </w:rPr>
        <w:t>年</w:t>
      </w:r>
      <w:r w:rsidR="00221824" w:rsidRPr="00CA791F">
        <w:rPr>
          <w:rFonts w:hAnsi="標楷體" w:hint="eastAsia"/>
        </w:rPr>
        <w:t>本</w:t>
      </w:r>
      <w:r w:rsidRPr="00CA791F">
        <w:rPr>
          <w:rFonts w:hAnsi="標楷體" w:hint="eastAsia"/>
        </w:rPr>
        <w:t>計畫將預防保健需於基層診所接受預防保健才列入指標計算，但</w:t>
      </w:r>
      <w:r w:rsidR="00E627A2" w:rsidRPr="00CA791F">
        <w:rPr>
          <w:rFonts w:hAnsi="標楷體" w:hint="eastAsia"/>
          <w:lang w:eastAsia="zh-HK"/>
        </w:rPr>
        <w:t>該</w:t>
      </w:r>
      <w:r w:rsidR="001A1ED2" w:rsidRPr="00CA791F">
        <w:rPr>
          <w:rFonts w:hAnsi="標楷體" w:hint="eastAsia"/>
          <w:lang w:eastAsia="zh-HK"/>
        </w:rPr>
        <w:t>部</w:t>
      </w:r>
      <w:r w:rsidRPr="00CA791F">
        <w:rPr>
          <w:rFonts w:hAnsi="標楷體" w:hint="eastAsia"/>
        </w:rPr>
        <w:t>國</w:t>
      </w:r>
      <w:r w:rsidR="00E627A2" w:rsidRPr="00CA791F">
        <w:rPr>
          <w:rFonts w:hint="eastAsia"/>
        </w:rPr>
        <w:t>民健康署每年委託各醫院辦理「癌症防治品質精進計畫」，並將指標績效納入醫院督導考核項目，減少會員在診所預防保健執行率。</w:t>
      </w:r>
    </w:p>
    <w:p w:rsidR="00E627A2" w:rsidRPr="00CA791F" w:rsidRDefault="00E627A2" w:rsidP="00E627A2">
      <w:pPr>
        <w:pStyle w:val="4"/>
        <w:numPr>
          <w:ilvl w:val="3"/>
          <w:numId w:val="1"/>
        </w:numPr>
      </w:pPr>
      <w:r w:rsidRPr="00CA791F">
        <w:rPr>
          <w:rFonts w:hint="eastAsia"/>
        </w:rPr>
        <w:t>電子轉診平台受理有效期限為</w:t>
      </w:r>
      <w:r w:rsidRPr="00CA791F">
        <w:t>90</w:t>
      </w:r>
      <w:r w:rsidRPr="00CA791F">
        <w:rPr>
          <w:rFonts w:hint="eastAsia"/>
        </w:rPr>
        <w:t>天，如有</w:t>
      </w:r>
      <w:r w:rsidRPr="00CA791F">
        <w:t>3</w:t>
      </w:r>
      <w:r w:rsidRPr="00CA791F">
        <w:rPr>
          <w:rFonts w:hint="eastAsia"/>
        </w:rPr>
        <w:t>個月慢性處方籤個案下轉到診所，若個案延後看診，於診所就醫時已逾受理期限。</w:t>
      </w:r>
    </w:p>
    <w:p w:rsidR="00E627A2" w:rsidRPr="00CA791F" w:rsidRDefault="00E627A2" w:rsidP="00E627A2">
      <w:pPr>
        <w:pStyle w:val="3"/>
        <w:numPr>
          <w:ilvl w:val="2"/>
          <w:numId w:val="1"/>
        </w:numPr>
      </w:pPr>
      <w:r w:rsidRPr="00CA791F">
        <w:rPr>
          <w:rFonts w:hint="eastAsia"/>
        </w:rPr>
        <w:t>依據上開困境，爰提出相關建議包括:(1)建議開放相關線上平台權限給特約醫院</w:t>
      </w:r>
      <w:r w:rsidRPr="00CA791F">
        <w:t>(</w:t>
      </w:r>
      <w:r w:rsidRPr="00CA791F">
        <w:rPr>
          <w:rFonts w:hint="eastAsia"/>
        </w:rPr>
        <w:t>計畫中配合診所上下轉診醫院</w:t>
      </w:r>
      <w:r w:rsidRPr="00CA791F">
        <w:t>)</w:t>
      </w:r>
      <w:r w:rsidRPr="00CA791F">
        <w:rPr>
          <w:rFonts w:hint="eastAsia"/>
        </w:rPr>
        <w:t>，各計畫醫院可取得家戶會員之資料或建置系統連接功能，有利於資源銜接。(2)共同照護門診只有單一方面達成社醫群的指標，建議特約醫院亦應該有相關品質補助。(3)建議延長電子轉診平台轉診有效日期。(4)建議預防保健指標修正為不限基層診所執行。</w:t>
      </w:r>
    </w:p>
    <w:p w:rsidR="00A76A52" w:rsidRPr="00CA791F" w:rsidRDefault="00E627A2" w:rsidP="00E627A2">
      <w:pPr>
        <w:pStyle w:val="3"/>
        <w:rPr>
          <w:rFonts w:hAnsi="標楷體"/>
        </w:rPr>
      </w:pPr>
      <w:r w:rsidRPr="00CA791F">
        <w:rPr>
          <w:rFonts w:hint="eastAsia"/>
        </w:rPr>
        <w:t>綜上，按「全民健康保險家庭醫師整合性照護計畫」之推動係使全民皆有家庭醫師並落實家庭責任醫師及照護責任，為全民健康保險法實施家庭責任醫師制度奠定基礎。現階段在執行上，有各院對診所家戶會員至醫院就醫或住院之狀況無法及時掌握、各衛生主管機關同步實施不同政策相互影響成效、電子轉診平台受理期限等限制，健保署允宜檢視改</w:t>
      </w:r>
      <w:r w:rsidRPr="00CA791F">
        <w:rPr>
          <w:rFonts w:hint="eastAsia"/>
        </w:rPr>
        <w:lastRenderedPageBreak/>
        <w:t>善，俾利計畫之持續推動</w:t>
      </w:r>
      <w:r w:rsidR="00151CA0" w:rsidRPr="00CA791F">
        <w:rPr>
          <w:rFonts w:hAnsi="標楷體" w:hint="eastAsia"/>
        </w:rPr>
        <w:t>。</w:t>
      </w:r>
    </w:p>
    <w:p w:rsidR="003A5927" w:rsidRPr="00BE562A" w:rsidRDefault="003A5927" w:rsidP="003A5927">
      <w:pPr>
        <w:pStyle w:val="32"/>
        <w:ind w:leftChars="0" w:left="0" w:firstLineChars="0" w:firstLine="0"/>
        <w:rPr>
          <w:rFonts w:hAnsi="標楷體"/>
        </w:rPr>
      </w:pPr>
    </w:p>
    <w:p w:rsidR="00E25849" w:rsidRPr="00BE562A" w:rsidRDefault="00E25849" w:rsidP="004E05A1">
      <w:pPr>
        <w:pStyle w:val="1"/>
        <w:ind w:left="2380" w:hanging="2380"/>
        <w:rPr>
          <w:rFonts w:hAnsi="標楷體"/>
        </w:rPr>
      </w:pPr>
      <w:bookmarkStart w:id="1" w:name="_Toc524895648"/>
      <w:bookmarkStart w:id="2" w:name="_Toc524896194"/>
      <w:bookmarkStart w:id="3" w:name="_Toc524896224"/>
      <w:bookmarkStart w:id="4" w:name="_Toc524902734"/>
      <w:bookmarkStart w:id="5" w:name="_Toc525066148"/>
      <w:bookmarkStart w:id="6" w:name="_Toc525070839"/>
      <w:bookmarkStart w:id="7" w:name="_Toc525938379"/>
      <w:bookmarkStart w:id="8" w:name="_Toc525939227"/>
      <w:bookmarkStart w:id="9" w:name="_Toc525939732"/>
      <w:bookmarkStart w:id="10" w:name="_Toc529218272"/>
      <w:bookmarkEnd w:id="0"/>
      <w:r w:rsidRPr="00BE562A">
        <w:rPr>
          <w:rFonts w:hAnsi="標楷體"/>
        </w:rPr>
        <w:br w:type="page"/>
      </w:r>
      <w:bookmarkStart w:id="11" w:name="_Toc529222689"/>
      <w:bookmarkStart w:id="12" w:name="_Toc529223111"/>
      <w:bookmarkStart w:id="13" w:name="_Toc529223862"/>
      <w:bookmarkStart w:id="14" w:name="_Toc529228265"/>
      <w:bookmarkStart w:id="15" w:name="_Toc2400395"/>
      <w:bookmarkStart w:id="16" w:name="_Toc4316189"/>
      <w:bookmarkStart w:id="17" w:name="_Toc4473330"/>
      <w:bookmarkStart w:id="18" w:name="_Toc69556897"/>
      <w:bookmarkStart w:id="19" w:name="_Toc69556946"/>
      <w:bookmarkStart w:id="20" w:name="_Toc69609820"/>
      <w:bookmarkStart w:id="21" w:name="_Toc70241816"/>
      <w:bookmarkStart w:id="22" w:name="_Toc70242205"/>
      <w:bookmarkStart w:id="23" w:name="_Toc421794875"/>
      <w:bookmarkStart w:id="24" w:name="_Toc422834160"/>
      <w:r w:rsidRPr="00BE562A">
        <w:rPr>
          <w:rFonts w:hAnsi="標楷體" w:hint="eastAsia"/>
        </w:rPr>
        <w:lastRenderedPageBreak/>
        <w:t>處理辦法：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25A11" w:rsidRPr="00BE562A">
        <w:rPr>
          <w:rFonts w:hAnsi="標楷體"/>
        </w:rPr>
        <w:t xml:space="preserve"> </w:t>
      </w:r>
    </w:p>
    <w:p w:rsidR="00E25849" w:rsidRPr="00BE562A" w:rsidRDefault="00FB7770" w:rsidP="00E62FE8">
      <w:pPr>
        <w:pStyle w:val="2"/>
        <w:spacing w:beforeLines="25" w:before="114"/>
        <w:ind w:left="1020" w:hanging="680"/>
        <w:rPr>
          <w:rFonts w:hAnsi="標楷體"/>
        </w:rPr>
      </w:pPr>
      <w:bookmarkStart w:id="25" w:name="_Toc524895649"/>
      <w:bookmarkStart w:id="26" w:name="_Toc524896195"/>
      <w:bookmarkStart w:id="27" w:name="_Toc524896225"/>
      <w:bookmarkStart w:id="28" w:name="_Toc70241820"/>
      <w:bookmarkStart w:id="29" w:name="_Toc70242209"/>
      <w:bookmarkStart w:id="30" w:name="_Toc421794876"/>
      <w:bookmarkStart w:id="31" w:name="_Toc421795442"/>
      <w:bookmarkStart w:id="32" w:name="_Toc421796023"/>
      <w:bookmarkStart w:id="33" w:name="_Toc422728958"/>
      <w:bookmarkStart w:id="34" w:name="_Toc422834161"/>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End w:id="25"/>
      <w:bookmarkEnd w:id="26"/>
      <w:bookmarkEnd w:id="27"/>
      <w:r w:rsidRPr="00BE562A">
        <w:rPr>
          <w:rFonts w:hAnsi="標楷體" w:hint="eastAsia"/>
        </w:rPr>
        <w:t>調查意見</w:t>
      </w:r>
      <w:r w:rsidR="00FF2722" w:rsidRPr="00BE562A">
        <w:rPr>
          <w:rFonts w:hAnsi="標楷體" w:hint="eastAsia"/>
        </w:rPr>
        <w:t>一</w:t>
      </w:r>
      <w:r w:rsidRPr="00BE562A">
        <w:rPr>
          <w:rFonts w:hAnsi="標楷體" w:hint="eastAsia"/>
        </w:rPr>
        <w:t>，</w:t>
      </w:r>
      <w:r w:rsidR="00FF2722" w:rsidRPr="00BE562A">
        <w:rPr>
          <w:rFonts w:hAnsi="標楷體" w:hint="eastAsia"/>
        </w:rPr>
        <w:t>函請衛福部</w:t>
      </w:r>
      <w:bookmarkStart w:id="54" w:name="_Toc421794877"/>
      <w:bookmarkStart w:id="55" w:name="_Toc421795443"/>
      <w:bookmarkStart w:id="56" w:name="_Toc421796024"/>
      <w:bookmarkStart w:id="57" w:name="_Toc422728959"/>
      <w:bookmarkStart w:id="58" w:name="_Toc422834162"/>
      <w:bookmarkEnd w:id="28"/>
      <w:bookmarkEnd w:id="29"/>
      <w:bookmarkEnd w:id="30"/>
      <w:bookmarkEnd w:id="31"/>
      <w:bookmarkEnd w:id="32"/>
      <w:bookmarkEnd w:id="33"/>
      <w:bookmarkEnd w:id="34"/>
      <w:r w:rsidR="00E25849" w:rsidRPr="00BE562A">
        <w:rPr>
          <w:rFonts w:hAnsi="標楷體" w:hint="eastAsia"/>
        </w:rPr>
        <w:t>檢討改進見復。</w:t>
      </w:r>
      <w:bookmarkEnd w:id="35"/>
      <w:bookmarkEnd w:id="36"/>
      <w:bookmarkEnd w:id="37"/>
      <w:bookmarkEnd w:id="38"/>
      <w:bookmarkEnd w:id="39"/>
      <w:bookmarkEnd w:id="40"/>
      <w:bookmarkEnd w:id="41"/>
      <w:bookmarkEnd w:id="42"/>
      <w:bookmarkEnd w:id="54"/>
      <w:bookmarkEnd w:id="55"/>
      <w:bookmarkEnd w:id="56"/>
      <w:bookmarkEnd w:id="57"/>
      <w:bookmarkEnd w:id="58"/>
    </w:p>
    <w:p w:rsidR="00560DDA" w:rsidRPr="00BE562A" w:rsidRDefault="00560DDA" w:rsidP="00560DDA">
      <w:pPr>
        <w:pStyle w:val="2"/>
        <w:rPr>
          <w:rFonts w:hAnsi="標楷體"/>
        </w:rPr>
      </w:pPr>
      <w:bookmarkStart w:id="59" w:name="_Toc70241819"/>
      <w:bookmarkStart w:id="60" w:name="_Toc70242208"/>
      <w:bookmarkStart w:id="61" w:name="_Toc421794878"/>
      <w:bookmarkStart w:id="62" w:name="_Toc421795444"/>
      <w:bookmarkStart w:id="63" w:name="_Toc421796025"/>
      <w:bookmarkStart w:id="64" w:name="_Toc422728960"/>
      <w:bookmarkStart w:id="65" w:name="_Toc422834163"/>
      <w:bookmarkStart w:id="66" w:name="_Toc70241818"/>
      <w:bookmarkStart w:id="67" w:name="_Toc70242207"/>
      <w:r w:rsidRPr="00BE562A">
        <w:rPr>
          <w:rFonts w:hAnsi="標楷體" w:hint="eastAsia"/>
        </w:rPr>
        <w:t>調查意見</w:t>
      </w:r>
      <w:r w:rsidR="00FF2722" w:rsidRPr="00BE562A">
        <w:rPr>
          <w:rFonts w:hAnsi="標楷體" w:hint="eastAsia"/>
        </w:rPr>
        <w:t>二及三</w:t>
      </w:r>
      <w:r w:rsidRPr="00BE562A">
        <w:rPr>
          <w:rFonts w:hAnsi="標楷體" w:hint="eastAsia"/>
        </w:rPr>
        <w:t>，函</w:t>
      </w:r>
      <w:r w:rsidR="00FF2722" w:rsidRPr="00BE562A">
        <w:rPr>
          <w:rFonts w:hAnsi="標楷體" w:hint="eastAsia"/>
        </w:rPr>
        <w:t>請健保署</w:t>
      </w:r>
      <w:r w:rsidR="005A42EB" w:rsidRPr="00BE562A">
        <w:rPr>
          <w:rFonts w:hAnsi="標楷體" w:hint="eastAsia"/>
        </w:rPr>
        <w:t>檢討改進</w:t>
      </w:r>
      <w:r w:rsidR="00FF2722" w:rsidRPr="00BE562A">
        <w:rPr>
          <w:rFonts w:hAnsi="標楷體" w:hint="eastAsia"/>
        </w:rPr>
        <w:t>見</w:t>
      </w:r>
      <w:r w:rsidRPr="00BE562A">
        <w:rPr>
          <w:rFonts w:hAnsi="標楷體" w:hint="eastAsia"/>
        </w:rPr>
        <w:t>復。</w:t>
      </w:r>
      <w:bookmarkEnd w:id="59"/>
      <w:bookmarkEnd w:id="60"/>
      <w:bookmarkEnd w:id="61"/>
      <w:bookmarkEnd w:id="62"/>
      <w:bookmarkEnd w:id="63"/>
      <w:bookmarkEnd w:id="64"/>
      <w:bookmarkEnd w:id="65"/>
    </w:p>
    <w:p w:rsidR="00843D0F" w:rsidRPr="00BE562A" w:rsidRDefault="00560DDA" w:rsidP="005E455D">
      <w:pPr>
        <w:pStyle w:val="2"/>
        <w:rPr>
          <w:rFonts w:hAnsi="標楷體"/>
        </w:rPr>
      </w:pPr>
      <w:bookmarkStart w:id="68" w:name="_Toc69556900"/>
      <w:bookmarkStart w:id="69" w:name="_Toc69556949"/>
      <w:bookmarkStart w:id="70" w:name="_Toc69609823"/>
      <w:bookmarkStart w:id="71" w:name="_Toc70241821"/>
      <w:bookmarkStart w:id="72" w:name="_Toc70242210"/>
      <w:bookmarkStart w:id="73" w:name="_Toc421794880"/>
      <w:bookmarkStart w:id="74" w:name="_Toc421795446"/>
      <w:bookmarkStart w:id="75" w:name="_Toc421796027"/>
      <w:bookmarkStart w:id="76" w:name="_Toc422728962"/>
      <w:bookmarkStart w:id="77" w:name="_Toc422834165"/>
      <w:bookmarkEnd w:id="66"/>
      <w:bookmarkEnd w:id="67"/>
      <w:r w:rsidRPr="00BE562A">
        <w:rPr>
          <w:rFonts w:hAnsi="標楷體" w:hint="eastAsia"/>
        </w:rPr>
        <w:t>調查意見，函請審計部</w:t>
      </w:r>
      <w:r w:rsidR="005E455D" w:rsidRPr="00BE562A">
        <w:rPr>
          <w:rFonts w:hAnsi="標楷體" w:hint="eastAsia"/>
        </w:rPr>
        <w:t>參考</w:t>
      </w:r>
      <w:r w:rsidRPr="00BE562A">
        <w:rPr>
          <w:rFonts w:hAnsi="標楷體" w:hint="eastAsia"/>
        </w:rPr>
        <w:t>。</w:t>
      </w:r>
      <w:bookmarkStart w:id="78" w:name="_Toc69556899"/>
      <w:bookmarkStart w:id="79" w:name="_Toc69556948"/>
      <w:bookmarkStart w:id="80" w:name="_Toc69609822"/>
      <w:bookmarkEnd w:id="68"/>
      <w:bookmarkEnd w:id="69"/>
      <w:bookmarkEnd w:id="70"/>
      <w:bookmarkEnd w:id="71"/>
      <w:bookmarkEnd w:id="72"/>
      <w:bookmarkEnd w:id="73"/>
      <w:bookmarkEnd w:id="74"/>
      <w:bookmarkEnd w:id="75"/>
      <w:bookmarkEnd w:id="76"/>
      <w:bookmarkEnd w:id="77"/>
    </w:p>
    <w:p w:rsidR="00E25849" w:rsidRPr="00BE562A" w:rsidRDefault="00E25849">
      <w:pPr>
        <w:pStyle w:val="2"/>
        <w:rPr>
          <w:rFonts w:hAnsi="標楷體"/>
        </w:rPr>
      </w:pPr>
      <w:bookmarkStart w:id="81" w:name="_Toc2400397"/>
      <w:bookmarkStart w:id="82" w:name="_Toc4316191"/>
      <w:bookmarkStart w:id="83" w:name="_Toc4473332"/>
      <w:bookmarkStart w:id="84" w:name="_Toc69556901"/>
      <w:bookmarkStart w:id="85" w:name="_Toc69556950"/>
      <w:bookmarkStart w:id="86" w:name="_Toc69609824"/>
      <w:bookmarkStart w:id="87" w:name="_Toc70241822"/>
      <w:bookmarkStart w:id="88" w:name="_Toc70242211"/>
      <w:bookmarkStart w:id="89" w:name="_Toc421794881"/>
      <w:bookmarkStart w:id="90" w:name="_Toc421795447"/>
      <w:bookmarkStart w:id="91" w:name="_Toc421796028"/>
      <w:bookmarkStart w:id="92" w:name="_Toc422728963"/>
      <w:bookmarkStart w:id="93" w:name="_Toc422834166"/>
      <w:bookmarkEnd w:id="43"/>
      <w:bookmarkEnd w:id="44"/>
      <w:bookmarkEnd w:id="45"/>
      <w:bookmarkEnd w:id="46"/>
      <w:bookmarkEnd w:id="47"/>
      <w:bookmarkEnd w:id="48"/>
      <w:bookmarkEnd w:id="49"/>
      <w:bookmarkEnd w:id="50"/>
      <w:bookmarkEnd w:id="51"/>
      <w:bookmarkEnd w:id="52"/>
      <w:bookmarkEnd w:id="53"/>
      <w:bookmarkEnd w:id="78"/>
      <w:bookmarkEnd w:id="79"/>
      <w:bookmarkEnd w:id="80"/>
      <w:r w:rsidRPr="00BE562A">
        <w:rPr>
          <w:rFonts w:hAnsi="標楷體" w:hint="eastAsia"/>
        </w:rPr>
        <w:t>檢附派查函及相關附件，送請</w:t>
      </w:r>
      <w:r w:rsidR="005E455D" w:rsidRPr="00BE562A">
        <w:rPr>
          <w:rFonts w:hAnsi="標楷體" w:hint="eastAsia"/>
        </w:rPr>
        <w:t>內政</w:t>
      </w:r>
      <w:r w:rsidRPr="00BE562A">
        <w:rPr>
          <w:rFonts w:hAnsi="標楷體" w:hint="eastAsia"/>
        </w:rPr>
        <w:t>及</w:t>
      </w:r>
      <w:r w:rsidR="005E455D" w:rsidRPr="00BE562A">
        <w:rPr>
          <w:rFonts w:hAnsi="標楷體" w:hint="eastAsia"/>
        </w:rPr>
        <w:t>族群</w:t>
      </w:r>
      <w:r w:rsidRPr="00BE562A">
        <w:rPr>
          <w:rFonts w:hAnsi="標楷體" w:hint="eastAsia"/>
        </w:rPr>
        <w:t>委員會處理。</w:t>
      </w:r>
      <w:bookmarkEnd w:id="81"/>
      <w:bookmarkEnd w:id="82"/>
      <w:bookmarkEnd w:id="83"/>
      <w:bookmarkEnd w:id="84"/>
      <w:bookmarkEnd w:id="85"/>
      <w:bookmarkEnd w:id="86"/>
      <w:bookmarkEnd w:id="87"/>
      <w:bookmarkEnd w:id="88"/>
      <w:bookmarkEnd w:id="89"/>
      <w:bookmarkEnd w:id="90"/>
      <w:bookmarkEnd w:id="91"/>
      <w:bookmarkEnd w:id="92"/>
      <w:bookmarkEnd w:id="93"/>
    </w:p>
    <w:p w:rsidR="00D54C85" w:rsidRDefault="00D54C85" w:rsidP="00D54C85">
      <w:pPr>
        <w:pStyle w:val="aa"/>
        <w:spacing w:beforeLines="50" w:before="228" w:afterLines="100" w:after="457"/>
        <w:ind w:left="0"/>
        <w:rPr>
          <w:rFonts w:hAnsi="標楷體"/>
          <w:b w:val="0"/>
          <w:bCs/>
          <w:snapToGrid/>
          <w:spacing w:val="12"/>
          <w:kern w:val="0"/>
          <w:sz w:val="40"/>
        </w:rPr>
      </w:pPr>
    </w:p>
    <w:p w:rsidR="00D54C85" w:rsidRDefault="00D54C85" w:rsidP="00D54C85">
      <w:pPr>
        <w:pStyle w:val="aa"/>
        <w:spacing w:beforeLines="50" w:before="228" w:afterLines="100" w:after="457"/>
        <w:ind w:left="0"/>
        <w:rPr>
          <w:rFonts w:hAnsi="標楷體"/>
          <w:b w:val="0"/>
          <w:bCs/>
          <w:snapToGrid/>
          <w:spacing w:val="12"/>
          <w:kern w:val="0"/>
          <w:sz w:val="40"/>
        </w:rPr>
      </w:pPr>
    </w:p>
    <w:p w:rsidR="00D54C85" w:rsidRDefault="00D54C85" w:rsidP="00D54C85">
      <w:pPr>
        <w:pStyle w:val="aa"/>
        <w:spacing w:beforeLines="50" w:before="228" w:afterLines="100" w:after="457"/>
        <w:ind w:left="0"/>
        <w:rPr>
          <w:rFonts w:hAnsi="標楷體"/>
          <w:b w:val="0"/>
          <w:bCs/>
          <w:snapToGrid/>
          <w:spacing w:val="12"/>
          <w:kern w:val="0"/>
          <w:sz w:val="40"/>
        </w:rPr>
      </w:pPr>
    </w:p>
    <w:p w:rsidR="00E25849" w:rsidRPr="00BE562A" w:rsidRDefault="00D54C85" w:rsidP="00D54C85">
      <w:pPr>
        <w:pStyle w:val="aa"/>
        <w:spacing w:beforeLines="50" w:before="228"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00E25849" w:rsidRPr="00BE562A">
        <w:rPr>
          <w:rFonts w:hAnsi="標楷體" w:hint="eastAsia"/>
          <w:b w:val="0"/>
          <w:bCs/>
          <w:snapToGrid/>
          <w:spacing w:val="12"/>
          <w:kern w:val="0"/>
          <w:sz w:val="40"/>
        </w:rPr>
        <w:t>調查委員：</w:t>
      </w:r>
      <w:r w:rsidR="00D33BD7">
        <w:rPr>
          <w:rFonts w:hAnsi="標楷體" w:hint="eastAsia"/>
          <w:b w:val="0"/>
          <w:bCs/>
          <w:snapToGrid/>
          <w:spacing w:val="12"/>
          <w:kern w:val="0"/>
          <w:sz w:val="40"/>
        </w:rPr>
        <w:t>尹祚芊、蔡培村、張武修</w:t>
      </w:r>
    </w:p>
    <w:p w:rsidR="00770453" w:rsidRPr="00BE562A" w:rsidRDefault="00770453" w:rsidP="00770453">
      <w:pPr>
        <w:pStyle w:val="aa"/>
        <w:spacing w:before="0" w:after="0"/>
        <w:ind w:leftChars="1100" w:left="3742"/>
        <w:rPr>
          <w:rFonts w:hAnsi="標楷體"/>
          <w:b w:val="0"/>
          <w:bCs/>
          <w:snapToGrid/>
          <w:spacing w:val="0"/>
          <w:kern w:val="0"/>
          <w:sz w:val="40"/>
        </w:rPr>
      </w:pPr>
    </w:p>
    <w:p w:rsidR="0088410D" w:rsidRPr="00BE562A" w:rsidRDefault="0088410D" w:rsidP="00770453">
      <w:pPr>
        <w:pStyle w:val="aa"/>
        <w:spacing w:before="0" w:after="0"/>
        <w:ind w:leftChars="1100" w:left="3742"/>
        <w:rPr>
          <w:rFonts w:hAnsi="標楷體"/>
          <w:b w:val="0"/>
          <w:bCs/>
          <w:snapToGrid/>
          <w:spacing w:val="0"/>
          <w:kern w:val="0"/>
          <w:sz w:val="40"/>
        </w:rPr>
      </w:pPr>
    </w:p>
    <w:p w:rsidR="0088410D" w:rsidRPr="00BE562A" w:rsidRDefault="0088410D" w:rsidP="00770453">
      <w:pPr>
        <w:pStyle w:val="aa"/>
        <w:spacing w:before="0" w:after="0"/>
        <w:ind w:leftChars="1100" w:left="3742"/>
        <w:rPr>
          <w:rFonts w:hAnsi="標楷體"/>
          <w:b w:val="0"/>
          <w:bCs/>
          <w:snapToGrid/>
          <w:spacing w:val="0"/>
          <w:kern w:val="0"/>
          <w:sz w:val="40"/>
        </w:rPr>
      </w:pPr>
    </w:p>
    <w:p w:rsidR="0088410D" w:rsidRPr="00BE562A" w:rsidRDefault="0088410D" w:rsidP="00770453">
      <w:pPr>
        <w:pStyle w:val="aa"/>
        <w:spacing w:before="0" w:after="0"/>
        <w:ind w:leftChars="1100" w:left="3742"/>
        <w:rPr>
          <w:rFonts w:hAnsi="標楷體"/>
          <w:b w:val="0"/>
          <w:bCs/>
          <w:snapToGrid/>
          <w:spacing w:val="0"/>
          <w:kern w:val="0"/>
          <w:sz w:val="40"/>
        </w:rPr>
      </w:pPr>
    </w:p>
    <w:p w:rsidR="0088410D" w:rsidRPr="00BE562A" w:rsidRDefault="0088410D" w:rsidP="00770453">
      <w:pPr>
        <w:pStyle w:val="aa"/>
        <w:spacing w:before="0" w:after="0"/>
        <w:ind w:leftChars="1100" w:left="3742"/>
        <w:rPr>
          <w:rFonts w:hAnsi="標楷體"/>
          <w:b w:val="0"/>
          <w:bCs/>
          <w:snapToGrid/>
          <w:spacing w:val="0"/>
          <w:kern w:val="0"/>
          <w:sz w:val="40"/>
        </w:rPr>
      </w:pPr>
    </w:p>
    <w:p w:rsidR="00D475F0" w:rsidRPr="00BE562A" w:rsidRDefault="00D475F0" w:rsidP="00770453">
      <w:pPr>
        <w:pStyle w:val="aa"/>
        <w:spacing w:before="0" w:after="0"/>
        <w:ind w:leftChars="1100" w:left="3742"/>
        <w:rPr>
          <w:rFonts w:hAnsi="標楷體"/>
          <w:b w:val="0"/>
          <w:bCs/>
          <w:snapToGrid/>
          <w:spacing w:val="0"/>
          <w:kern w:val="0"/>
          <w:sz w:val="40"/>
        </w:rPr>
      </w:pPr>
    </w:p>
    <w:p w:rsidR="00D475F0" w:rsidRPr="00BE562A" w:rsidRDefault="00D475F0" w:rsidP="00770453">
      <w:pPr>
        <w:pStyle w:val="aa"/>
        <w:spacing w:before="0" w:after="0"/>
        <w:ind w:leftChars="1100" w:left="3742"/>
        <w:rPr>
          <w:rFonts w:hAnsi="標楷體"/>
          <w:b w:val="0"/>
          <w:bCs/>
          <w:snapToGrid/>
          <w:spacing w:val="0"/>
          <w:kern w:val="0"/>
          <w:sz w:val="40"/>
        </w:rPr>
      </w:pPr>
      <w:bookmarkStart w:id="94" w:name="_GoBack"/>
      <w:bookmarkEnd w:id="94"/>
    </w:p>
    <w:sectPr w:rsidR="00D475F0" w:rsidRPr="00BE562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599" w:rsidRDefault="00406599">
      <w:r>
        <w:separator/>
      </w:r>
    </w:p>
  </w:endnote>
  <w:endnote w:type="continuationSeparator" w:id="0">
    <w:p w:rsidR="00406599" w:rsidRDefault="0040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85" w:rsidRDefault="00D54C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33BD7">
      <w:rPr>
        <w:rStyle w:val="ac"/>
        <w:noProof/>
        <w:sz w:val="24"/>
      </w:rPr>
      <w:t>24</w:t>
    </w:r>
    <w:r>
      <w:rPr>
        <w:rStyle w:val="ac"/>
        <w:sz w:val="24"/>
      </w:rPr>
      <w:fldChar w:fldCharType="end"/>
    </w:r>
  </w:p>
  <w:p w:rsidR="00D54C85" w:rsidRDefault="00D54C8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599" w:rsidRDefault="00406599">
      <w:r>
        <w:separator/>
      </w:r>
    </w:p>
  </w:footnote>
  <w:footnote w:type="continuationSeparator" w:id="0">
    <w:p w:rsidR="00406599" w:rsidRDefault="00406599">
      <w:r>
        <w:continuationSeparator/>
      </w:r>
    </w:p>
  </w:footnote>
  <w:footnote w:id="1">
    <w:p w:rsidR="00D54C85" w:rsidRPr="00905446" w:rsidRDefault="00D54C85" w:rsidP="007D66F7">
      <w:pPr>
        <w:pStyle w:val="afd"/>
        <w:wordWrap w:val="0"/>
        <w:spacing w:line="220" w:lineRule="exact"/>
        <w:ind w:left="264" w:hangingChars="120" w:hanging="264"/>
        <w:rPr>
          <w:rFonts w:ascii="標楷體" w:hAnsi="標楷體"/>
        </w:rPr>
      </w:pPr>
      <w:r w:rsidRPr="00905446">
        <w:rPr>
          <w:rStyle w:val="aff"/>
          <w:rFonts w:ascii="標楷體" w:hAnsi="標楷體"/>
        </w:rPr>
        <w:footnoteRef/>
      </w:r>
      <w:r w:rsidRPr="00905446">
        <w:rPr>
          <w:rFonts w:ascii="標楷體" w:hAnsi="標楷體"/>
        </w:rPr>
        <w:t xml:space="preserve"> </w:t>
      </w:r>
      <w:r w:rsidRPr="00905446">
        <w:rPr>
          <w:rFonts w:ascii="標楷體" w:hAnsi="標楷體" w:hint="eastAsia"/>
        </w:rPr>
        <w:t>「相同健保費 看病命運大不同  地圖看台灣醫療資源」</w:t>
      </w:r>
      <w:hyperlink r:id="rId1" w:history="1">
        <w:r w:rsidRPr="00905446">
          <w:rPr>
            <w:rFonts w:ascii="標楷體" w:hAnsi="標楷體"/>
          </w:rPr>
          <w:t>https://udn.com/upf/newmedia/2018_data/rural_medical/</w:t>
        </w:r>
      </w:hyperlink>
      <w:r w:rsidRPr="00905446">
        <w:rPr>
          <w:rFonts w:ascii="標楷體" w:hAnsi="標楷體" w:hint="eastAsia"/>
        </w:rPr>
        <w:t>(擷取時間:2020/4/19 16:42)</w:t>
      </w:r>
    </w:p>
  </w:footnote>
  <w:footnote w:id="2">
    <w:p w:rsidR="00D54C85" w:rsidRPr="00905446" w:rsidRDefault="00D54C85" w:rsidP="007D66F7">
      <w:pPr>
        <w:pStyle w:val="afd"/>
        <w:wordWrap w:val="0"/>
        <w:spacing w:line="220" w:lineRule="exact"/>
        <w:rPr>
          <w:rFonts w:ascii="標楷體" w:hAnsi="標楷體"/>
        </w:rPr>
      </w:pPr>
      <w:r w:rsidRPr="00905446">
        <w:rPr>
          <w:rStyle w:val="aff"/>
          <w:rFonts w:ascii="標楷體" w:hAnsi="標楷體"/>
        </w:rPr>
        <w:footnoteRef/>
      </w:r>
      <w:r w:rsidRPr="00905446">
        <w:rPr>
          <w:rFonts w:ascii="標楷體" w:hAnsi="標楷體"/>
        </w:rPr>
        <w:t xml:space="preserve"> </w:t>
      </w:r>
      <w:r w:rsidRPr="00905446">
        <w:rPr>
          <w:rFonts w:ascii="標楷體" w:hAnsi="標楷體" w:hint="eastAsia"/>
        </w:rPr>
        <w:t>衛福部第八期醫療網，</w:t>
      </w:r>
      <w:r w:rsidRPr="00905446">
        <w:rPr>
          <w:rFonts w:ascii="標楷體" w:hAnsi="標楷體" w:hint="eastAsia"/>
          <w:lang w:eastAsia="zh-HK"/>
        </w:rPr>
        <w:t>第</w:t>
      </w:r>
      <w:r w:rsidRPr="00905446">
        <w:rPr>
          <w:rFonts w:ascii="標楷體" w:hAnsi="標楷體" w:hint="eastAsia"/>
        </w:rPr>
        <w:t>44</w:t>
      </w:r>
      <w:r w:rsidRPr="00905446">
        <w:rPr>
          <w:rFonts w:ascii="標楷體" w:hAnsi="標楷體" w:hint="eastAsia"/>
          <w:lang w:eastAsia="zh-HK"/>
        </w:rPr>
        <w:t>頁</w:t>
      </w:r>
      <w:r w:rsidRPr="00905446">
        <w:rPr>
          <w:rFonts w:ascii="標楷體" w:hAnsi="標楷體" w:hint="eastAsia"/>
        </w:rPr>
        <w:t>。</w:t>
      </w:r>
    </w:p>
  </w:footnote>
  <w:footnote w:id="3">
    <w:p w:rsidR="00D54C85" w:rsidRPr="00905446" w:rsidRDefault="00D54C85" w:rsidP="007D66F7">
      <w:pPr>
        <w:pStyle w:val="afd"/>
        <w:wordWrap w:val="0"/>
        <w:spacing w:line="220" w:lineRule="exact"/>
        <w:ind w:left="253" w:hangingChars="115" w:hanging="253"/>
        <w:jc w:val="both"/>
        <w:rPr>
          <w:rFonts w:ascii="標楷體" w:hAnsi="標楷體"/>
        </w:rPr>
      </w:pPr>
      <w:r w:rsidRPr="00905446">
        <w:rPr>
          <w:rStyle w:val="aff"/>
          <w:rFonts w:ascii="標楷體" w:hAnsi="標楷體"/>
        </w:rPr>
        <w:footnoteRef/>
      </w:r>
      <w:r w:rsidRPr="00905446">
        <w:rPr>
          <w:rFonts w:ascii="標楷體" w:hAnsi="標楷體"/>
        </w:rPr>
        <w:t xml:space="preserve"> 106</w:t>
      </w:r>
      <w:r w:rsidRPr="00905446">
        <w:rPr>
          <w:rFonts w:ascii="標楷體" w:hAnsi="標楷體" w:hint="eastAsia"/>
        </w:rPr>
        <w:t>年度為「衛生福利部所屬醫療機構長期醫療支援補助原則」。</w:t>
      </w:r>
    </w:p>
  </w:footnote>
  <w:footnote w:id="4">
    <w:p w:rsidR="00D54C85" w:rsidRPr="00905446" w:rsidRDefault="00D54C85" w:rsidP="007D66F7">
      <w:pPr>
        <w:pStyle w:val="afd"/>
        <w:wordWrap w:val="0"/>
        <w:spacing w:line="220" w:lineRule="exact"/>
        <w:ind w:left="253" w:hangingChars="115" w:hanging="253"/>
        <w:jc w:val="both"/>
        <w:rPr>
          <w:rFonts w:ascii="標楷體" w:hAnsi="標楷體"/>
        </w:rPr>
      </w:pPr>
      <w:r w:rsidRPr="00905446">
        <w:rPr>
          <w:rStyle w:val="aff"/>
          <w:rFonts w:ascii="標楷體" w:hAnsi="標楷體"/>
        </w:rPr>
        <w:footnoteRef/>
      </w:r>
      <w:r w:rsidRPr="00905446">
        <w:rPr>
          <w:rFonts w:ascii="標楷體" w:hAnsi="標楷體"/>
        </w:rPr>
        <w:t xml:space="preserve"> 106</w:t>
      </w:r>
      <w:r w:rsidRPr="00905446">
        <w:rPr>
          <w:rFonts w:ascii="標楷體" w:hAnsi="標楷體" w:hint="eastAsia"/>
        </w:rPr>
        <w:t>年度為「衛生福利部所屬偏遠地區醫院充實醫師人力計畫」。</w:t>
      </w:r>
    </w:p>
  </w:footnote>
  <w:footnote w:id="5">
    <w:p w:rsidR="00D54C85" w:rsidRPr="00905446" w:rsidRDefault="00D54C85" w:rsidP="007D66F7">
      <w:pPr>
        <w:pStyle w:val="afd"/>
        <w:wordWrap w:val="0"/>
        <w:spacing w:line="220" w:lineRule="exact"/>
        <w:ind w:left="253" w:hangingChars="115" w:hanging="253"/>
        <w:jc w:val="both"/>
        <w:rPr>
          <w:rFonts w:ascii="標楷體" w:hAnsi="標楷體"/>
        </w:rPr>
      </w:pPr>
      <w:r w:rsidRPr="00905446">
        <w:rPr>
          <w:rStyle w:val="aff"/>
          <w:rFonts w:ascii="標楷體" w:hAnsi="標楷體"/>
        </w:rPr>
        <w:footnoteRef/>
      </w:r>
      <w:r w:rsidRPr="00905446">
        <w:rPr>
          <w:rFonts w:ascii="標楷體" w:hAnsi="標楷體"/>
        </w:rPr>
        <w:t xml:space="preserve"> </w:t>
      </w:r>
      <w:r w:rsidRPr="00905446">
        <w:rPr>
          <w:rFonts w:ascii="標楷體" w:hAnsi="標楷體" w:hint="eastAsia"/>
        </w:rPr>
        <w:t>收案人數之取得權限在於社醫群及健保署，</w:t>
      </w:r>
      <w:r w:rsidRPr="00905446">
        <w:rPr>
          <w:rFonts w:ascii="標楷體" w:hAnsi="標楷體" w:hint="eastAsia"/>
          <w:lang w:eastAsia="zh-HK"/>
        </w:rPr>
        <w:t>衛福部桃園醫</w:t>
      </w:r>
      <w:r w:rsidRPr="00905446">
        <w:rPr>
          <w:rFonts w:ascii="標楷體" w:hAnsi="標楷體" w:hint="eastAsia"/>
        </w:rPr>
        <w:t>院無法取</w:t>
      </w:r>
      <w:r w:rsidRPr="00905446">
        <w:rPr>
          <w:rFonts w:ascii="標楷體" w:hAnsi="標楷體" w:hint="eastAsia"/>
          <w:lang w:eastAsia="zh-HK"/>
        </w:rPr>
        <w:t>得</w:t>
      </w:r>
      <w:r w:rsidRPr="00905446">
        <w:rPr>
          <w:rFonts w:ascii="標楷體" w:hAnsi="標楷體" w:hint="eastAsia"/>
        </w:rPr>
        <w:t>，故建議：健保署應開放相關線上平台權限給特約醫院</w:t>
      </w:r>
      <w:r w:rsidRPr="00905446">
        <w:rPr>
          <w:rFonts w:ascii="標楷體" w:hAnsi="標楷體"/>
        </w:rPr>
        <w:t>(</w:t>
      </w:r>
      <w:r w:rsidRPr="00905446">
        <w:rPr>
          <w:rFonts w:ascii="標楷體" w:hAnsi="標楷體" w:hint="eastAsia"/>
        </w:rPr>
        <w:t>計畫中配合診所上下轉診醫院</w:t>
      </w:r>
      <w:r w:rsidRPr="00905446">
        <w:rPr>
          <w:rFonts w:ascii="標楷體" w:hAnsi="標楷體"/>
        </w:rPr>
        <w:t>)</w:t>
      </w:r>
      <w:r w:rsidRPr="00905446">
        <w:rPr>
          <w:rFonts w:ascii="標楷體" w:hAnsi="標楷體" w:hint="eastAsia"/>
        </w:rPr>
        <w:t>。</w:t>
      </w:r>
    </w:p>
  </w:footnote>
  <w:footnote w:id="6">
    <w:p w:rsidR="00D54C85" w:rsidRPr="00905446" w:rsidRDefault="00D54C85" w:rsidP="007D66F7">
      <w:pPr>
        <w:pStyle w:val="afd"/>
        <w:wordWrap w:val="0"/>
        <w:spacing w:line="220" w:lineRule="exact"/>
        <w:ind w:left="253" w:hangingChars="115" w:hanging="253"/>
        <w:rPr>
          <w:rFonts w:ascii="標楷體" w:hAnsi="標楷體"/>
        </w:rPr>
      </w:pPr>
      <w:r w:rsidRPr="00905446">
        <w:rPr>
          <w:rStyle w:val="aff"/>
          <w:rFonts w:ascii="標楷體" w:hAnsi="標楷體"/>
        </w:rPr>
        <w:footnoteRef/>
      </w:r>
      <w:r w:rsidRPr="00905446">
        <w:rPr>
          <w:rFonts w:ascii="標楷體" w:hAnsi="標楷體"/>
        </w:rPr>
        <w:t xml:space="preserve"> 108</w:t>
      </w:r>
      <w:r w:rsidRPr="00905446">
        <w:rPr>
          <w:rFonts w:ascii="標楷體" w:hAnsi="標楷體" w:hint="eastAsia"/>
        </w:rPr>
        <w:t>年人數僅統計至</w:t>
      </w:r>
      <w:r w:rsidRPr="00905446">
        <w:rPr>
          <w:rFonts w:ascii="標楷體" w:hAnsi="標楷體"/>
        </w:rPr>
        <w:t>9</w:t>
      </w:r>
      <w:r w:rsidRPr="00905446">
        <w:rPr>
          <w:rFonts w:ascii="標楷體" w:hAnsi="標楷體" w:hint="eastAsia"/>
        </w:rPr>
        <w:t>月底。</w:t>
      </w:r>
    </w:p>
  </w:footnote>
  <w:footnote w:id="7">
    <w:p w:rsidR="00D54C85" w:rsidRPr="00905446" w:rsidRDefault="00D54C85" w:rsidP="007D66F7">
      <w:pPr>
        <w:pStyle w:val="afd"/>
        <w:wordWrap w:val="0"/>
        <w:spacing w:line="220" w:lineRule="exact"/>
        <w:ind w:left="253" w:hangingChars="115" w:hanging="253"/>
        <w:rPr>
          <w:rFonts w:ascii="標楷體" w:hAnsi="標楷體"/>
        </w:rPr>
      </w:pPr>
      <w:r w:rsidRPr="00905446">
        <w:rPr>
          <w:rStyle w:val="aff"/>
          <w:rFonts w:ascii="標楷體" w:hAnsi="標楷體"/>
        </w:rPr>
        <w:footnoteRef/>
      </w:r>
      <w:r w:rsidRPr="00905446">
        <w:rPr>
          <w:rFonts w:ascii="標楷體" w:hAnsi="標楷體"/>
        </w:rPr>
        <w:t xml:space="preserve"> 108</w:t>
      </w:r>
      <w:r w:rsidRPr="00905446">
        <w:rPr>
          <w:rFonts w:ascii="標楷體" w:hAnsi="標楷體" w:hint="eastAsia"/>
        </w:rPr>
        <w:t>年人數僅統計至</w:t>
      </w:r>
      <w:r w:rsidRPr="00905446">
        <w:rPr>
          <w:rFonts w:ascii="標楷體" w:hAnsi="標楷體"/>
        </w:rPr>
        <w:t>9</w:t>
      </w:r>
      <w:r w:rsidRPr="00905446">
        <w:rPr>
          <w:rFonts w:ascii="標楷體" w:hAnsi="標楷體" w:hint="eastAsia"/>
        </w:rPr>
        <w:t>月底。</w:t>
      </w:r>
    </w:p>
  </w:footnote>
  <w:footnote w:id="8">
    <w:p w:rsidR="00D54C85" w:rsidRPr="00905446" w:rsidRDefault="00D54C85" w:rsidP="007D66F7">
      <w:pPr>
        <w:pStyle w:val="afd"/>
        <w:wordWrap w:val="0"/>
        <w:spacing w:line="220" w:lineRule="exact"/>
        <w:rPr>
          <w:rFonts w:ascii="標楷體" w:hAnsi="標楷體"/>
        </w:rPr>
      </w:pPr>
      <w:r w:rsidRPr="00905446">
        <w:rPr>
          <w:rStyle w:val="aff"/>
          <w:rFonts w:ascii="標楷體" w:hAnsi="標楷體"/>
        </w:rPr>
        <w:footnoteRef/>
      </w:r>
      <w:r w:rsidRPr="00905446">
        <w:rPr>
          <w:rFonts w:ascii="標楷體" w:hAnsi="標楷體"/>
        </w:rPr>
        <w:t xml:space="preserve"> </w:t>
      </w:r>
      <w:r w:rsidRPr="00905446">
        <w:rPr>
          <w:rFonts w:ascii="標楷體" w:hAnsi="標楷體" w:hint="eastAsia"/>
        </w:rPr>
        <w:t>衛福部第八期醫療網，</w:t>
      </w:r>
      <w:r w:rsidRPr="00905446">
        <w:rPr>
          <w:rFonts w:ascii="標楷體" w:hAnsi="標楷體" w:hint="eastAsia"/>
          <w:lang w:eastAsia="zh-HK"/>
        </w:rPr>
        <w:t>第</w:t>
      </w:r>
      <w:r w:rsidRPr="00905446">
        <w:rPr>
          <w:rFonts w:ascii="標楷體" w:hAnsi="標楷體"/>
        </w:rPr>
        <w:t>94</w:t>
      </w:r>
      <w:r w:rsidRPr="00905446">
        <w:rPr>
          <w:rFonts w:ascii="標楷體" w:hAnsi="標楷體" w:hint="eastAsia"/>
          <w:lang w:eastAsia="zh-HK"/>
        </w:rPr>
        <w:t>頁</w:t>
      </w:r>
      <w:r w:rsidRPr="00905446">
        <w:rPr>
          <w:rFonts w:ascii="標楷體" w:hAnsi="標楷體" w:hint="eastAsia"/>
        </w:rPr>
        <w:t>。</w:t>
      </w:r>
    </w:p>
  </w:footnote>
  <w:footnote w:id="9">
    <w:p w:rsidR="00D54C85" w:rsidRPr="00905446" w:rsidRDefault="00D54C85" w:rsidP="007D66F7">
      <w:pPr>
        <w:pStyle w:val="afd"/>
        <w:wordWrap w:val="0"/>
        <w:spacing w:line="220" w:lineRule="exact"/>
        <w:ind w:left="253" w:hangingChars="115" w:hanging="253"/>
        <w:rPr>
          <w:rFonts w:ascii="標楷體" w:hAnsi="標楷體"/>
        </w:rPr>
      </w:pPr>
      <w:r w:rsidRPr="00905446">
        <w:rPr>
          <w:rStyle w:val="aff"/>
          <w:rFonts w:ascii="標楷體" w:hAnsi="標楷體"/>
        </w:rPr>
        <w:footnoteRef/>
      </w:r>
      <w:r w:rsidRPr="00905446">
        <w:rPr>
          <w:rFonts w:ascii="標楷體" w:hAnsi="標楷體"/>
        </w:rPr>
        <w:t xml:space="preserve"> </w:t>
      </w:r>
      <w:r>
        <w:rPr>
          <w:rFonts w:ascii="標楷體" w:hAnsi="標楷體" w:hint="eastAsia"/>
          <w:lang w:eastAsia="zh-HK"/>
        </w:rPr>
        <w:t>健保署</w:t>
      </w:r>
      <w:r w:rsidRPr="00905446">
        <w:rPr>
          <w:rFonts w:ascii="標楷體" w:hAnsi="標楷體"/>
        </w:rPr>
        <w:t>106</w:t>
      </w:r>
      <w:r w:rsidRPr="00905446">
        <w:rPr>
          <w:rFonts w:ascii="標楷體" w:hAnsi="標楷體" w:hint="eastAsia"/>
        </w:rPr>
        <w:t>年</w:t>
      </w:r>
      <w:r w:rsidRPr="00905446">
        <w:rPr>
          <w:rFonts w:ascii="標楷體" w:hAnsi="標楷體"/>
        </w:rPr>
        <w:t>3</w:t>
      </w:r>
      <w:r w:rsidRPr="00905446">
        <w:rPr>
          <w:rFonts w:ascii="標楷體" w:hAnsi="標楷體" w:hint="eastAsia"/>
        </w:rPr>
        <w:t>月</w:t>
      </w:r>
      <w:r w:rsidRPr="00905446">
        <w:rPr>
          <w:rFonts w:ascii="標楷體" w:hAnsi="標楷體"/>
        </w:rPr>
        <w:t>1</w:t>
      </w:r>
      <w:r w:rsidRPr="00905446">
        <w:rPr>
          <w:rFonts w:ascii="標楷體" w:hAnsi="標楷體" w:hint="eastAsia"/>
        </w:rPr>
        <w:t>日健保醫字第</w:t>
      </w:r>
      <w:r w:rsidRPr="00905446">
        <w:rPr>
          <w:rFonts w:ascii="標楷體" w:hAnsi="標楷體"/>
        </w:rPr>
        <w:t>1060032768</w:t>
      </w:r>
      <w:r w:rsidRPr="00905446">
        <w:rPr>
          <w:rFonts w:ascii="標楷體" w:hAnsi="標楷體" w:hint="eastAsia"/>
        </w:rPr>
        <w:t>號公告修訂。</w:t>
      </w:r>
    </w:p>
  </w:footnote>
  <w:footnote w:id="10">
    <w:p w:rsidR="00D54C85" w:rsidRPr="00905446" w:rsidRDefault="00D54C85" w:rsidP="007D66F7">
      <w:pPr>
        <w:pStyle w:val="afd"/>
        <w:wordWrap w:val="0"/>
        <w:spacing w:line="220" w:lineRule="exact"/>
        <w:ind w:left="253" w:hangingChars="115" w:hanging="253"/>
        <w:rPr>
          <w:rFonts w:ascii="標楷體" w:hAnsi="標楷體"/>
        </w:rPr>
      </w:pPr>
      <w:r w:rsidRPr="00905446">
        <w:rPr>
          <w:rStyle w:val="aff"/>
          <w:rFonts w:ascii="標楷體" w:hAnsi="標楷體"/>
        </w:rPr>
        <w:footnoteRef/>
      </w:r>
      <w:r w:rsidRPr="00905446">
        <w:rPr>
          <w:rFonts w:ascii="標楷體" w:hAnsi="標楷體"/>
        </w:rPr>
        <w:t xml:space="preserve"> </w:t>
      </w:r>
      <w:r w:rsidRPr="00905446">
        <w:rPr>
          <w:rFonts w:ascii="標楷體" w:hAnsi="標楷體" w:hint="eastAsia"/>
        </w:rPr>
        <w:t>健保署</w:t>
      </w:r>
      <w:r w:rsidRPr="00905446">
        <w:rPr>
          <w:rFonts w:ascii="標楷體" w:hAnsi="標楷體"/>
        </w:rPr>
        <w:t>108</w:t>
      </w:r>
      <w:r w:rsidRPr="00905446">
        <w:rPr>
          <w:rFonts w:ascii="標楷體" w:hAnsi="標楷體" w:hint="eastAsia"/>
        </w:rPr>
        <w:t>年</w:t>
      </w:r>
      <w:r w:rsidRPr="00905446">
        <w:rPr>
          <w:rFonts w:ascii="標楷體" w:hAnsi="標楷體"/>
        </w:rPr>
        <w:t>12</w:t>
      </w:r>
      <w:r w:rsidRPr="00905446">
        <w:rPr>
          <w:rFonts w:ascii="標楷體" w:hAnsi="標楷體" w:hint="eastAsia"/>
        </w:rPr>
        <w:t>月</w:t>
      </w:r>
      <w:r w:rsidRPr="00905446">
        <w:rPr>
          <w:rFonts w:ascii="標楷體" w:hAnsi="標楷體"/>
        </w:rPr>
        <w:t>11</w:t>
      </w:r>
      <w:r w:rsidRPr="00905446">
        <w:rPr>
          <w:rFonts w:ascii="標楷體" w:hAnsi="標楷體" w:hint="eastAsia"/>
        </w:rPr>
        <w:t>日約詢書面資料。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56E60"/>
    <w:multiLevelType w:val="hybridMultilevel"/>
    <w:tmpl w:val="16A0547E"/>
    <w:lvl w:ilvl="0" w:tplc="E250D1BC">
      <w:start w:val="1"/>
      <w:numFmt w:val="decimal"/>
      <w:lvlText w:val="%1."/>
      <w:lvlJc w:val="left"/>
      <w:pPr>
        <w:ind w:left="2004" w:hanging="480"/>
      </w:pPr>
      <w:rPr>
        <w:rFonts w:ascii="Times New Roman" w:hAnsi="Times New Roman" w:cs="Times New Roman" w:hint="default"/>
        <w:sz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A702AC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F8623F"/>
    <w:multiLevelType w:val="hybridMultilevel"/>
    <w:tmpl w:val="CD6076DA"/>
    <w:lvl w:ilvl="0" w:tplc="80DAC848">
      <w:start w:val="1"/>
      <w:numFmt w:val="taiwaneseCountingThousand"/>
      <w:lvlText w:val="(%1)"/>
      <w:lvlJc w:val="left"/>
      <w:pPr>
        <w:ind w:left="1757" w:hanging="480"/>
      </w:pPr>
      <w:rPr>
        <w:rFonts w:ascii="Times New Roman" w:hAnsi="Times New Roman" w:cs="Times New Roman" w:hint="default"/>
      </w:rPr>
    </w:lvl>
    <w:lvl w:ilvl="1" w:tplc="0409000F">
      <w:start w:val="1"/>
      <w:numFmt w:val="decim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22BB2629"/>
    <w:multiLevelType w:val="hybridMultilevel"/>
    <w:tmpl w:val="3F889442"/>
    <w:lvl w:ilvl="0" w:tplc="29EE0116">
      <w:start w:val="1"/>
      <w:numFmt w:val="decimal"/>
      <w:lvlText w:val="%1."/>
      <w:lvlJc w:val="left"/>
      <w:pPr>
        <w:ind w:left="2237" w:hanging="480"/>
      </w:pPr>
      <w:rPr>
        <w:rFonts w:ascii="Times New Roman" w:eastAsia="標楷體" w:hAnsi="Times New Roman" w:cs="Times New Roman"/>
      </w:rPr>
    </w:lvl>
    <w:lvl w:ilvl="1" w:tplc="04090019" w:tentative="1">
      <w:start w:val="1"/>
      <w:numFmt w:val="ideographTraditional"/>
      <w:lvlText w:val="%2、"/>
      <w:lvlJc w:val="left"/>
      <w:pPr>
        <w:ind w:left="2717" w:hanging="480"/>
      </w:pPr>
    </w:lvl>
    <w:lvl w:ilvl="2" w:tplc="0409001B" w:tentative="1">
      <w:start w:val="1"/>
      <w:numFmt w:val="lowerRoman"/>
      <w:lvlText w:val="%3."/>
      <w:lvlJc w:val="right"/>
      <w:pPr>
        <w:ind w:left="3197" w:hanging="480"/>
      </w:pPr>
    </w:lvl>
    <w:lvl w:ilvl="3" w:tplc="0409000F" w:tentative="1">
      <w:start w:val="1"/>
      <w:numFmt w:val="decimal"/>
      <w:lvlText w:val="%4."/>
      <w:lvlJc w:val="left"/>
      <w:pPr>
        <w:ind w:left="3677" w:hanging="480"/>
      </w:pPr>
    </w:lvl>
    <w:lvl w:ilvl="4" w:tplc="04090019" w:tentative="1">
      <w:start w:val="1"/>
      <w:numFmt w:val="ideographTraditional"/>
      <w:lvlText w:val="%5、"/>
      <w:lvlJc w:val="left"/>
      <w:pPr>
        <w:ind w:left="4157" w:hanging="480"/>
      </w:pPr>
    </w:lvl>
    <w:lvl w:ilvl="5" w:tplc="0409001B" w:tentative="1">
      <w:start w:val="1"/>
      <w:numFmt w:val="lowerRoman"/>
      <w:lvlText w:val="%6."/>
      <w:lvlJc w:val="right"/>
      <w:pPr>
        <w:ind w:left="4637" w:hanging="480"/>
      </w:pPr>
    </w:lvl>
    <w:lvl w:ilvl="6" w:tplc="0409000F" w:tentative="1">
      <w:start w:val="1"/>
      <w:numFmt w:val="decimal"/>
      <w:lvlText w:val="%7."/>
      <w:lvlJc w:val="left"/>
      <w:pPr>
        <w:ind w:left="5117" w:hanging="480"/>
      </w:pPr>
    </w:lvl>
    <w:lvl w:ilvl="7" w:tplc="04090019" w:tentative="1">
      <w:start w:val="1"/>
      <w:numFmt w:val="ideographTraditional"/>
      <w:lvlText w:val="%8、"/>
      <w:lvlJc w:val="left"/>
      <w:pPr>
        <w:ind w:left="5597" w:hanging="480"/>
      </w:pPr>
    </w:lvl>
    <w:lvl w:ilvl="8" w:tplc="0409001B" w:tentative="1">
      <w:start w:val="1"/>
      <w:numFmt w:val="lowerRoman"/>
      <w:lvlText w:val="%9."/>
      <w:lvlJc w:val="right"/>
      <w:pPr>
        <w:ind w:left="6077" w:hanging="480"/>
      </w:pPr>
    </w:lvl>
  </w:abstractNum>
  <w:abstractNum w:abstractNumId="6" w15:restartNumberingAfterBreak="0">
    <w:nsid w:val="2D8920D9"/>
    <w:multiLevelType w:val="hybridMultilevel"/>
    <w:tmpl w:val="CD6076DA"/>
    <w:lvl w:ilvl="0" w:tplc="80DAC848">
      <w:start w:val="1"/>
      <w:numFmt w:val="taiwaneseCountingThousand"/>
      <w:lvlText w:val="(%1)"/>
      <w:lvlJc w:val="left"/>
      <w:pPr>
        <w:ind w:left="1756" w:hanging="480"/>
      </w:pPr>
      <w:rPr>
        <w:rFonts w:ascii="Times New Roman" w:hAnsi="Times New Roman" w:cs="Times New Roman" w:hint="default"/>
      </w:rPr>
    </w:lvl>
    <w:lvl w:ilvl="1" w:tplc="0409000F">
      <w:start w:val="1"/>
      <w:numFmt w:val="decim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37FD33D8"/>
    <w:multiLevelType w:val="hybridMultilevel"/>
    <w:tmpl w:val="FFAABCBC"/>
    <w:lvl w:ilvl="0" w:tplc="11EA7AC2">
      <w:start w:val="1"/>
      <w:numFmt w:val="decimal"/>
      <w:lvlText w:val="(%1)"/>
      <w:lvlJc w:val="left"/>
      <w:pPr>
        <w:ind w:left="2484"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5868" w:hanging="480"/>
      </w:pPr>
      <w:rPr>
        <w:rFonts w:ascii="標楷體" w:eastAsia="標楷體" w:hint="eastAsia"/>
        <w:b w:val="0"/>
        <w:i w:val="0"/>
        <w:sz w:val="28"/>
      </w:rPr>
    </w:lvl>
    <w:lvl w:ilvl="1" w:tplc="04090019">
      <w:start w:val="1"/>
      <w:numFmt w:val="ideographTraditional"/>
      <w:lvlText w:val="%2、"/>
      <w:lvlJc w:val="left"/>
      <w:pPr>
        <w:ind w:left="6348" w:hanging="480"/>
      </w:pPr>
    </w:lvl>
    <w:lvl w:ilvl="2" w:tplc="0409001B">
      <w:start w:val="1"/>
      <w:numFmt w:val="lowerRoman"/>
      <w:lvlText w:val="%3."/>
      <w:lvlJc w:val="right"/>
      <w:pPr>
        <w:ind w:left="6828" w:hanging="480"/>
      </w:pPr>
    </w:lvl>
    <w:lvl w:ilvl="3" w:tplc="0409000F">
      <w:start w:val="1"/>
      <w:numFmt w:val="decimal"/>
      <w:lvlText w:val="%4."/>
      <w:lvlJc w:val="left"/>
      <w:pPr>
        <w:ind w:left="7308" w:hanging="480"/>
      </w:pPr>
    </w:lvl>
    <w:lvl w:ilvl="4" w:tplc="04090019" w:tentative="1">
      <w:start w:val="1"/>
      <w:numFmt w:val="ideographTraditional"/>
      <w:lvlText w:val="%5、"/>
      <w:lvlJc w:val="left"/>
      <w:pPr>
        <w:ind w:left="7788" w:hanging="480"/>
      </w:pPr>
    </w:lvl>
    <w:lvl w:ilvl="5" w:tplc="0409001B" w:tentative="1">
      <w:start w:val="1"/>
      <w:numFmt w:val="lowerRoman"/>
      <w:lvlText w:val="%6."/>
      <w:lvlJc w:val="right"/>
      <w:pPr>
        <w:ind w:left="8268" w:hanging="480"/>
      </w:pPr>
    </w:lvl>
    <w:lvl w:ilvl="6" w:tplc="0409000F" w:tentative="1">
      <w:start w:val="1"/>
      <w:numFmt w:val="decimal"/>
      <w:lvlText w:val="%7."/>
      <w:lvlJc w:val="left"/>
      <w:pPr>
        <w:ind w:left="8748" w:hanging="480"/>
      </w:pPr>
    </w:lvl>
    <w:lvl w:ilvl="7" w:tplc="04090019" w:tentative="1">
      <w:start w:val="1"/>
      <w:numFmt w:val="ideographTraditional"/>
      <w:lvlText w:val="%8、"/>
      <w:lvlJc w:val="left"/>
      <w:pPr>
        <w:ind w:left="9228" w:hanging="480"/>
      </w:pPr>
    </w:lvl>
    <w:lvl w:ilvl="8" w:tplc="0409001B" w:tentative="1">
      <w:start w:val="1"/>
      <w:numFmt w:val="lowerRoman"/>
      <w:lvlText w:val="%9."/>
      <w:lvlJc w:val="right"/>
      <w:pPr>
        <w:ind w:left="9708"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895E600E"/>
    <w:lvl w:ilvl="0" w:tplc="8A9AB4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9E56B1"/>
    <w:multiLevelType w:val="hybridMultilevel"/>
    <w:tmpl w:val="CD6076DA"/>
    <w:lvl w:ilvl="0" w:tplc="80DAC848">
      <w:start w:val="1"/>
      <w:numFmt w:val="taiwaneseCountingThousand"/>
      <w:lvlText w:val="(%1)"/>
      <w:lvlJc w:val="left"/>
      <w:pPr>
        <w:ind w:left="1756" w:hanging="480"/>
      </w:pPr>
      <w:rPr>
        <w:rFonts w:ascii="Times New Roman" w:hAnsi="Times New Roman" w:cs="Times New Roman" w:hint="default"/>
      </w:rPr>
    </w:lvl>
    <w:lvl w:ilvl="1" w:tplc="0409000F">
      <w:start w:val="1"/>
      <w:numFmt w:val="decim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6C385C9E"/>
    <w:multiLevelType w:val="hybridMultilevel"/>
    <w:tmpl w:val="E814E01E"/>
    <w:lvl w:ilvl="0" w:tplc="5B16E404">
      <w:start w:val="1"/>
      <w:numFmt w:val="bullet"/>
      <w:lvlText w:val="•"/>
      <w:lvlJc w:val="left"/>
      <w:pPr>
        <w:tabs>
          <w:tab w:val="num" w:pos="720"/>
        </w:tabs>
        <w:ind w:left="720" w:hanging="360"/>
      </w:pPr>
      <w:rPr>
        <w:rFonts w:ascii="Arial" w:hAnsi="Arial" w:hint="default"/>
      </w:rPr>
    </w:lvl>
    <w:lvl w:ilvl="1" w:tplc="0AA49824" w:tentative="1">
      <w:start w:val="1"/>
      <w:numFmt w:val="bullet"/>
      <w:lvlText w:val="•"/>
      <w:lvlJc w:val="left"/>
      <w:pPr>
        <w:tabs>
          <w:tab w:val="num" w:pos="1440"/>
        </w:tabs>
        <w:ind w:left="1440" w:hanging="360"/>
      </w:pPr>
      <w:rPr>
        <w:rFonts w:ascii="Arial" w:hAnsi="Arial" w:hint="default"/>
      </w:rPr>
    </w:lvl>
    <w:lvl w:ilvl="2" w:tplc="0B3076EC" w:tentative="1">
      <w:start w:val="1"/>
      <w:numFmt w:val="bullet"/>
      <w:lvlText w:val="•"/>
      <w:lvlJc w:val="left"/>
      <w:pPr>
        <w:tabs>
          <w:tab w:val="num" w:pos="2160"/>
        </w:tabs>
        <w:ind w:left="2160" w:hanging="360"/>
      </w:pPr>
      <w:rPr>
        <w:rFonts w:ascii="Arial" w:hAnsi="Arial" w:hint="default"/>
      </w:rPr>
    </w:lvl>
    <w:lvl w:ilvl="3" w:tplc="A836B3E0" w:tentative="1">
      <w:start w:val="1"/>
      <w:numFmt w:val="bullet"/>
      <w:lvlText w:val="•"/>
      <w:lvlJc w:val="left"/>
      <w:pPr>
        <w:tabs>
          <w:tab w:val="num" w:pos="2880"/>
        </w:tabs>
        <w:ind w:left="2880" w:hanging="360"/>
      </w:pPr>
      <w:rPr>
        <w:rFonts w:ascii="Arial" w:hAnsi="Arial" w:hint="default"/>
      </w:rPr>
    </w:lvl>
    <w:lvl w:ilvl="4" w:tplc="3D204B92" w:tentative="1">
      <w:start w:val="1"/>
      <w:numFmt w:val="bullet"/>
      <w:lvlText w:val="•"/>
      <w:lvlJc w:val="left"/>
      <w:pPr>
        <w:tabs>
          <w:tab w:val="num" w:pos="3600"/>
        </w:tabs>
        <w:ind w:left="3600" w:hanging="360"/>
      </w:pPr>
      <w:rPr>
        <w:rFonts w:ascii="Arial" w:hAnsi="Arial" w:hint="default"/>
      </w:rPr>
    </w:lvl>
    <w:lvl w:ilvl="5" w:tplc="B44A0A04" w:tentative="1">
      <w:start w:val="1"/>
      <w:numFmt w:val="bullet"/>
      <w:lvlText w:val="•"/>
      <w:lvlJc w:val="left"/>
      <w:pPr>
        <w:tabs>
          <w:tab w:val="num" w:pos="4320"/>
        </w:tabs>
        <w:ind w:left="4320" w:hanging="360"/>
      </w:pPr>
      <w:rPr>
        <w:rFonts w:ascii="Arial" w:hAnsi="Arial" w:hint="default"/>
      </w:rPr>
    </w:lvl>
    <w:lvl w:ilvl="6" w:tplc="BF7441A6" w:tentative="1">
      <w:start w:val="1"/>
      <w:numFmt w:val="bullet"/>
      <w:lvlText w:val="•"/>
      <w:lvlJc w:val="left"/>
      <w:pPr>
        <w:tabs>
          <w:tab w:val="num" w:pos="5040"/>
        </w:tabs>
        <w:ind w:left="5040" w:hanging="360"/>
      </w:pPr>
      <w:rPr>
        <w:rFonts w:ascii="Arial" w:hAnsi="Arial" w:hint="default"/>
      </w:rPr>
    </w:lvl>
    <w:lvl w:ilvl="7" w:tplc="13A898FA" w:tentative="1">
      <w:start w:val="1"/>
      <w:numFmt w:val="bullet"/>
      <w:lvlText w:val="•"/>
      <w:lvlJc w:val="left"/>
      <w:pPr>
        <w:tabs>
          <w:tab w:val="num" w:pos="5760"/>
        </w:tabs>
        <w:ind w:left="5760" w:hanging="360"/>
      </w:pPr>
      <w:rPr>
        <w:rFonts w:ascii="Arial" w:hAnsi="Arial" w:hint="default"/>
      </w:rPr>
    </w:lvl>
    <w:lvl w:ilvl="8" w:tplc="544E86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4A6873"/>
    <w:multiLevelType w:val="hybridMultilevel"/>
    <w:tmpl w:val="808618C8"/>
    <w:lvl w:ilvl="0" w:tplc="0409000F">
      <w:start w:val="1"/>
      <w:numFmt w:val="decimal"/>
      <w:lvlText w:val="%1."/>
      <w:lvlJc w:val="left"/>
      <w:pPr>
        <w:ind w:left="1243" w:hanging="480"/>
      </w:pPr>
    </w:lvl>
    <w:lvl w:ilvl="1" w:tplc="25CC6E8A">
      <w:start w:val="1"/>
      <w:numFmt w:val="decimal"/>
      <w:lvlText w:val="(%2)"/>
      <w:lvlJc w:val="left"/>
      <w:pPr>
        <w:ind w:left="1963" w:hanging="720"/>
      </w:pPr>
      <w:rPr>
        <w:rFonts w:hint="default"/>
      </w:rPr>
    </w:lvl>
    <w:lvl w:ilvl="2" w:tplc="D54C5D96">
      <w:start w:val="1"/>
      <w:numFmt w:val="lowerLetter"/>
      <w:lvlText w:val="%3."/>
      <w:lvlJc w:val="left"/>
      <w:pPr>
        <w:ind w:left="2083" w:hanging="360"/>
      </w:pPr>
      <w:rPr>
        <w:rFonts w:hint="default"/>
      </w:rPr>
    </w:lvl>
    <w:lvl w:ilvl="3" w:tplc="261427E6">
      <w:start w:val="1"/>
      <w:numFmt w:val="upperLetter"/>
      <w:lvlText w:val="%4."/>
      <w:lvlJc w:val="left"/>
      <w:pPr>
        <w:ind w:left="2563" w:hanging="360"/>
      </w:pPr>
      <w:rPr>
        <w:rFonts w:hint="default"/>
      </w:r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7" w15:restartNumberingAfterBreak="0">
    <w:nsid w:val="6FD52121"/>
    <w:multiLevelType w:val="hybridMultilevel"/>
    <w:tmpl w:val="5C5EF8E8"/>
    <w:lvl w:ilvl="0" w:tplc="8744D352">
      <w:start w:val="1"/>
      <w:numFmt w:val="bullet"/>
      <w:lvlText w:val="•"/>
      <w:lvlJc w:val="left"/>
      <w:pPr>
        <w:tabs>
          <w:tab w:val="num" w:pos="720"/>
        </w:tabs>
        <w:ind w:left="720" w:hanging="360"/>
      </w:pPr>
      <w:rPr>
        <w:rFonts w:ascii="Arial" w:hAnsi="Arial" w:hint="default"/>
      </w:rPr>
    </w:lvl>
    <w:lvl w:ilvl="1" w:tplc="9E10664A" w:tentative="1">
      <w:start w:val="1"/>
      <w:numFmt w:val="bullet"/>
      <w:lvlText w:val="•"/>
      <w:lvlJc w:val="left"/>
      <w:pPr>
        <w:tabs>
          <w:tab w:val="num" w:pos="1440"/>
        </w:tabs>
        <w:ind w:left="1440" w:hanging="360"/>
      </w:pPr>
      <w:rPr>
        <w:rFonts w:ascii="Arial" w:hAnsi="Arial" w:hint="default"/>
      </w:rPr>
    </w:lvl>
    <w:lvl w:ilvl="2" w:tplc="9FD095F2" w:tentative="1">
      <w:start w:val="1"/>
      <w:numFmt w:val="bullet"/>
      <w:lvlText w:val="•"/>
      <w:lvlJc w:val="left"/>
      <w:pPr>
        <w:tabs>
          <w:tab w:val="num" w:pos="2160"/>
        </w:tabs>
        <w:ind w:left="2160" w:hanging="360"/>
      </w:pPr>
      <w:rPr>
        <w:rFonts w:ascii="Arial" w:hAnsi="Arial" w:hint="default"/>
      </w:rPr>
    </w:lvl>
    <w:lvl w:ilvl="3" w:tplc="CE78695E" w:tentative="1">
      <w:start w:val="1"/>
      <w:numFmt w:val="bullet"/>
      <w:lvlText w:val="•"/>
      <w:lvlJc w:val="left"/>
      <w:pPr>
        <w:tabs>
          <w:tab w:val="num" w:pos="2880"/>
        </w:tabs>
        <w:ind w:left="2880" w:hanging="360"/>
      </w:pPr>
      <w:rPr>
        <w:rFonts w:ascii="Arial" w:hAnsi="Arial" w:hint="default"/>
      </w:rPr>
    </w:lvl>
    <w:lvl w:ilvl="4" w:tplc="DB888C6C" w:tentative="1">
      <w:start w:val="1"/>
      <w:numFmt w:val="bullet"/>
      <w:lvlText w:val="•"/>
      <w:lvlJc w:val="left"/>
      <w:pPr>
        <w:tabs>
          <w:tab w:val="num" w:pos="3600"/>
        </w:tabs>
        <w:ind w:left="3600" w:hanging="360"/>
      </w:pPr>
      <w:rPr>
        <w:rFonts w:ascii="Arial" w:hAnsi="Arial" w:hint="default"/>
      </w:rPr>
    </w:lvl>
    <w:lvl w:ilvl="5" w:tplc="8E6C6FF2" w:tentative="1">
      <w:start w:val="1"/>
      <w:numFmt w:val="bullet"/>
      <w:lvlText w:val="•"/>
      <w:lvlJc w:val="left"/>
      <w:pPr>
        <w:tabs>
          <w:tab w:val="num" w:pos="4320"/>
        </w:tabs>
        <w:ind w:left="4320" w:hanging="360"/>
      </w:pPr>
      <w:rPr>
        <w:rFonts w:ascii="Arial" w:hAnsi="Arial" w:hint="default"/>
      </w:rPr>
    </w:lvl>
    <w:lvl w:ilvl="6" w:tplc="341C6FC2" w:tentative="1">
      <w:start w:val="1"/>
      <w:numFmt w:val="bullet"/>
      <w:lvlText w:val="•"/>
      <w:lvlJc w:val="left"/>
      <w:pPr>
        <w:tabs>
          <w:tab w:val="num" w:pos="5040"/>
        </w:tabs>
        <w:ind w:left="5040" w:hanging="360"/>
      </w:pPr>
      <w:rPr>
        <w:rFonts w:ascii="Arial" w:hAnsi="Arial" w:hint="default"/>
      </w:rPr>
    </w:lvl>
    <w:lvl w:ilvl="7" w:tplc="EE7479DA" w:tentative="1">
      <w:start w:val="1"/>
      <w:numFmt w:val="bullet"/>
      <w:lvlText w:val="•"/>
      <w:lvlJc w:val="left"/>
      <w:pPr>
        <w:tabs>
          <w:tab w:val="num" w:pos="5760"/>
        </w:tabs>
        <w:ind w:left="5760" w:hanging="360"/>
      </w:pPr>
      <w:rPr>
        <w:rFonts w:ascii="Arial" w:hAnsi="Arial" w:hint="default"/>
      </w:rPr>
    </w:lvl>
    <w:lvl w:ilvl="8" w:tplc="29701D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D11795"/>
    <w:multiLevelType w:val="hybridMultilevel"/>
    <w:tmpl w:val="CD6076DA"/>
    <w:lvl w:ilvl="0" w:tplc="80DAC848">
      <w:start w:val="1"/>
      <w:numFmt w:val="taiwaneseCountingThousand"/>
      <w:lvlText w:val="(%1)"/>
      <w:lvlJc w:val="left"/>
      <w:pPr>
        <w:ind w:left="1756" w:hanging="480"/>
      </w:pPr>
      <w:rPr>
        <w:rFonts w:ascii="Times New Roman" w:hAnsi="Times New Roman" w:cs="Times New Roman" w:hint="default"/>
      </w:rPr>
    </w:lvl>
    <w:lvl w:ilvl="1" w:tplc="0409000F">
      <w:start w:val="1"/>
      <w:numFmt w:val="decim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2"/>
  </w:num>
  <w:num w:numId="2">
    <w:abstractNumId w:val="3"/>
  </w:num>
  <w:num w:numId="3">
    <w:abstractNumId w:val="0"/>
  </w:num>
  <w:num w:numId="4">
    <w:abstractNumId w:val="3"/>
    <w:lvlOverride w:ilvl="0">
      <w:startOverride w:val="1"/>
    </w:lvlOverride>
  </w:num>
  <w:num w:numId="5">
    <w:abstractNumId w:val="11"/>
  </w:num>
  <w:num w:numId="6">
    <w:abstractNumId w:val="9"/>
  </w:num>
  <w:num w:numId="7">
    <w:abstractNumId w:val="12"/>
  </w:num>
  <w:num w:numId="8">
    <w:abstractNumId w:val="2"/>
  </w:num>
  <w:num w:numId="9">
    <w:abstractNumId w:val="13"/>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1"/>
  </w:num>
  <w:num w:numId="29">
    <w:abstractNumId w:val="14"/>
  </w:num>
  <w:num w:numId="30">
    <w:abstractNumId w:val="1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5"/>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num>
  <w:num w:numId="45">
    <w:abstractNumId w:val="11"/>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11"/>
  </w:num>
  <w:num w:numId="55">
    <w:abstractNumId w:val="11"/>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11"/>
  </w:num>
  <w:num w:numId="69">
    <w:abstractNumId w:val="11"/>
  </w:num>
  <w:num w:numId="70">
    <w:abstractNumId w:val="11"/>
  </w:num>
  <w:num w:numId="71">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88"/>
    <w:rsid w:val="00001040"/>
    <w:rsid w:val="00001954"/>
    <w:rsid w:val="00002516"/>
    <w:rsid w:val="00003C90"/>
    <w:rsid w:val="00005770"/>
    <w:rsid w:val="0000626D"/>
    <w:rsid w:val="00006961"/>
    <w:rsid w:val="000112BF"/>
    <w:rsid w:val="000114EA"/>
    <w:rsid w:val="00012233"/>
    <w:rsid w:val="00016246"/>
    <w:rsid w:val="00016F1F"/>
    <w:rsid w:val="00017318"/>
    <w:rsid w:val="00017DBE"/>
    <w:rsid w:val="00017DF8"/>
    <w:rsid w:val="000229AD"/>
    <w:rsid w:val="00022D73"/>
    <w:rsid w:val="00022F56"/>
    <w:rsid w:val="0002308C"/>
    <w:rsid w:val="00023B9C"/>
    <w:rsid w:val="000246F7"/>
    <w:rsid w:val="0002607F"/>
    <w:rsid w:val="00026809"/>
    <w:rsid w:val="0003114D"/>
    <w:rsid w:val="00032867"/>
    <w:rsid w:val="00032911"/>
    <w:rsid w:val="00033C81"/>
    <w:rsid w:val="000353F8"/>
    <w:rsid w:val="00036D76"/>
    <w:rsid w:val="00037F5F"/>
    <w:rsid w:val="00044CE2"/>
    <w:rsid w:val="00044D85"/>
    <w:rsid w:val="00046175"/>
    <w:rsid w:val="0004641C"/>
    <w:rsid w:val="00051FC0"/>
    <w:rsid w:val="00052F84"/>
    <w:rsid w:val="00053D98"/>
    <w:rsid w:val="00053DCC"/>
    <w:rsid w:val="00054930"/>
    <w:rsid w:val="00057F32"/>
    <w:rsid w:val="000606D9"/>
    <w:rsid w:val="00062A25"/>
    <w:rsid w:val="000639D0"/>
    <w:rsid w:val="00064849"/>
    <w:rsid w:val="00065628"/>
    <w:rsid w:val="0007059F"/>
    <w:rsid w:val="00072DF4"/>
    <w:rsid w:val="00073CB5"/>
    <w:rsid w:val="0007425C"/>
    <w:rsid w:val="000745E2"/>
    <w:rsid w:val="00074D4F"/>
    <w:rsid w:val="000754E3"/>
    <w:rsid w:val="00075BF2"/>
    <w:rsid w:val="00077553"/>
    <w:rsid w:val="0008025F"/>
    <w:rsid w:val="000848A8"/>
    <w:rsid w:val="00084B19"/>
    <w:rsid w:val="000851A2"/>
    <w:rsid w:val="00086EB9"/>
    <w:rsid w:val="00091805"/>
    <w:rsid w:val="0009352E"/>
    <w:rsid w:val="00096B96"/>
    <w:rsid w:val="000973C9"/>
    <w:rsid w:val="000A05EB"/>
    <w:rsid w:val="000A2F3F"/>
    <w:rsid w:val="000A2F40"/>
    <w:rsid w:val="000A3955"/>
    <w:rsid w:val="000A4895"/>
    <w:rsid w:val="000A6166"/>
    <w:rsid w:val="000A7059"/>
    <w:rsid w:val="000A7DBC"/>
    <w:rsid w:val="000B0B4A"/>
    <w:rsid w:val="000B279A"/>
    <w:rsid w:val="000B3681"/>
    <w:rsid w:val="000B61D2"/>
    <w:rsid w:val="000B70A7"/>
    <w:rsid w:val="000B72AE"/>
    <w:rsid w:val="000B73DD"/>
    <w:rsid w:val="000B778A"/>
    <w:rsid w:val="000C1302"/>
    <w:rsid w:val="000C1E8B"/>
    <w:rsid w:val="000C323E"/>
    <w:rsid w:val="000C392A"/>
    <w:rsid w:val="000C485A"/>
    <w:rsid w:val="000C495F"/>
    <w:rsid w:val="000C55D9"/>
    <w:rsid w:val="000C65F2"/>
    <w:rsid w:val="000D0E8D"/>
    <w:rsid w:val="000D205B"/>
    <w:rsid w:val="000D2F28"/>
    <w:rsid w:val="000D41D1"/>
    <w:rsid w:val="000D5372"/>
    <w:rsid w:val="000D66D9"/>
    <w:rsid w:val="000D6AFA"/>
    <w:rsid w:val="000D7C8E"/>
    <w:rsid w:val="000E312B"/>
    <w:rsid w:val="000E31AD"/>
    <w:rsid w:val="000E6431"/>
    <w:rsid w:val="000F21A5"/>
    <w:rsid w:val="000F2AFC"/>
    <w:rsid w:val="000F3E18"/>
    <w:rsid w:val="000F6101"/>
    <w:rsid w:val="0010033C"/>
    <w:rsid w:val="0010152A"/>
    <w:rsid w:val="001018E4"/>
    <w:rsid w:val="0010263C"/>
    <w:rsid w:val="00102B9F"/>
    <w:rsid w:val="001053EC"/>
    <w:rsid w:val="0010679F"/>
    <w:rsid w:val="00110C5B"/>
    <w:rsid w:val="001118B1"/>
    <w:rsid w:val="00112637"/>
    <w:rsid w:val="00112ABC"/>
    <w:rsid w:val="00115F52"/>
    <w:rsid w:val="00116C21"/>
    <w:rsid w:val="00116D5C"/>
    <w:rsid w:val="0012001E"/>
    <w:rsid w:val="00120583"/>
    <w:rsid w:val="0012092B"/>
    <w:rsid w:val="00123928"/>
    <w:rsid w:val="00124B19"/>
    <w:rsid w:val="00125F56"/>
    <w:rsid w:val="00126067"/>
    <w:rsid w:val="00126A55"/>
    <w:rsid w:val="0013097A"/>
    <w:rsid w:val="0013172A"/>
    <w:rsid w:val="00133F08"/>
    <w:rsid w:val="001345E6"/>
    <w:rsid w:val="001378B0"/>
    <w:rsid w:val="00141AAB"/>
    <w:rsid w:val="00142BBA"/>
    <w:rsid w:val="00142E00"/>
    <w:rsid w:val="00146C60"/>
    <w:rsid w:val="00150CD3"/>
    <w:rsid w:val="00151CA0"/>
    <w:rsid w:val="00152793"/>
    <w:rsid w:val="00153243"/>
    <w:rsid w:val="00153B7E"/>
    <w:rsid w:val="00154269"/>
    <w:rsid w:val="001545A9"/>
    <w:rsid w:val="0015476B"/>
    <w:rsid w:val="00155639"/>
    <w:rsid w:val="00155B0F"/>
    <w:rsid w:val="001576EA"/>
    <w:rsid w:val="00157B3C"/>
    <w:rsid w:val="00161733"/>
    <w:rsid w:val="001636B2"/>
    <w:rsid w:val="001637C7"/>
    <w:rsid w:val="0016480E"/>
    <w:rsid w:val="00165928"/>
    <w:rsid w:val="00167812"/>
    <w:rsid w:val="00171110"/>
    <w:rsid w:val="00173B25"/>
    <w:rsid w:val="00174297"/>
    <w:rsid w:val="001743EC"/>
    <w:rsid w:val="00174A15"/>
    <w:rsid w:val="0017623D"/>
    <w:rsid w:val="00180E06"/>
    <w:rsid w:val="00180F0E"/>
    <w:rsid w:val="001817B3"/>
    <w:rsid w:val="00183014"/>
    <w:rsid w:val="00184C81"/>
    <w:rsid w:val="00186CA7"/>
    <w:rsid w:val="00192F8F"/>
    <w:rsid w:val="001937AC"/>
    <w:rsid w:val="0019470A"/>
    <w:rsid w:val="001959C2"/>
    <w:rsid w:val="00196834"/>
    <w:rsid w:val="001A0FF3"/>
    <w:rsid w:val="001A1ED2"/>
    <w:rsid w:val="001A31E6"/>
    <w:rsid w:val="001A50A5"/>
    <w:rsid w:val="001A510F"/>
    <w:rsid w:val="001A51E3"/>
    <w:rsid w:val="001A5B25"/>
    <w:rsid w:val="001A7968"/>
    <w:rsid w:val="001B229F"/>
    <w:rsid w:val="001B2C67"/>
    <w:rsid w:val="001B2E98"/>
    <w:rsid w:val="001B3483"/>
    <w:rsid w:val="001B3C1E"/>
    <w:rsid w:val="001B4494"/>
    <w:rsid w:val="001B7231"/>
    <w:rsid w:val="001B7C01"/>
    <w:rsid w:val="001C06EA"/>
    <w:rsid w:val="001C0D8B"/>
    <w:rsid w:val="001C0DA8"/>
    <w:rsid w:val="001C2F12"/>
    <w:rsid w:val="001C36F9"/>
    <w:rsid w:val="001C49F2"/>
    <w:rsid w:val="001C586F"/>
    <w:rsid w:val="001D0DA7"/>
    <w:rsid w:val="001D384B"/>
    <w:rsid w:val="001D4AD7"/>
    <w:rsid w:val="001D533D"/>
    <w:rsid w:val="001D6B91"/>
    <w:rsid w:val="001D7E5A"/>
    <w:rsid w:val="001E0D8A"/>
    <w:rsid w:val="001E187C"/>
    <w:rsid w:val="001E2B2F"/>
    <w:rsid w:val="001E48BE"/>
    <w:rsid w:val="001E49AE"/>
    <w:rsid w:val="001E67A3"/>
    <w:rsid w:val="001E67BA"/>
    <w:rsid w:val="001E74C2"/>
    <w:rsid w:val="001F1B33"/>
    <w:rsid w:val="001F32F2"/>
    <w:rsid w:val="001F4F82"/>
    <w:rsid w:val="001F5A48"/>
    <w:rsid w:val="001F6260"/>
    <w:rsid w:val="00200007"/>
    <w:rsid w:val="002030A5"/>
    <w:rsid w:val="00203131"/>
    <w:rsid w:val="0020510A"/>
    <w:rsid w:val="00207202"/>
    <w:rsid w:val="002101E0"/>
    <w:rsid w:val="00212AEF"/>
    <w:rsid w:val="00212E88"/>
    <w:rsid w:val="00213C9C"/>
    <w:rsid w:val="0022009E"/>
    <w:rsid w:val="002206C4"/>
    <w:rsid w:val="002215AE"/>
    <w:rsid w:val="00221824"/>
    <w:rsid w:val="00223241"/>
    <w:rsid w:val="0022425C"/>
    <w:rsid w:val="002245D3"/>
    <w:rsid w:val="002246DE"/>
    <w:rsid w:val="00225143"/>
    <w:rsid w:val="0023420E"/>
    <w:rsid w:val="00235455"/>
    <w:rsid w:val="00236B53"/>
    <w:rsid w:val="00237C0B"/>
    <w:rsid w:val="00240CFD"/>
    <w:rsid w:val="00241FFF"/>
    <w:rsid w:val="002429E2"/>
    <w:rsid w:val="00244D66"/>
    <w:rsid w:val="00244F69"/>
    <w:rsid w:val="00247541"/>
    <w:rsid w:val="0024775F"/>
    <w:rsid w:val="002500B8"/>
    <w:rsid w:val="00252BC4"/>
    <w:rsid w:val="00254014"/>
    <w:rsid w:val="00254B39"/>
    <w:rsid w:val="0026092A"/>
    <w:rsid w:val="00260AD8"/>
    <w:rsid w:val="00260F84"/>
    <w:rsid w:val="002639BE"/>
    <w:rsid w:val="00263D6B"/>
    <w:rsid w:val="002646E5"/>
    <w:rsid w:val="00264720"/>
    <w:rsid w:val="00264C65"/>
    <w:rsid w:val="0026504D"/>
    <w:rsid w:val="00265E4E"/>
    <w:rsid w:val="00270619"/>
    <w:rsid w:val="00270EC9"/>
    <w:rsid w:val="002728EC"/>
    <w:rsid w:val="00273561"/>
    <w:rsid w:val="00273A2F"/>
    <w:rsid w:val="00280986"/>
    <w:rsid w:val="00281ECE"/>
    <w:rsid w:val="00282087"/>
    <w:rsid w:val="00282E02"/>
    <w:rsid w:val="002831C7"/>
    <w:rsid w:val="002840C6"/>
    <w:rsid w:val="00284CD7"/>
    <w:rsid w:val="00284FC0"/>
    <w:rsid w:val="00286D5A"/>
    <w:rsid w:val="002947DB"/>
    <w:rsid w:val="00294A27"/>
    <w:rsid w:val="00295174"/>
    <w:rsid w:val="00296172"/>
    <w:rsid w:val="00296B92"/>
    <w:rsid w:val="00296B99"/>
    <w:rsid w:val="00297D87"/>
    <w:rsid w:val="00297DFC"/>
    <w:rsid w:val="00297E93"/>
    <w:rsid w:val="002A218B"/>
    <w:rsid w:val="002A2C22"/>
    <w:rsid w:val="002A415E"/>
    <w:rsid w:val="002A4585"/>
    <w:rsid w:val="002A6A11"/>
    <w:rsid w:val="002B02EB"/>
    <w:rsid w:val="002B1B98"/>
    <w:rsid w:val="002B3E05"/>
    <w:rsid w:val="002B4764"/>
    <w:rsid w:val="002B4CD7"/>
    <w:rsid w:val="002B6D9C"/>
    <w:rsid w:val="002C0602"/>
    <w:rsid w:val="002C2FED"/>
    <w:rsid w:val="002C387C"/>
    <w:rsid w:val="002C444E"/>
    <w:rsid w:val="002C69A7"/>
    <w:rsid w:val="002D010B"/>
    <w:rsid w:val="002D0445"/>
    <w:rsid w:val="002D1DA7"/>
    <w:rsid w:val="002D3489"/>
    <w:rsid w:val="002D3539"/>
    <w:rsid w:val="002D38F4"/>
    <w:rsid w:val="002D5C16"/>
    <w:rsid w:val="002D75C4"/>
    <w:rsid w:val="002E10FB"/>
    <w:rsid w:val="002E61E2"/>
    <w:rsid w:val="002F13E4"/>
    <w:rsid w:val="002F2440"/>
    <w:rsid w:val="002F2476"/>
    <w:rsid w:val="002F3570"/>
    <w:rsid w:val="002F3DE7"/>
    <w:rsid w:val="002F3DFF"/>
    <w:rsid w:val="002F5E05"/>
    <w:rsid w:val="002F5F9F"/>
    <w:rsid w:val="002F6F38"/>
    <w:rsid w:val="00300670"/>
    <w:rsid w:val="00300E51"/>
    <w:rsid w:val="00301431"/>
    <w:rsid w:val="003024CC"/>
    <w:rsid w:val="00302B8E"/>
    <w:rsid w:val="00302EC8"/>
    <w:rsid w:val="00304589"/>
    <w:rsid w:val="00305149"/>
    <w:rsid w:val="00307A76"/>
    <w:rsid w:val="003141CC"/>
    <w:rsid w:val="0031455E"/>
    <w:rsid w:val="00315A16"/>
    <w:rsid w:val="00317053"/>
    <w:rsid w:val="0032109C"/>
    <w:rsid w:val="00322B45"/>
    <w:rsid w:val="00323809"/>
    <w:rsid w:val="00323D41"/>
    <w:rsid w:val="00325414"/>
    <w:rsid w:val="003302F1"/>
    <w:rsid w:val="00330801"/>
    <w:rsid w:val="00330DB7"/>
    <w:rsid w:val="0033238A"/>
    <w:rsid w:val="00333A1C"/>
    <w:rsid w:val="003360F7"/>
    <w:rsid w:val="00337232"/>
    <w:rsid w:val="003415A2"/>
    <w:rsid w:val="00341855"/>
    <w:rsid w:val="00341952"/>
    <w:rsid w:val="0034470E"/>
    <w:rsid w:val="003457A1"/>
    <w:rsid w:val="00347A72"/>
    <w:rsid w:val="00351964"/>
    <w:rsid w:val="00351A02"/>
    <w:rsid w:val="00351C28"/>
    <w:rsid w:val="00352DB0"/>
    <w:rsid w:val="003530C6"/>
    <w:rsid w:val="00356BC6"/>
    <w:rsid w:val="00361061"/>
    <w:rsid w:val="00361063"/>
    <w:rsid w:val="00363E41"/>
    <w:rsid w:val="003645D8"/>
    <w:rsid w:val="00367C83"/>
    <w:rsid w:val="0037094A"/>
    <w:rsid w:val="00370AC1"/>
    <w:rsid w:val="00371663"/>
    <w:rsid w:val="00371755"/>
    <w:rsid w:val="00371ED3"/>
    <w:rsid w:val="00372659"/>
    <w:rsid w:val="00372FFC"/>
    <w:rsid w:val="003747F1"/>
    <w:rsid w:val="00374DAB"/>
    <w:rsid w:val="003768FD"/>
    <w:rsid w:val="00376F1B"/>
    <w:rsid w:val="0037728A"/>
    <w:rsid w:val="003777E1"/>
    <w:rsid w:val="00377A9C"/>
    <w:rsid w:val="00380B7D"/>
    <w:rsid w:val="00381A99"/>
    <w:rsid w:val="003829C2"/>
    <w:rsid w:val="003830B2"/>
    <w:rsid w:val="00384724"/>
    <w:rsid w:val="00386298"/>
    <w:rsid w:val="00387691"/>
    <w:rsid w:val="003919B7"/>
    <w:rsid w:val="00391D57"/>
    <w:rsid w:val="00392292"/>
    <w:rsid w:val="003942B3"/>
    <w:rsid w:val="00394F45"/>
    <w:rsid w:val="00396012"/>
    <w:rsid w:val="003970AB"/>
    <w:rsid w:val="003A0B41"/>
    <w:rsid w:val="003A2D97"/>
    <w:rsid w:val="003A35A1"/>
    <w:rsid w:val="003A5927"/>
    <w:rsid w:val="003A5D09"/>
    <w:rsid w:val="003A7225"/>
    <w:rsid w:val="003B1017"/>
    <w:rsid w:val="003B3C07"/>
    <w:rsid w:val="003B6081"/>
    <w:rsid w:val="003B6775"/>
    <w:rsid w:val="003B7CA3"/>
    <w:rsid w:val="003C40AC"/>
    <w:rsid w:val="003C5CEE"/>
    <w:rsid w:val="003C5FE2"/>
    <w:rsid w:val="003C7B23"/>
    <w:rsid w:val="003D05FB"/>
    <w:rsid w:val="003D0E1A"/>
    <w:rsid w:val="003D1B16"/>
    <w:rsid w:val="003D2827"/>
    <w:rsid w:val="003D28C5"/>
    <w:rsid w:val="003D2A6D"/>
    <w:rsid w:val="003D45BF"/>
    <w:rsid w:val="003D4E45"/>
    <w:rsid w:val="003D508A"/>
    <w:rsid w:val="003D537F"/>
    <w:rsid w:val="003D7B75"/>
    <w:rsid w:val="003E0208"/>
    <w:rsid w:val="003E37D3"/>
    <w:rsid w:val="003E398D"/>
    <w:rsid w:val="003E4B57"/>
    <w:rsid w:val="003E602B"/>
    <w:rsid w:val="003F0036"/>
    <w:rsid w:val="003F27E1"/>
    <w:rsid w:val="003F437A"/>
    <w:rsid w:val="003F5C2B"/>
    <w:rsid w:val="003F7057"/>
    <w:rsid w:val="003F7CD2"/>
    <w:rsid w:val="00402240"/>
    <w:rsid w:val="004023E9"/>
    <w:rsid w:val="0040454A"/>
    <w:rsid w:val="00406599"/>
    <w:rsid w:val="00413F83"/>
    <w:rsid w:val="0041490C"/>
    <w:rsid w:val="00415DAC"/>
    <w:rsid w:val="00416191"/>
    <w:rsid w:val="00416721"/>
    <w:rsid w:val="00421EF0"/>
    <w:rsid w:val="004224FA"/>
    <w:rsid w:val="00423D07"/>
    <w:rsid w:val="00424024"/>
    <w:rsid w:val="004263DC"/>
    <w:rsid w:val="00427936"/>
    <w:rsid w:val="00430087"/>
    <w:rsid w:val="00431D46"/>
    <w:rsid w:val="00433577"/>
    <w:rsid w:val="00441B46"/>
    <w:rsid w:val="0044346F"/>
    <w:rsid w:val="00447786"/>
    <w:rsid w:val="00452BCA"/>
    <w:rsid w:val="00453FF6"/>
    <w:rsid w:val="004612DC"/>
    <w:rsid w:val="00464AAA"/>
    <w:rsid w:val="00464E0B"/>
    <w:rsid w:val="0046520A"/>
    <w:rsid w:val="00466783"/>
    <w:rsid w:val="00466AC3"/>
    <w:rsid w:val="004672AB"/>
    <w:rsid w:val="004714FE"/>
    <w:rsid w:val="00472C4F"/>
    <w:rsid w:val="00472C7A"/>
    <w:rsid w:val="0047311A"/>
    <w:rsid w:val="00477BAA"/>
    <w:rsid w:val="0048348B"/>
    <w:rsid w:val="00484F64"/>
    <w:rsid w:val="004879BA"/>
    <w:rsid w:val="00490711"/>
    <w:rsid w:val="00490D55"/>
    <w:rsid w:val="0049426B"/>
    <w:rsid w:val="004947B1"/>
    <w:rsid w:val="00494C36"/>
    <w:rsid w:val="00495053"/>
    <w:rsid w:val="004A1F59"/>
    <w:rsid w:val="004A29BE"/>
    <w:rsid w:val="004A3225"/>
    <w:rsid w:val="004A33EE"/>
    <w:rsid w:val="004A3AA8"/>
    <w:rsid w:val="004A5647"/>
    <w:rsid w:val="004B13C7"/>
    <w:rsid w:val="004B1D75"/>
    <w:rsid w:val="004B4F4D"/>
    <w:rsid w:val="004B778F"/>
    <w:rsid w:val="004C0609"/>
    <w:rsid w:val="004C3CF9"/>
    <w:rsid w:val="004C639F"/>
    <w:rsid w:val="004C6D3A"/>
    <w:rsid w:val="004C7126"/>
    <w:rsid w:val="004D141F"/>
    <w:rsid w:val="004D2742"/>
    <w:rsid w:val="004D287A"/>
    <w:rsid w:val="004D4455"/>
    <w:rsid w:val="004D46EE"/>
    <w:rsid w:val="004D6310"/>
    <w:rsid w:val="004D63D4"/>
    <w:rsid w:val="004D695E"/>
    <w:rsid w:val="004E0062"/>
    <w:rsid w:val="004E00E1"/>
    <w:rsid w:val="004E05A1"/>
    <w:rsid w:val="004E10F3"/>
    <w:rsid w:val="004E17BE"/>
    <w:rsid w:val="004E262D"/>
    <w:rsid w:val="004E4136"/>
    <w:rsid w:val="004E4C5F"/>
    <w:rsid w:val="004E603B"/>
    <w:rsid w:val="004E6705"/>
    <w:rsid w:val="004E6DBD"/>
    <w:rsid w:val="004F2D15"/>
    <w:rsid w:val="004F472A"/>
    <w:rsid w:val="004F5E57"/>
    <w:rsid w:val="004F6710"/>
    <w:rsid w:val="00500C3E"/>
    <w:rsid w:val="00502849"/>
    <w:rsid w:val="00504334"/>
    <w:rsid w:val="0050498D"/>
    <w:rsid w:val="00504A25"/>
    <w:rsid w:val="005066B6"/>
    <w:rsid w:val="005104D7"/>
    <w:rsid w:val="00510B9E"/>
    <w:rsid w:val="00512085"/>
    <w:rsid w:val="00513BAF"/>
    <w:rsid w:val="0051506D"/>
    <w:rsid w:val="005156D4"/>
    <w:rsid w:val="00515F46"/>
    <w:rsid w:val="00517065"/>
    <w:rsid w:val="0051712B"/>
    <w:rsid w:val="00517300"/>
    <w:rsid w:val="005212EF"/>
    <w:rsid w:val="0052360A"/>
    <w:rsid w:val="0053176D"/>
    <w:rsid w:val="00531FD2"/>
    <w:rsid w:val="0053235B"/>
    <w:rsid w:val="00533A46"/>
    <w:rsid w:val="00536BC2"/>
    <w:rsid w:val="005425E1"/>
    <w:rsid w:val="005427C5"/>
    <w:rsid w:val="00542988"/>
    <w:rsid w:val="00542C72"/>
    <w:rsid w:val="00542CF6"/>
    <w:rsid w:val="005450E7"/>
    <w:rsid w:val="00546F34"/>
    <w:rsid w:val="00550C08"/>
    <w:rsid w:val="00550DA3"/>
    <w:rsid w:val="0055162C"/>
    <w:rsid w:val="00551FD8"/>
    <w:rsid w:val="00552465"/>
    <w:rsid w:val="00552C36"/>
    <w:rsid w:val="00553C03"/>
    <w:rsid w:val="00555A5C"/>
    <w:rsid w:val="005572ED"/>
    <w:rsid w:val="00560DDA"/>
    <w:rsid w:val="005628F6"/>
    <w:rsid w:val="00563692"/>
    <w:rsid w:val="00566704"/>
    <w:rsid w:val="00571679"/>
    <w:rsid w:val="00571D76"/>
    <w:rsid w:val="005729FE"/>
    <w:rsid w:val="00573060"/>
    <w:rsid w:val="00573111"/>
    <w:rsid w:val="00575838"/>
    <w:rsid w:val="0058000C"/>
    <w:rsid w:val="00580D9C"/>
    <w:rsid w:val="00581A55"/>
    <w:rsid w:val="00584235"/>
    <w:rsid w:val="005844E7"/>
    <w:rsid w:val="0058638A"/>
    <w:rsid w:val="005908B8"/>
    <w:rsid w:val="005917E2"/>
    <w:rsid w:val="00591F47"/>
    <w:rsid w:val="0059270F"/>
    <w:rsid w:val="00592E68"/>
    <w:rsid w:val="005946D7"/>
    <w:rsid w:val="00594BDA"/>
    <w:rsid w:val="0059512E"/>
    <w:rsid w:val="00595F90"/>
    <w:rsid w:val="00596B52"/>
    <w:rsid w:val="005973A0"/>
    <w:rsid w:val="005A1D86"/>
    <w:rsid w:val="005A3D96"/>
    <w:rsid w:val="005A42EB"/>
    <w:rsid w:val="005A6318"/>
    <w:rsid w:val="005A6DD2"/>
    <w:rsid w:val="005A6E0A"/>
    <w:rsid w:val="005B0C29"/>
    <w:rsid w:val="005B435A"/>
    <w:rsid w:val="005B43FF"/>
    <w:rsid w:val="005B58A0"/>
    <w:rsid w:val="005B59FF"/>
    <w:rsid w:val="005B5EAF"/>
    <w:rsid w:val="005B65FD"/>
    <w:rsid w:val="005C106E"/>
    <w:rsid w:val="005C385D"/>
    <w:rsid w:val="005C49E4"/>
    <w:rsid w:val="005C6FF8"/>
    <w:rsid w:val="005D0777"/>
    <w:rsid w:val="005D0ED0"/>
    <w:rsid w:val="005D2317"/>
    <w:rsid w:val="005D2633"/>
    <w:rsid w:val="005D27CB"/>
    <w:rsid w:val="005D32E7"/>
    <w:rsid w:val="005D3B20"/>
    <w:rsid w:val="005D4C15"/>
    <w:rsid w:val="005D4CD7"/>
    <w:rsid w:val="005D71B7"/>
    <w:rsid w:val="005D738B"/>
    <w:rsid w:val="005D7BBF"/>
    <w:rsid w:val="005E4261"/>
    <w:rsid w:val="005E455D"/>
    <w:rsid w:val="005E4759"/>
    <w:rsid w:val="005E4F8C"/>
    <w:rsid w:val="005E5C68"/>
    <w:rsid w:val="005E5CBD"/>
    <w:rsid w:val="005E65C0"/>
    <w:rsid w:val="005E75CF"/>
    <w:rsid w:val="005F0390"/>
    <w:rsid w:val="005F3154"/>
    <w:rsid w:val="005F42F1"/>
    <w:rsid w:val="005F44FE"/>
    <w:rsid w:val="00603A09"/>
    <w:rsid w:val="00605604"/>
    <w:rsid w:val="006072CD"/>
    <w:rsid w:val="0061021B"/>
    <w:rsid w:val="006113B6"/>
    <w:rsid w:val="00612023"/>
    <w:rsid w:val="00613AB5"/>
    <w:rsid w:val="00614190"/>
    <w:rsid w:val="00615CD9"/>
    <w:rsid w:val="0062171F"/>
    <w:rsid w:val="00622A99"/>
    <w:rsid w:val="00622E67"/>
    <w:rsid w:val="006256DC"/>
    <w:rsid w:val="00626B57"/>
    <w:rsid w:val="00626EDC"/>
    <w:rsid w:val="006301D1"/>
    <w:rsid w:val="006309C8"/>
    <w:rsid w:val="00632A62"/>
    <w:rsid w:val="006333FF"/>
    <w:rsid w:val="00634A16"/>
    <w:rsid w:val="00634A6F"/>
    <w:rsid w:val="006363E5"/>
    <w:rsid w:val="00636854"/>
    <w:rsid w:val="00643301"/>
    <w:rsid w:val="00643FAE"/>
    <w:rsid w:val="006452D3"/>
    <w:rsid w:val="00646045"/>
    <w:rsid w:val="006470EC"/>
    <w:rsid w:val="0065123C"/>
    <w:rsid w:val="0065285D"/>
    <w:rsid w:val="006542D6"/>
    <w:rsid w:val="0065598E"/>
    <w:rsid w:val="00655AF2"/>
    <w:rsid w:val="00655BC5"/>
    <w:rsid w:val="006568BE"/>
    <w:rsid w:val="0066025D"/>
    <w:rsid w:val="0066091A"/>
    <w:rsid w:val="00661840"/>
    <w:rsid w:val="006619B2"/>
    <w:rsid w:val="00662527"/>
    <w:rsid w:val="00670A98"/>
    <w:rsid w:val="00670F64"/>
    <w:rsid w:val="0067125D"/>
    <w:rsid w:val="00674C95"/>
    <w:rsid w:val="00675C1F"/>
    <w:rsid w:val="006773EC"/>
    <w:rsid w:val="00677747"/>
    <w:rsid w:val="00680504"/>
    <w:rsid w:val="00681CD9"/>
    <w:rsid w:val="0068249B"/>
    <w:rsid w:val="00683044"/>
    <w:rsid w:val="00683E30"/>
    <w:rsid w:val="00686F67"/>
    <w:rsid w:val="00687024"/>
    <w:rsid w:val="006915EA"/>
    <w:rsid w:val="00695E22"/>
    <w:rsid w:val="006A031E"/>
    <w:rsid w:val="006A1205"/>
    <w:rsid w:val="006A272D"/>
    <w:rsid w:val="006A51F1"/>
    <w:rsid w:val="006B17BE"/>
    <w:rsid w:val="006B4F77"/>
    <w:rsid w:val="006B54F7"/>
    <w:rsid w:val="006B7093"/>
    <w:rsid w:val="006B7417"/>
    <w:rsid w:val="006B7B54"/>
    <w:rsid w:val="006C13E7"/>
    <w:rsid w:val="006C1846"/>
    <w:rsid w:val="006C266A"/>
    <w:rsid w:val="006C4A0C"/>
    <w:rsid w:val="006C56EF"/>
    <w:rsid w:val="006D1819"/>
    <w:rsid w:val="006D31F9"/>
    <w:rsid w:val="006D3691"/>
    <w:rsid w:val="006D46AB"/>
    <w:rsid w:val="006E1995"/>
    <w:rsid w:val="006E1B34"/>
    <w:rsid w:val="006E1D34"/>
    <w:rsid w:val="006E5EF0"/>
    <w:rsid w:val="006E6C7B"/>
    <w:rsid w:val="006E7608"/>
    <w:rsid w:val="006F1D2A"/>
    <w:rsid w:val="006F3563"/>
    <w:rsid w:val="006F42B9"/>
    <w:rsid w:val="006F4ECD"/>
    <w:rsid w:val="006F5288"/>
    <w:rsid w:val="006F5F0B"/>
    <w:rsid w:val="006F6103"/>
    <w:rsid w:val="006F6387"/>
    <w:rsid w:val="006F7A3F"/>
    <w:rsid w:val="00700F52"/>
    <w:rsid w:val="0070106B"/>
    <w:rsid w:val="0070191D"/>
    <w:rsid w:val="00701BDA"/>
    <w:rsid w:val="00703962"/>
    <w:rsid w:val="00704DE6"/>
    <w:rsid w:val="00704E00"/>
    <w:rsid w:val="007056EC"/>
    <w:rsid w:val="007056FB"/>
    <w:rsid w:val="007209E7"/>
    <w:rsid w:val="00722606"/>
    <w:rsid w:val="00726182"/>
    <w:rsid w:val="00727635"/>
    <w:rsid w:val="00732329"/>
    <w:rsid w:val="0073246C"/>
    <w:rsid w:val="00732BC4"/>
    <w:rsid w:val="007337CA"/>
    <w:rsid w:val="00733A6B"/>
    <w:rsid w:val="00734CE4"/>
    <w:rsid w:val="00735123"/>
    <w:rsid w:val="0073536E"/>
    <w:rsid w:val="00736E49"/>
    <w:rsid w:val="00737FE6"/>
    <w:rsid w:val="00741837"/>
    <w:rsid w:val="00743BB7"/>
    <w:rsid w:val="00744B7C"/>
    <w:rsid w:val="007453E6"/>
    <w:rsid w:val="00751044"/>
    <w:rsid w:val="00751CF5"/>
    <w:rsid w:val="007527A5"/>
    <w:rsid w:val="007604B6"/>
    <w:rsid w:val="007604CF"/>
    <w:rsid w:val="007655CC"/>
    <w:rsid w:val="00766B5E"/>
    <w:rsid w:val="00767F92"/>
    <w:rsid w:val="00770453"/>
    <w:rsid w:val="00772A2A"/>
    <w:rsid w:val="0077309D"/>
    <w:rsid w:val="007738AE"/>
    <w:rsid w:val="0077645F"/>
    <w:rsid w:val="007774EE"/>
    <w:rsid w:val="007776E9"/>
    <w:rsid w:val="00777D5C"/>
    <w:rsid w:val="00780D02"/>
    <w:rsid w:val="00781822"/>
    <w:rsid w:val="00782763"/>
    <w:rsid w:val="007834E1"/>
    <w:rsid w:val="00783ACF"/>
    <w:rsid w:val="00783F21"/>
    <w:rsid w:val="00784388"/>
    <w:rsid w:val="007859CC"/>
    <w:rsid w:val="00786774"/>
    <w:rsid w:val="00787159"/>
    <w:rsid w:val="007877BC"/>
    <w:rsid w:val="0079043A"/>
    <w:rsid w:val="00791062"/>
    <w:rsid w:val="00791668"/>
    <w:rsid w:val="00791AA1"/>
    <w:rsid w:val="0079283E"/>
    <w:rsid w:val="00793242"/>
    <w:rsid w:val="00795F0B"/>
    <w:rsid w:val="0079622E"/>
    <w:rsid w:val="007A1238"/>
    <w:rsid w:val="007A1935"/>
    <w:rsid w:val="007A3672"/>
    <w:rsid w:val="007A3793"/>
    <w:rsid w:val="007A5BD9"/>
    <w:rsid w:val="007B0776"/>
    <w:rsid w:val="007B1870"/>
    <w:rsid w:val="007B322B"/>
    <w:rsid w:val="007B3C39"/>
    <w:rsid w:val="007B3D0C"/>
    <w:rsid w:val="007C1BA2"/>
    <w:rsid w:val="007C1D71"/>
    <w:rsid w:val="007C2B48"/>
    <w:rsid w:val="007C724C"/>
    <w:rsid w:val="007D0ED0"/>
    <w:rsid w:val="007D10FD"/>
    <w:rsid w:val="007D20E9"/>
    <w:rsid w:val="007D250B"/>
    <w:rsid w:val="007D3F4E"/>
    <w:rsid w:val="007D66F7"/>
    <w:rsid w:val="007D7881"/>
    <w:rsid w:val="007D7E3A"/>
    <w:rsid w:val="007E0E10"/>
    <w:rsid w:val="007E124A"/>
    <w:rsid w:val="007E23AD"/>
    <w:rsid w:val="007E2911"/>
    <w:rsid w:val="007E4768"/>
    <w:rsid w:val="007E5EA2"/>
    <w:rsid w:val="007E777B"/>
    <w:rsid w:val="007F0392"/>
    <w:rsid w:val="007F0EA4"/>
    <w:rsid w:val="007F2070"/>
    <w:rsid w:val="007F35F2"/>
    <w:rsid w:val="007F47B5"/>
    <w:rsid w:val="007F63C1"/>
    <w:rsid w:val="0080189A"/>
    <w:rsid w:val="008053F5"/>
    <w:rsid w:val="00807AF7"/>
    <w:rsid w:val="00810198"/>
    <w:rsid w:val="00812034"/>
    <w:rsid w:val="008132E3"/>
    <w:rsid w:val="00813AA9"/>
    <w:rsid w:val="00813E6C"/>
    <w:rsid w:val="00815C33"/>
    <w:rsid w:val="00815DA8"/>
    <w:rsid w:val="008174B7"/>
    <w:rsid w:val="00817E91"/>
    <w:rsid w:val="0082194D"/>
    <w:rsid w:val="008221F9"/>
    <w:rsid w:val="00826A0A"/>
    <w:rsid w:val="00826EF5"/>
    <w:rsid w:val="00831693"/>
    <w:rsid w:val="00833E69"/>
    <w:rsid w:val="00840104"/>
    <w:rsid w:val="00840A86"/>
    <w:rsid w:val="00840C1F"/>
    <w:rsid w:val="00840E04"/>
    <w:rsid w:val="008411C9"/>
    <w:rsid w:val="00841FC5"/>
    <w:rsid w:val="0084218A"/>
    <w:rsid w:val="008431FA"/>
    <w:rsid w:val="00843D0F"/>
    <w:rsid w:val="00845709"/>
    <w:rsid w:val="008503CA"/>
    <w:rsid w:val="00852875"/>
    <w:rsid w:val="008547F8"/>
    <w:rsid w:val="00855463"/>
    <w:rsid w:val="0085589C"/>
    <w:rsid w:val="00855F93"/>
    <w:rsid w:val="008576BD"/>
    <w:rsid w:val="00857793"/>
    <w:rsid w:val="00857F80"/>
    <w:rsid w:val="00860463"/>
    <w:rsid w:val="008638C9"/>
    <w:rsid w:val="008656CC"/>
    <w:rsid w:val="00866214"/>
    <w:rsid w:val="00866B4E"/>
    <w:rsid w:val="008672EB"/>
    <w:rsid w:val="008733DA"/>
    <w:rsid w:val="00873C61"/>
    <w:rsid w:val="00880094"/>
    <w:rsid w:val="0088293D"/>
    <w:rsid w:val="0088410D"/>
    <w:rsid w:val="00884DC1"/>
    <w:rsid w:val="008850E4"/>
    <w:rsid w:val="008853E7"/>
    <w:rsid w:val="0089115D"/>
    <w:rsid w:val="008939AB"/>
    <w:rsid w:val="008939C0"/>
    <w:rsid w:val="00894DED"/>
    <w:rsid w:val="00895027"/>
    <w:rsid w:val="00895A43"/>
    <w:rsid w:val="008A073E"/>
    <w:rsid w:val="008A12F5"/>
    <w:rsid w:val="008A1A14"/>
    <w:rsid w:val="008A7678"/>
    <w:rsid w:val="008B1587"/>
    <w:rsid w:val="008B1896"/>
    <w:rsid w:val="008B1B01"/>
    <w:rsid w:val="008B3BCD"/>
    <w:rsid w:val="008B6DF8"/>
    <w:rsid w:val="008C03D2"/>
    <w:rsid w:val="008C04E3"/>
    <w:rsid w:val="008C106C"/>
    <w:rsid w:val="008C10F1"/>
    <w:rsid w:val="008C1926"/>
    <w:rsid w:val="008C1E99"/>
    <w:rsid w:val="008C2647"/>
    <w:rsid w:val="008C3A07"/>
    <w:rsid w:val="008C4F59"/>
    <w:rsid w:val="008C636C"/>
    <w:rsid w:val="008D0715"/>
    <w:rsid w:val="008E0085"/>
    <w:rsid w:val="008E116C"/>
    <w:rsid w:val="008E2AA6"/>
    <w:rsid w:val="008E311B"/>
    <w:rsid w:val="008E733E"/>
    <w:rsid w:val="008F1232"/>
    <w:rsid w:val="008F23C7"/>
    <w:rsid w:val="008F46E7"/>
    <w:rsid w:val="008F64CA"/>
    <w:rsid w:val="008F6F0B"/>
    <w:rsid w:val="008F7E4B"/>
    <w:rsid w:val="00902C8E"/>
    <w:rsid w:val="009038D0"/>
    <w:rsid w:val="009050EC"/>
    <w:rsid w:val="00905446"/>
    <w:rsid w:val="00907BA7"/>
    <w:rsid w:val="00910619"/>
    <w:rsid w:val="0091064E"/>
    <w:rsid w:val="00911FC5"/>
    <w:rsid w:val="009123F4"/>
    <w:rsid w:val="00915619"/>
    <w:rsid w:val="009179AC"/>
    <w:rsid w:val="00922608"/>
    <w:rsid w:val="009231B7"/>
    <w:rsid w:val="00925CF3"/>
    <w:rsid w:val="009267D1"/>
    <w:rsid w:val="009316D7"/>
    <w:rsid w:val="00931A10"/>
    <w:rsid w:val="00942DDC"/>
    <w:rsid w:val="00943D19"/>
    <w:rsid w:val="009450C5"/>
    <w:rsid w:val="00947967"/>
    <w:rsid w:val="00951BD7"/>
    <w:rsid w:val="00951F62"/>
    <w:rsid w:val="00952844"/>
    <w:rsid w:val="00952CA1"/>
    <w:rsid w:val="0095460A"/>
    <w:rsid w:val="00955201"/>
    <w:rsid w:val="00955291"/>
    <w:rsid w:val="009557CC"/>
    <w:rsid w:val="009618D1"/>
    <w:rsid w:val="00962727"/>
    <w:rsid w:val="00965200"/>
    <w:rsid w:val="00965BAC"/>
    <w:rsid w:val="009668B3"/>
    <w:rsid w:val="0096702E"/>
    <w:rsid w:val="00967F1F"/>
    <w:rsid w:val="00970488"/>
    <w:rsid w:val="00971471"/>
    <w:rsid w:val="00974CBF"/>
    <w:rsid w:val="009772FE"/>
    <w:rsid w:val="00977784"/>
    <w:rsid w:val="0098452B"/>
    <w:rsid w:val="009849C2"/>
    <w:rsid w:val="00984D24"/>
    <w:rsid w:val="009858EB"/>
    <w:rsid w:val="0098665E"/>
    <w:rsid w:val="00994960"/>
    <w:rsid w:val="00994C3A"/>
    <w:rsid w:val="0099564A"/>
    <w:rsid w:val="00996B17"/>
    <w:rsid w:val="009A038D"/>
    <w:rsid w:val="009A28A6"/>
    <w:rsid w:val="009A2BA7"/>
    <w:rsid w:val="009A3002"/>
    <w:rsid w:val="009A37CB"/>
    <w:rsid w:val="009A3F47"/>
    <w:rsid w:val="009B0046"/>
    <w:rsid w:val="009B1055"/>
    <w:rsid w:val="009B11D2"/>
    <w:rsid w:val="009B3D27"/>
    <w:rsid w:val="009C1440"/>
    <w:rsid w:val="009C2107"/>
    <w:rsid w:val="009C2752"/>
    <w:rsid w:val="009C5D9E"/>
    <w:rsid w:val="009D2C3E"/>
    <w:rsid w:val="009D2CA6"/>
    <w:rsid w:val="009D3F6F"/>
    <w:rsid w:val="009D4744"/>
    <w:rsid w:val="009D4A8A"/>
    <w:rsid w:val="009D6877"/>
    <w:rsid w:val="009E059E"/>
    <w:rsid w:val="009E0625"/>
    <w:rsid w:val="009E2A6C"/>
    <w:rsid w:val="009E3034"/>
    <w:rsid w:val="009E4C58"/>
    <w:rsid w:val="009E549F"/>
    <w:rsid w:val="009E6162"/>
    <w:rsid w:val="009F0481"/>
    <w:rsid w:val="009F064F"/>
    <w:rsid w:val="009F0969"/>
    <w:rsid w:val="009F28A8"/>
    <w:rsid w:val="009F3514"/>
    <w:rsid w:val="009F3944"/>
    <w:rsid w:val="009F473E"/>
    <w:rsid w:val="009F5247"/>
    <w:rsid w:val="009F682A"/>
    <w:rsid w:val="00A022BE"/>
    <w:rsid w:val="00A0663D"/>
    <w:rsid w:val="00A0782D"/>
    <w:rsid w:val="00A07B4B"/>
    <w:rsid w:val="00A125EA"/>
    <w:rsid w:val="00A12835"/>
    <w:rsid w:val="00A1590F"/>
    <w:rsid w:val="00A23B06"/>
    <w:rsid w:val="00A2428E"/>
    <w:rsid w:val="00A24C95"/>
    <w:rsid w:val="00A25455"/>
    <w:rsid w:val="00A2599A"/>
    <w:rsid w:val="00A26094"/>
    <w:rsid w:val="00A2702F"/>
    <w:rsid w:val="00A301BF"/>
    <w:rsid w:val="00A302B2"/>
    <w:rsid w:val="00A305D8"/>
    <w:rsid w:val="00A32EDA"/>
    <w:rsid w:val="00A331B4"/>
    <w:rsid w:val="00A333BB"/>
    <w:rsid w:val="00A33768"/>
    <w:rsid w:val="00A3484E"/>
    <w:rsid w:val="00A34A9F"/>
    <w:rsid w:val="00A3550C"/>
    <w:rsid w:val="00A356D3"/>
    <w:rsid w:val="00A3592C"/>
    <w:rsid w:val="00A35D36"/>
    <w:rsid w:val="00A365F2"/>
    <w:rsid w:val="00A36ADA"/>
    <w:rsid w:val="00A37C4D"/>
    <w:rsid w:val="00A4281E"/>
    <w:rsid w:val="00A438D8"/>
    <w:rsid w:val="00A441BB"/>
    <w:rsid w:val="00A473F5"/>
    <w:rsid w:val="00A51F9D"/>
    <w:rsid w:val="00A53259"/>
    <w:rsid w:val="00A534C0"/>
    <w:rsid w:val="00A5416A"/>
    <w:rsid w:val="00A550AF"/>
    <w:rsid w:val="00A568A0"/>
    <w:rsid w:val="00A60075"/>
    <w:rsid w:val="00A60845"/>
    <w:rsid w:val="00A625BC"/>
    <w:rsid w:val="00A639F4"/>
    <w:rsid w:val="00A653F8"/>
    <w:rsid w:val="00A65864"/>
    <w:rsid w:val="00A65FAE"/>
    <w:rsid w:val="00A66CF3"/>
    <w:rsid w:val="00A6719F"/>
    <w:rsid w:val="00A67421"/>
    <w:rsid w:val="00A67C8D"/>
    <w:rsid w:val="00A74C2E"/>
    <w:rsid w:val="00A76A52"/>
    <w:rsid w:val="00A77ADE"/>
    <w:rsid w:val="00A80DE9"/>
    <w:rsid w:val="00A81A32"/>
    <w:rsid w:val="00A835BD"/>
    <w:rsid w:val="00A8712D"/>
    <w:rsid w:val="00A8793E"/>
    <w:rsid w:val="00A938AB"/>
    <w:rsid w:val="00A97B15"/>
    <w:rsid w:val="00AA38CD"/>
    <w:rsid w:val="00AA42D5"/>
    <w:rsid w:val="00AA4695"/>
    <w:rsid w:val="00AA5B35"/>
    <w:rsid w:val="00AB1549"/>
    <w:rsid w:val="00AB2FAB"/>
    <w:rsid w:val="00AB4786"/>
    <w:rsid w:val="00AB5C14"/>
    <w:rsid w:val="00AB6DF3"/>
    <w:rsid w:val="00AB7D39"/>
    <w:rsid w:val="00AC06F1"/>
    <w:rsid w:val="00AC09BC"/>
    <w:rsid w:val="00AC1EE7"/>
    <w:rsid w:val="00AC2197"/>
    <w:rsid w:val="00AC333F"/>
    <w:rsid w:val="00AC47A9"/>
    <w:rsid w:val="00AC585C"/>
    <w:rsid w:val="00AC6122"/>
    <w:rsid w:val="00AC769C"/>
    <w:rsid w:val="00AC7782"/>
    <w:rsid w:val="00AC7A56"/>
    <w:rsid w:val="00AC7D42"/>
    <w:rsid w:val="00AD1925"/>
    <w:rsid w:val="00AD59DC"/>
    <w:rsid w:val="00AE03F7"/>
    <w:rsid w:val="00AE067D"/>
    <w:rsid w:val="00AE6322"/>
    <w:rsid w:val="00AF1181"/>
    <w:rsid w:val="00AF12CB"/>
    <w:rsid w:val="00AF1D96"/>
    <w:rsid w:val="00AF2095"/>
    <w:rsid w:val="00AF2F79"/>
    <w:rsid w:val="00AF4653"/>
    <w:rsid w:val="00AF4E61"/>
    <w:rsid w:val="00AF6372"/>
    <w:rsid w:val="00AF6B5D"/>
    <w:rsid w:val="00AF7DB7"/>
    <w:rsid w:val="00B000ED"/>
    <w:rsid w:val="00B04521"/>
    <w:rsid w:val="00B06CCE"/>
    <w:rsid w:val="00B10D02"/>
    <w:rsid w:val="00B128D7"/>
    <w:rsid w:val="00B201E2"/>
    <w:rsid w:val="00B20D1F"/>
    <w:rsid w:val="00B22CA1"/>
    <w:rsid w:val="00B2429F"/>
    <w:rsid w:val="00B25AEC"/>
    <w:rsid w:val="00B30097"/>
    <w:rsid w:val="00B31A17"/>
    <w:rsid w:val="00B34C79"/>
    <w:rsid w:val="00B35B37"/>
    <w:rsid w:val="00B424D4"/>
    <w:rsid w:val="00B443E4"/>
    <w:rsid w:val="00B45785"/>
    <w:rsid w:val="00B50B68"/>
    <w:rsid w:val="00B511D4"/>
    <w:rsid w:val="00B5166A"/>
    <w:rsid w:val="00B5484D"/>
    <w:rsid w:val="00B563EA"/>
    <w:rsid w:val="00B56CDF"/>
    <w:rsid w:val="00B60E51"/>
    <w:rsid w:val="00B63A54"/>
    <w:rsid w:val="00B66DB0"/>
    <w:rsid w:val="00B71521"/>
    <w:rsid w:val="00B75255"/>
    <w:rsid w:val="00B77D18"/>
    <w:rsid w:val="00B83099"/>
    <w:rsid w:val="00B8313A"/>
    <w:rsid w:val="00B84928"/>
    <w:rsid w:val="00B8517B"/>
    <w:rsid w:val="00B867D0"/>
    <w:rsid w:val="00B87C7C"/>
    <w:rsid w:val="00B9089E"/>
    <w:rsid w:val="00B90FD5"/>
    <w:rsid w:val="00B911A8"/>
    <w:rsid w:val="00B918F5"/>
    <w:rsid w:val="00B93503"/>
    <w:rsid w:val="00B938DE"/>
    <w:rsid w:val="00B94AA5"/>
    <w:rsid w:val="00B94CBF"/>
    <w:rsid w:val="00BA0236"/>
    <w:rsid w:val="00BA183E"/>
    <w:rsid w:val="00BA31E8"/>
    <w:rsid w:val="00BA435B"/>
    <w:rsid w:val="00BA55E0"/>
    <w:rsid w:val="00BA6BD4"/>
    <w:rsid w:val="00BA6C7A"/>
    <w:rsid w:val="00BB17D1"/>
    <w:rsid w:val="00BB3752"/>
    <w:rsid w:val="00BB3AE1"/>
    <w:rsid w:val="00BB6688"/>
    <w:rsid w:val="00BB7831"/>
    <w:rsid w:val="00BC0F07"/>
    <w:rsid w:val="00BC0F4A"/>
    <w:rsid w:val="00BC26D4"/>
    <w:rsid w:val="00BC557F"/>
    <w:rsid w:val="00BC68A4"/>
    <w:rsid w:val="00BC7E3B"/>
    <w:rsid w:val="00BD2137"/>
    <w:rsid w:val="00BD46B7"/>
    <w:rsid w:val="00BD487C"/>
    <w:rsid w:val="00BD4C2B"/>
    <w:rsid w:val="00BD6352"/>
    <w:rsid w:val="00BD71E2"/>
    <w:rsid w:val="00BE02BF"/>
    <w:rsid w:val="00BE0BCF"/>
    <w:rsid w:val="00BE0C80"/>
    <w:rsid w:val="00BE3A8A"/>
    <w:rsid w:val="00BE4A95"/>
    <w:rsid w:val="00BE4CD8"/>
    <w:rsid w:val="00BE562A"/>
    <w:rsid w:val="00BE5A3F"/>
    <w:rsid w:val="00BE632B"/>
    <w:rsid w:val="00BE7B03"/>
    <w:rsid w:val="00BF0886"/>
    <w:rsid w:val="00BF0BDE"/>
    <w:rsid w:val="00BF1448"/>
    <w:rsid w:val="00BF2A42"/>
    <w:rsid w:val="00BF40F8"/>
    <w:rsid w:val="00BF4DD3"/>
    <w:rsid w:val="00BF77E4"/>
    <w:rsid w:val="00C0184B"/>
    <w:rsid w:val="00C03584"/>
    <w:rsid w:val="00C03D8C"/>
    <w:rsid w:val="00C04177"/>
    <w:rsid w:val="00C055EC"/>
    <w:rsid w:val="00C0572C"/>
    <w:rsid w:val="00C10DC9"/>
    <w:rsid w:val="00C12FB3"/>
    <w:rsid w:val="00C1463A"/>
    <w:rsid w:val="00C14682"/>
    <w:rsid w:val="00C148C2"/>
    <w:rsid w:val="00C160BC"/>
    <w:rsid w:val="00C17341"/>
    <w:rsid w:val="00C22500"/>
    <w:rsid w:val="00C24EEF"/>
    <w:rsid w:val="00C25CF6"/>
    <w:rsid w:val="00C26C36"/>
    <w:rsid w:val="00C31CC3"/>
    <w:rsid w:val="00C31CEB"/>
    <w:rsid w:val="00C32768"/>
    <w:rsid w:val="00C32AE3"/>
    <w:rsid w:val="00C338FF"/>
    <w:rsid w:val="00C3449E"/>
    <w:rsid w:val="00C34DB7"/>
    <w:rsid w:val="00C35FA5"/>
    <w:rsid w:val="00C40AFD"/>
    <w:rsid w:val="00C431DF"/>
    <w:rsid w:val="00C456BD"/>
    <w:rsid w:val="00C460B3"/>
    <w:rsid w:val="00C4768B"/>
    <w:rsid w:val="00C47A32"/>
    <w:rsid w:val="00C51BE6"/>
    <w:rsid w:val="00C530DC"/>
    <w:rsid w:val="00C5350D"/>
    <w:rsid w:val="00C54FED"/>
    <w:rsid w:val="00C56FA5"/>
    <w:rsid w:val="00C57397"/>
    <w:rsid w:val="00C6123C"/>
    <w:rsid w:val="00C6311A"/>
    <w:rsid w:val="00C6463E"/>
    <w:rsid w:val="00C7084D"/>
    <w:rsid w:val="00C7315E"/>
    <w:rsid w:val="00C73B63"/>
    <w:rsid w:val="00C73C65"/>
    <w:rsid w:val="00C747FA"/>
    <w:rsid w:val="00C74FC4"/>
    <w:rsid w:val="00C75895"/>
    <w:rsid w:val="00C775B0"/>
    <w:rsid w:val="00C77AD0"/>
    <w:rsid w:val="00C810D5"/>
    <w:rsid w:val="00C81D16"/>
    <w:rsid w:val="00C83C9F"/>
    <w:rsid w:val="00C85841"/>
    <w:rsid w:val="00C85BA5"/>
    <w:rsid w:val="00C917CD"/>
    <w:rsid w:val="00C93D88"/>
    <w:rsid w:val="00C94840"/>
    <w:rsid w:val="00C951A7"/>
    <w:rsid w:val="00CA067E"/>
    <w:rsid w:val="00CA186F"/>
    <w:rsid w:val="00CA1C81"/>
    <w:rsid w:val="00CA2036"/>
    <w:rsid w:val="00CA2178"/>
    <w:rsid w:val="00CA21E7"/>
    <w:rsid w:val="00CA2C8A"/>
    <w:rsid w:val="00CA4EE3"/>
    <w:rsid w:val="00CA67EB"/>
    <w:rsid w:val="00CA73F4"/>
    <w:rsid w:val="00CA7672"/>
    <w:rsid w:val="00CA7771"/>
    <w:rsid w:val="00CA791F"/>
    <w:rsid w:val="00CB027F"/>
    <w:rsid w:val="00CB1428"/>
    <w:rsid w:val="00CB4165"/>
    <w:rsid w:val="00CB4894"/>
    <w:rsid w:val="00CB6B5F"/>
    <w:rsid w:val="00CC0A72"/>
    <w:rsid w:val="00CC0EBB"/>
    <w:rsid w:val="00CC104D"/>
    <w:rsid w:val="00CC1611"/>
    <w:rsid w:val="00CC181A"/>
    <w:rsid w:val="00CC2C3A"/>
    <w:rsid w:val="00CC350E"/>
    <w:rsid w:val="00CC4700"/>
    <w:rsid w:val="00CC4AF1"/>
    <w:rsid w:val="00CC6297"/>
    <w:rsid w:val="00CC7690"/>
    <w:rsid w:val="00CD1986"/>
    <w:rsid w:val="00CD301B"/>
    <w:rsid w:val="00CD4634"/>
    <w:rsid w:val="00CD54BF"/>
    <w:rsid w:val="00CE0100"/>
    <w:rsid w:val="00CE48C2"/>
    <w:rsid w:val="00CE4D5C"/>
    <w:rsid w:val="00CF05DA"/>
    <w:rsid w:val="00CF0E20"/>
    <w:rsid w:val="00CF16D5"/>
    <w:rsid w:val="00CF2DBF"/>
    <w:rsid w:val="00CF541D"/>
    <w:rsid w:val="00CF5682"/>
    <w:rsid w:val="00CF58EB"/>
    <w:rsid w:val="00CF6FEC"/>
    <w:rsid w:val="00D0106E"/>
    <w:rsid w:val="00D061A7"/>
    <w:rsid w:val="00D06383"/>
    <w:rsid w:val="00D1256F"/>
    <w:rsid w:val="00D140A7"/>
    <w:rsid w:val="00D16E30"/>
    <w:rsid w:val="00D20E85"/>
    <w:rsid w:val="00D21E90"/>
    <w:rsid w:val="00D24615"/>
    <w:rsid w:val="00D25A11"/>
    <w:rsid w:val="00D27553"/>
    <w:rsid w:val="00D33BD7"/>
    <w:rsid w:val="00D33D1D"/>
    <w:rsid w:val="00D36128"/>
    <w:rsid w:val="00D36D77"/>
    <w:rsid w:val="00D36FDF"/>
    <w:rsid w:val="00D37842"/>
    <w:rsid w:val="00D4187A"/>
    <w:rsid w:val="00D41B43"/>
    <w:rsid w:val="00D42B40"/>
    <w:rsid w:val="00D42DC2"/>
    <w:rsid w:val="00D4302B"/>
    <w:rsid w:val="00D4353D"/>
    <w:rsid w:val="00D43C55"/>
    <w:rsid w:val="00D44771"/>
    <w:rsid w:val="00D4501B"/>
    <w:rsid w:val="00D467B1"/>
    <w:rsid w:val="00D46AE0"/>
    <w:rsid w:val="00D475F0"/>
    <w:rsid w:val="00D47A33"/>
    <w:rsid w:val="00D528E2"/>
    <w:rsid w:val="00D53052"/>
    <w:rsid w:val="00D537E1"/>
    <w:rsid w:val="00D54C85"/>
    <w:rsid w:val="00D55BB2"/>
    <w:rsid w:val="00D5659E"/>
    <w:rsid w:val="00D6091A"/>
    <w:rsid w:val="00D6286D"/>
    <w:rsid w:val="00D628B3"/>
    <w:rsid w:val="00D649EB"/>
    <w:rsid w:val="00D6605A"/>
    <w:rsid w:val="00D6642C"/>
    <w:rsid w:val="00D6695F"/>
    <w:rsid w:val="00D67597"/>
    <w:rsid w:val="00D75644"/>
    <w:rsid w:val="00D7659D"/>
    <w:rsid w:val="00D77EBB"/>
    <w:rsid w:val="00D80C6D"/>
    <w:rsid w:val="00D81656"/>
    <w:rsid w:val="00D83D87"/>
    <w:rsid w:val="00D842F8"/>
    <w:rsid w:val="00D84A6D"/>
    <w:rsid w:val="00D85A3B"/>
    <w:rsid w:val="00D86A30"/>
    <w:rsid w:val="00D86D7D"/>
    <w:rsid w:val="00D97CB4"/>
    <w:rsid w:val="00D97DB4"/>
    <w:rsid w:val="00D97DD4"/>
    <w:rsid w:val="00DA4305"/>
    <w:rsid w:val="00DA4433"/>
    <w:rsid w:val="00DA5A8A"/>
    <w:rsid w:val="00DB01F7"/>
    <w:rsid w:val="00DB1170"/>
    <w:rsid w:val="00DB26CD"/>
    <w:rsid w:val="00DB4173"/>
    <w:rsid w:val="00DB441C"/>
    <w:rsid w:val="00DB44AF"/>
    <w:rsid w:val="00DB7F11"/>
    <w:rsid w:val="00DC1F58"/>
    <w:rsid w:val="00DC2EFB"/>
    <w:rsid w:val="00DC339B"/>
    <w:rsid w:val="00DC508E"/>
    <w:rsid w:val="00DC5D40"/>
    <w:rsid w:val="00DC6716"/>
    <w:rsid w:val="00DC69A7"/>
    <w:rsid w:val="00DD08E2"/>
    <w:rsid w:val="00DD181B"/>
    <w:rsid w:val="00DD30E9"/>
    <w:rsid w:val="00DD41AA"/>
    <w:rsid w:val="00DD4F47"/>
    <w:rsid w:val="00DD6BCC"/>
    <w:rsid w:val="00DD7FBB"/>
    <w:rsid w:val="00DE0A1E"/>
    <w:rsid w:val="00DE0B9F"/>
    <w:rsid w:val="00DE215B"/>
    <w:rsid w:val="00DE2333"/>
    <w:rsid w:val="00DE2A9E"/>
    <w:rsid w:val="00DE4238"/>
    <w:rsid w:val="00DE44FE"/>
    <w:rsid w:val="00DE657F"/>
    <w:rsid w:val="00DF0A33"/>
    <w:rsid w:val="00DF1218"/>
    <w:rsid w:val="00DF201A"/>
    <w:rsid w:val="00DF4F15"/>
    <w:rsid w:val="00DF60C6"/>
    <w:rsid w:val="00DF6462"/>
    <w:rsid w:val="00DF74F1"/>
    <w:rsid w:val="00E01887"/>
    <w:rsid w:val="00E01992"/>
    <w:rsid w:val="00E02637"/>
    <w:rsid w:val="00E02FA0"/>
    <w:rsid w:val="00E036DC"/>
    <w:rsid w:val="00E06CF9"/>
    <w:rsid w:val="00E07018"/>
    <w:rsid w:val="00E07395"/>
    <w:rsid w:val="00E10454"/>
    <w:rsid w:val="00E112E5"/>
    <w:rsid w:val="00E11B3E"/>
    <w:rsid w:val="00E122D8"/>
    <w:rsid w:val="00E12CC8"/>
    <w:rsid w:val="00E138DE"/>
    <w:rsid w:val="00E140E4"/>
    <w:rsid w:val="00E15352"/>
    <w:rsid w:val="00E200CD"/>
    <w:rsid w:val="00E21CC7"/>
    <w:rsid w:val="00E21D40"/>
    <w:rsid w:val="00E2244A"/>
    <w:rsid w:val="00E24CB8"/>
    <w:rsid w:val="00E24D9E"/>
    <w:rsid w:val="00E25849"/>
    <w:rsid w:val="00E25D12"/>
    <w:rsid w:val="00E25E00"/>
    <w:rsid w:val="00E26731"/>
    <w:rsid w:val="00E3197E"/>
    <w:rsid w:val="00E32F04"/>
    <w:rsid w:val="00E342F8"/>
    <w:rsid w:val="00E351ED"/>
    <w:rsid w:val="00E3751A"/>
    <w:rsid w:val="00E37D11"/>
    <w:rsid w:val="00E42B19"/>
    <w:rsid w:val="00E45793"/>
    <w:rsid w:val="00E466EF"/>
    <w:rsid w:val="00E4690D"/>
    <w:rsid w:val="00E5520F"/>
    <w:rsid w:val="00E56353"/>
    <w:rsid w:val="00E565A5"/>
    <w:rsid w:val="00E56E43"/>
    <w:rsid w:val="00E56EA3"/>
    <w:rsid w:val="00E60162"/>
    <w:rsid w:val="00E6034B"/>
    <w:rsid w:val="00E60A1B"/>
    <w:rsid w:val="00E60ADB"/>
    <w:rsid w:val="00E61B99"/>
    <w:rsid w:val="00E61C28"/>
    <w:rsid w:val="00E627A2"/>
    <w:rsid w:val="00E62FE8"/>
    <w:rsid w:val="00E64F25"/>
    <w:rsid w:val="00E6549E"/>
    <w:rsid w:val="00E655F4"/>
    <w:rsid w:val="00E65EDE"/>
    <w:rsid w:val="00E665A5"/>
    <w:rsid w:val="00E66820"/>
    <w:rsid w:val="00E70F81"/>
    <w:rsid w:val="00E7106B"/>
    <w:rsid w:val="00E7295F"/>
    <w:rsid w:val="00E76662"/>
    <w:rsid w:val="00E77055"/>
    <w:rsid w:val="00E77460"/>
    <w:rsid w:val="00E77503"/>
    <w:rsid w:val="00E77750"/>
    <w:rsid w:val="00E80A0E"/>
    <w:rsid w:val="00E829F0"/>
    <w:rsid w:val="00E83ABC"/>
    <w:rsid w:val="00E844F2"/>
    <w:rsid w:val="00E84A03"/>
    <w:rsid w:val="00E87B2A"/>
    <w:rsid w:val="00E90AD0"/>
    <w:rsid w:val="00E92895"/>
    <w:rsid w:val="00E92DA8"/>
    <w:rsid w:val="00E92E8D"/>
    <w:rsid w:val="00E92FCB"/>
    <w:rsid w:val="00E9356A"/>
    <w:rsid w:val="00E94ADE"/>
    <w:rsid w:val="00E94E24"/>
    <w:rsid w:val="00E95834"/>
    <w:rsid w:val="00E96714"/>
    <w:rsid w:val="00EA147F"/>
    <w:rsid w:val="00EA2CCB"/>
    <w:rsid w:val="00EA4A27"/>
    <w:rsid w:val="00EA4FA6"/>
    <w:rsid w:val="00EA775E"/>
    <w:rsid w:val="00EA7836"/>
    <w:rsid w:val="00EB116E"/>
    <w:rsid w:val="00EB1A25"/>
    <w:rsid w:val="00EB330F"/>
    <w:rsid w:val="00EB5FF8"/>
    <w:rsid w:val="00EC0DD9"/>
    <w:rsid w:val="00EC2465"/>
    <w:rsid w:val="00EC45AD"/>
    <w:rsid w:val="00EC7363"/>
    <w:rsid w:val="00ED03AB"/>
    <w:rsid w:val="00ED087A"/>
    <w:rsid w:val="00ED1963"/>
    <w:rsid w:val="00ED1CD4"/>
    <w:rsid w:val="00ED1D2B"/>
    <w:rsid w:val="00ED246A"/>
    <w:rsid w:val="00ED2766"/>
    <w:rsid w:val="00ED2C4C"/>
    <w:rsid w:val="00ED3F0D"/>
    <w:rsid w:val="00ED64B5"/>
    <w:rsid w:val="00EE0425"/>
    <w:rsid w:val="00EE0CD9"/>
    <w:rsid w:val="00EE16D9"/>
    <w:rsid w:val="00EE1A1E"/>
    <w:rsid w:val="00EE7928"/>
    <w:rsid w:val="00EE7CCA"/>
    <w:rsid w:val="00EF04D4"/>
    <w:rsid w:val="00EF0B08"/>
    <w:rsid w:val="00EF1F42"/>
    <w:rsid w:val="00EF278E"/>
    <w:rsid w:val="00EF7747"/>
    <w:rsid w:val="00F00AF5"/>
    <w:rsid w:val="00F02300"/>
    <w:rsid w:val="00F06E53"/>
    <w:rsid w:val="00F154BB"/>
    <w:rsid w:val="00F16A14"/>
    <w:rsid w:val="00F20695"/>
    <w:rsid w:val="00F2379C"/>
    <w:rsid w:val="00F24C8E"/>
    <w:rsid w:val="00F26335"/>
    <w:rsid w:val="00F302FE"/>
    <w:rsid w:val="00F3092B"/>
    <w:rsid w:val="00F30936"/>
    <w:rsid w:val="00F30D49"/>
    <w:rsid w:val="00F32B56"/>
    <w:rsid w:val="00F362D7"/>
    <w:rsid w:val="00F37D7B"/>
    <w:rsid w:val="00F4114B"/>
    <w:rsid w:val="00F42367"/>
    <w:rsid w:val="00F43867"/>
    <w:rsid w:val="00F4473B"/>
    <w:rsid w:val="00F44888"/>
    <w:rsid w:val="00F4747A"/>
    <w:rsid w:val="00F5314C"/>
    <w:rsid w:val="00F5579B"/>
    <w:rsid w:val="00F557BB"/>
    <w:rsid w:val="00F55DDC"/>
    <w:rsid w:val="00F5688C"/>
    <w:rsid w:val="00F577CE"/>
    <w:rsid w:val="00F60048"/>
    <w:rsid w:val="00F61C1D"/>
    <w:rsid w:val="00F635DD"/>
    <w:rsid w:val="00F6627B"/>
    <w:rsid w:val="00F70D9A"/>
    <w:rsid w:val="00F721D7"/>
    <w:rsid w:val="00F7336E"/>
    <w:rsid w:val="00F734F2"/>
    <w:rsid w:val="00F74907"/>
    <w:rsid w:val="00F75052"/>
    <w:rsid w:val="00F769A9"/>
    <w:rsid w:val="00F7704D"/>
    <w:rsid w:val="00F800DD"/>
    <w:rsid w:val="00F804D3"/>
    <w:rsid w:val="00F8105D"/>
    <w:rsid w:val="00F816CB"/>
    <w:rsid w:val="00F81CD2"/>
    <w:rsid w:val="00F82042"/>
    <w:rsid w:val="00F82641"/>
    <w:rsid w:val="00F84C41"/>
    <w:rsid w:val="00F90F18"/>
    <w:rsid w:val="00F92EF7"/>
    <w:rsid w:val="00F937E4"/>
    <w:rsid w:val="00F93EC2"/>
    <w:rsid w:val="00F9420C"/>
    <w:rsid w:val="00F95EE7"/>
    <w:rsid w:val="00F962FD"/>
    <w:rsid w:val="00FA0DE6"/>
    <w:rsid w:val="00FA39E6"/>
    <w:rsid w:val="00FA4A91"/>
    <w:rsid w:val="00FA7201"/>
    <w:rsid w:val="00FA7BC9"/>
    <w:rsid w:val="00FB2477"/>
    <w:rsid w:val="00FB2579"/>
    <w:rsid w:val="00FB342B"/>
    <w:rsid w:val="00FB378E"/>
    <w:rsid w:val="00FB37F1"/>
    <w:rsid w:val="00FB467D"/>
    <w:rsid w:val="00FB47C0"/>
    <w:rsid w:val="00FB501B"/>
    <w:rsid w:val="00FB719A"/>
    <w:rsid w:val="00FB7770"/>
    <w:rsid w:val="00FC43D2"/>
    <w:rsid w:val="00FC65AE"/>
    <w:rsid w:val="00FC7D54"/>
    <w:rsid w:val="00FC7D57"/>
    <w:rsid w:val="00FD0406"/>
    <w:rsid w:val="00FD2C92"/>
    <w:rsid w:val="00FD3B91"/>
    <w:rsid w:val="00FD576B"/>
    <w:rsid w:val="00FD579E"/>
    <w:rsid w:val="00FD6845"/>
    <w:rsid w:val="00FD6AB1"/>
    <w:rsid w:val="00FE03A7"/>
    <w:rsid w:val="00FE0731"/>
    <w:rsid w:val="00FE07CB"/>
    <w:rsid w:val="00FE3C09"/>
    <w:rsid w:val="00FE4516"/>
    <w:rsid w:val="00FE644C"/>
    <w:rsid w:val="00FE64C8"/>
    <w:rsid w:val="00FE7788"/>
    <w:rsid w:val="00FF1DF0"/>
    <w:rsid w:val="00FF27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壹"/>
    <w:basedOn w:val="a6"/>
    <w:qFormat/>
    <w:rsid w:val="004F5E57"/>
    <w:pPr>
      <w:numPr>
        <w:numId w:val="8"/>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link w:val="40"/>
    <w:qFormat/>
    <w:rsid w:val="004F5E57"/>
    <w:pPr>
      <w:numPr>
        <w:ilvl w:val="3"/>
        <w:numId w:val="8"/>
      </w:numPr>
      <w:outlineLvl w:val="3"/>
    </w:pPr>
    <w:rPr>
      <w:rFonts w:hAnsi="Arial"/>
      <w:kern w:val="32"/>
      <w:szCs w:val="36"/>
    </w:rPr>
  </w:style>
  <w:style w:type="paragraph" w:styleId="5">
    <w:name w:val="heading 5"/>
    <w:aliases w:val="(一)"/>
    <w:basedOn w:val="a6"/>
    <w:link w:val="50"/>
    <w:qFormat/>
    <w:rsid w:val="004F5E57"/>
    <w:pPr>
      <w:numPr>
        <w:ilvl w:val="4"/>
        <w:numId w:val="8"/>
      </w:numPr>
      <w:outlineLvl w:val="4"/>
    </w:pPr>
    <w:rPr>
      <w:rFonts w:hAnsi="Arial"/>
      <w:bCs/>
      <w:kern w:val="32"/>
      <w:szCs w:val="36"/>
    </w:rPr>
  </w:style>
  <w:style w:type="paragraph" w:styleId="6">
    <w:name w:val="heading 6"/>
    <w:aliases w:val="1"/>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85841"/>
    <w:pPr>
      <w:overflowPunct/>
      <w:autoSpaceDE/>
      <w:autoSpaceDN/>
      <w:snapToGrid w:val="0"/>
      <w:jc w:val="left"/>
    </w:pPr>
    <w:rPr>
      <w:rFonts w:ascii="Times New Roman"/>
      <w:sz w:val="20"/>
    </w:rPr>
  </w:style>
  <w:style w:type="character" w:customStyle="1" w:styleId="afe">
    <w:name w:val="註腳文字 字元"/>
    <w:basedOn w:val="a7"/>
    <w:link w:val="afd"/>
    <w:uiPriority w:val="99"/>
    <w:semiHidden/>
    <w:rsid w:val="00C85841"/>
    <w:rPr>
      <w:rFonts w:eastAsia="標楷體"/>
      <w:kern w:val="2"/>
    </w:rPr>
  </w:style>
  <w:style w:type="character" w:styleId="aff">
    <w:name w:val="footnote reference"/>
    <w:uiPriority w:val="99"/>
    <w:semiHidden/>
    <w:unhideWhenUsed/>
    <w:rsid w:val="00C85841"/>
    <w:rPr>
      <w:vertAlign w:val="superscript"/>
    </w:rPr>
  </w:style>
  <w:style w:type="paragraph" w:styleId="Web">
    <w:name w:val="Normal (Web)"/>
    <w:basedOn w:val="a6"/>
    <w:uiPriority w:val="99"/>
    <w:semiHidden/>
    <w:unhideWhenUsed/>
    <w:rsid w:val="00925CF3"/>
    <w:rPr>
      <w:rFonts w:ascii="Times New Roman"/>
      <w:sz w:val="24"/>
      <w:szCs w:val="24"/>
    </w:rPr>
  </w:style>
  <w:style w:type="character" w:customStyle="1" w:styleId="50">
    <w:name w:val="標題 5 字元"/>
    <w:aliases w:val="(一) 字元"/>
    <w:basedOn w:val="a7"/>
    <w:link w:val="5"/>
    <w:rsid w:val="00BE02BF"/>
    <w:rPr>
      <w:rFonts w:ascii="標楷體" w:eastAsia="標楷體" w:hAnsi="Arial"/>
      <w:bCs/>
      <w:kern w:val="32"/>
      <w:sz w:val="32"/>
      <w:szCs w:val="36"/>
    </w:rPr>
  </w:style>
  <w:style w:type="character" w:styleId="aff0">
    <w:name w:val="Placeholder Text"/>
    <w:basedOn w:val="a7"/>
    <w:uiPriority w:val="99"/>
    <w:semiHidden/>
    <w:rsid w:val="005D4CD7"/>
    <w:rPr>
      <w:color w:val="808080"/>
    </w:rPr>
  </w:style>
  <w:style w:type="character" w:customStyle="1" w:styleId="40">
    <w:name w:val="標題 4 字元"/>
    <w:aliases w:val="表格 字元,一 字元"/>
    <w:basedOn w:val="a7"/>
    <w:link w:val="4"/>
    <w:qFormat/>
    <w:rsid w:val="006309C8"/>
    <w:rPr>
      <w:rFonts w:ascii="標楷體" w:eastAsia="標楷體" w:hAnsi="Arial"/>
      <w:kern w:val="32"/>
      <w:sz w:val="32"/>
      <w:szCs w:val="36"/>
    </w:rPr>
  </w:style>
  <w:style w:type="character" w:customStyle="1" w:styleId="af8">
    <w:name w:val="清單段落 字元"/>
    <w:link w:val="af7"/>
    <w:uiPriority w:val="34"/>
    <w:locked/>
    <w:rsid w:val="004E00E1"/>
    <w:rPr>
      <w:rFonts w:ascii="標楷體" w:eastAsia="標楷體"/>
      <w:kern w:val="2"/>
      <w:sz w:val="32"/>
    </w:rPr>
  </w:style>
  <w:style w:type="paragraph" w:customStyle="1" w:styleId="fbox-ov">
    <w:name w:val="fbox-ov"/>
    <w:basedOn w:val="a6"/>
    <w:rsid w:val="00733A6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8547F8"/>
    <w:rPr>
      <w:rFonts w:ascii="Courier New" w:hAnsi="Courier New" w:cs="Courier New"/>
      <w:sz w:val="20"/>
    </w:rPr>
  </w:style>
  <w:style w:type="character" w:customStyle="1" w:styleId="HTML0">
    <w:name w:val="HTML 預設格式 字元"/>
    <w:basedOn w:val="a7"/>
    <w:link w:val="HTML"/>
    <w:uiPriority w:val="99"/>
    <w:semiHidden/>
    <w:rsid w:val="008547F8"/>
    <w:rPr>
      <w:rFonts w:ascii="Courier New" w:eastAsia="標楷體" w:hAnsi="Courier New" w:cs="Courier New"/>
      <w:kern w:val="2"/>
    </w:rPr>
  </w:style>
  <w:style w:type="character" w:customStyle="1" w:styleId="30">
    <w:name w:val="標題 3 字元"/>
    <w:link w:val="3"/>
    <w:qFormat/>
    <w:rsid w:val="007F35F2"/>
    <w:rPr>
      <w:rFonts w:ascii="標楷體" w:eastAsia="標楷體" w:hAnsi="Arial"/>
      <w:bCs/>
      <w:kern w:val="32"/>
      <w:sz w:val="32"/>
      <w:szCs w:val="36"/>
    </w:rPr>
  </w:style>
  <w:style w:type="table" w:styleId="aff1">
    <w:name w:val="Grid Table Light"/>
    <w:basedOn w:val="a8"/>
    <w:uiPriority w:val="40"/>
    <w:rsid w:val="00EF2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1">
    <w:name w:val="st1"/>
    <w:basedOn w:val="a7"/>
    <w:rsid w:val="00643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5699">
      <w:bodyDiv w:val="1"/>
      <w:marLeft w:val="0"/>
      <w:marRight w:val="0"/>
      <w:marTop w:val="0"/>
      <w:marBottom w:val="0"/>
      <w:divBdr>
        <w:top w:val="none" w:sz="0" w:space="0" w:color="auto"/>
        <w:left w:val="none" w:sz="0" w:space="0" w:color="auto"/>
        <w:bottom w:val="none" w:sz="0" w:space="0" w:color="auto"/>
        <w:right w:val="none" w:sz="0" w:space="0" w:color="auto"/>
      </w:divBdr>
    </w:div>
    <w:div w:id="141973321">
      <w:bodyDiv w:val="1"/>
      <w:marLeft w:val="0"/>
      <w:marRight w:val="0"/>
      <w:marTop w:val="0"/>
      <w:marBottom w:val="0"/>
      <w:divBdr>
        <w:top w:val="none" w:sz="0" w:space="0" w:color="auto"/>
        <w:left w:val="none" w:sz="0" w:space="0" w:color="auto"/>
        <w:bottom w:val="none" w:sz="0" w:space="0" w:color="auto"/>
        <w:right w:val="none" w:sz="0" w:space="0" w:color="auto"/>
      </w:divBdr>
    </w:div>
    <w:div w:id="209194594">
      <w:bodyDiv w:val="1"/>
      <w:marLeft w:val="0"/>
      <w:marRight w:val="0"/>
      <w:marTop w:val="0"/>
      <w:marBottom w:val="0"/>
      <w:divBdr>
        <w:top w:val="none" w:sz="0" w:space="0" w:color="auto"/>
        <w:left w:val="none" w:sz="0" w:space="0" w:color="auto"/>
        <w:bottom w:val="none" w:sz="0" w:space="0" w:color="auto"/>
        <w:right w:val="none" w:sz="0" w:space="0" w:color="auto"/>
      </w:divBdr>
    </w:div>
    <w:div w:id="335116754">
      <w:bodyDiv w:val="1"/>
      <w:marLeft w:val="0"/>
      <w:marRight w:val="0"/>
      <w:marTop w:val="0"/>
      <w:marBottom w:val="0"/>
      <w:divBdr>
        <w:top w:val="none" w:sz="0" w:space="0" w:color="auto"/>
        <w:left w:val="none" w:sz="0" w:space="0" w:color="auto"/>
        <w:bottom w:val="none" w:sz="0" w:space="0" w:color="auto"/>
        <w:right w:val="none" w:sz="0" w:space="0" w:color="auto"/>
      </w:divBdr>
    </w:div>
    <w:div w:id="339545715">
      <w:bodyDiv w:val="1"/>
      <w:marLeft w:val="0"/>
      <w:marRight w:val="0"/>
      <w:marTop w:val="0"/>
      <w:marBottom w:val="0"/>
      <w:divBdr>
        <w:top w:val="none" w:sz="0" w:space="0" w:color="auto"/>
        <w:left w:val="none" w:sz="0" w:space="0" w:color="auto"/>
        <w:bottom w:val="none" w:sz="0" w:space="0" w:color="auto"/>
        <w:right w:val="none" w:sz="0" w:space="0" w:color="auto"/>
      </w:divBdr>
    </w:div>
    <w:div w:id="437457771">
      <w:bodyDiv w:val="1"/>
      <w:marLeft w:val="0"/>
      <w:marRight w:val="0"/>
      <w:marTop w:val="0"/>
      <w:marBottom w:val="0"/>
      <w:divBdr>
        <w:top w:val="none" w:sz="0" w:space="0" w:color="auto"/>
        <w:left w:val="none" w:sz="0" w:space="0" w:color="auto"/>
        <w:bottom w:val="none" w:sz="0" w:space="0" w:color="auto"/>
        <w:right w:val="none" w:sz="0" w:space="0" w:color="auto"/>
      </w:divBdr>
    </w:div>
    <w:div w:id="552351648">
      <w:bodyDiv w:val="1"/>
      <w:marLeft w:val="0"/>
      <w:marRight w:val="0"/>
      <w:marTop w:val="0"/>
      <w:marBottom w:val="0"/>
      <w:divBdr>
        <w:top w:val="none" w:sz="0" w:space="0" w:color="auto"/>
        <w:left w:val="none" w:sz="0" w:space="0" w:color="auto"/>
        <w:bottom w:val="none" w:sz="0" w:space="0" w:color="auto"/>
        <w:right w:val="none" w:sz="0" w:space="0" w:color="auto"/>
      </w:divBdr>
    </w:div>
    <w:div w:id="7683493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4154159">
      <w:bodyDiv w:val="1"/>
      <w:marLeft w:val="0"/>
      <w:marRight w:val="0"/>
      <w:marTop w:val="0"/>
      <w:marBottom w:val="0"/>
      <w:divBdr>
        <w:top w:val="none" w:sz="0" w:space="0" w:color="auto"/>
        <w:left w:val="none" w:sz="0" w:space="0" w:color="auto"/>
        <w:bottom w:val="none" w:sz="0" w:space="0" w:color="auto"/>
        <w:right w:val="none" w:sz="0" w:space="0" w:color="auto"/>
      </w:divBdr>
    </w:div>
    <w:div w:id="873542665">
      <w:bodyDiv w:val="1"/>
      <w:marLeft w:val="0"/>
      <w:marRight w:val="0"/>
      <w:marTop w:val="0"/>
      <w:marBottom w:val="0"/>
      <w:divBdr>
        <w:top w:val="none" w:sz="0" w:space="0" w:color="auto"/>
        <w:left w:val="none" w:sz="0" w:space="0" w:color="auto"/>
        <w:bottom w:val="none" w:sz="0" w:space="0" w:color="auto"/>
        <w:right w:val="none" w:sz="0" w:space="0" w:color="auto"/>
      </w:divBdr>
    </w:div>
    <w:div w:id="949975192">
      <w:bodyDiv w:val="1"/>
      <w:marLeft w:val="0"/>
      <w:marRight w:val="0"/>
      <w:marTop w:val="0"/>
      <w:marBottom w:val="0"/>
      <w:divBdr>
        <w:top w:val="none" w:sz="0" w:space="0" w:color="auto"/>
        <w:left w:val="none" w:sz="0" w:space="0" w:color="auto"/>
        <w:bottom w:val="none" w:sz="0" w:space="0" w:color="auto"/>
        <w:right w:val="none" w:sz="0" w:space="0" w:color="auto"/>
      </w:divBdr>
    </w:div>
    <w:div w:id="1008676433">
      <w:bodyDiv w:val="1"/>
      <w:marLeft w:val="0"/>
      <w:marRight w:val="0"/>
      <w:marTop w:val="0"/>
      <w:marBottom w:val="0"/>
      <w:divBdr>
        <w:top w:val="none" w:sz="0" w:space="0" w:color="auto"/>
        <w:left w:val="none" w:sz="0" w:space="0" w:color="auto"/>
        <w:bottom w:val="none" w:sz="0" w:space="0" w:color="auto"/>
        <w:right w:val="none" w:sz="0" w:space="0" w:color="auto"/>
      </w:divBdr>
    </w:div>
    <w:div w:id="1036781341">
      <w:bodyDiv w:val="1"/>
      <w:marLeft w:val="0"/>
      <w:marRight w:val="0"/>
      <w:marTop w:val="0"/>
      <w:marBottom w:val="0"/>
      <w:divBdr>
        <w:top w:val="none" w:sz="0" w:space="0" w:color="auto"/>
        <w:left w:val="none" w:sz="0" w:space="0" w:color="auto"/>
        <w:bottom w:val="none" w:sz="0" w:space="0" w:color="auto"/>
        <w:right w:val="none" w:sz="0" w:space="0" w:color="auto"/>
      </w:divBdr>
    </w:div>
    <w:div w:id="1080492783">
      <w:bodyDiv w:val="1"/>
      <w:marLeft w:val="0"/>
      <w:marRight w:val="0"/>
      <w:marTop w:val="0"/>
      <w:marBottom w:val="0"/>
      <w:divBdr>
        <w:top w:val="none" w:sz="0" w:space="0" w:color="auto"/>
        <w:left w:val="none" w:sz="0" w:space="0" w:color="auto"/>
        <w:bottom w:val="none" w:sz="0" w:space="0" w:color="auto"/>
        <w:right w:val="none" w:sz="0" w:space="0" w:color="auto"/>
      </w:divBdr>
    </w:div>
    <w:div w:id="1166557681">
      <w:bodyDiv w:val="1"/>
      <w:marLeft w:val="0"/>
      <w:marRight w:val="0"/>
      <w:marTop w:val="0"/>
      <w:marBottom w:val="0"/>
      <w:divBdr>
        <w:top w:val="none" w:sz="0" w:space="0" w:color="auto"/>
        <w:left w:val="none" w:sz="0" w:space="0" w:color="auto"/>
        <w:bottom w:val="none" w:sz="0" w:space="0" w:color="auto"/>
        <w:right w:val="none" w:sz="0" w:space="0" w:color="auto"/>
      </w:divBdr>
    </w:div>
    <w:div w:id="1168133437">
      <w:bodyDiv w:val="1"/>
      <w:marLeft w:val="0"/>
      <w:marRight w:val="0"/>
      <w:marTop w:val="0"/>
      <w:marBottom w:val="0"/>
      <w:divBdr>
        <w:top w:val="none" w:sz="0" w:space="0" w:color="auto"/>
        <w:left w:val="none" w:sz="0" w:space="0" w:color="auto"/>
        <w:bottom w:val="none" w:sz="0" w:space="0" w:color="auto"/>
        <w:right w:val="none" w:sz="0" w:space="0" w:color="auto"/>
      </w:divBdr>
    </w:div>
    <w:div w:id="1355691568">
      <w:bodyDiv w:val="1"/>
      <w:marLeft w:val="0"/>
      <w:marRight w:val="0"/>
      <w:marTop w:val="0"/>
      <w:marBottom w:val="0"/>
      <w:divBdr>
        <w:top w:val="none" w:sz="0" w:space="0" w:color="auto"/>
        <w:left w:val="none" w:sz="0" w:space="0" w:color="auto"/>
        <w:bottom w:val="none" w:sz="0" w:space="0" w:color="auto"/>
        <w:right w:val="none" w:sz="0" w:space="0" w:color="auto"/>
      </w:divBdr>
    </w:div>
    <w:div w:id="1414231634">
      <w:bodyDiv w:val="1"/>
      <w:marLeft w:val="0"/>
      <w:marRight w:val="0"/>
      <w:marTop w:val="0"/>
      <w:marBottom w:val="0"/>
      <w:divBdr>
        <w:top w:val="none" w:sz="0" w:space="0" w:color="auto"/>
        <w:left w:val="none" w:sz="0" w:space="0" w:color="auto"/>
        <w:bottom w:val="none" w:sz="0" w:space="0" w:color="auto"/>
        <w:right w:val="none" w:sz="0" w:space="0" w:color="auto"/>
      </w:divBdr>
    </w:div>
    <w:div w:id="1431657433">
      <w:bodyDiv w:val="1"/>
      <w:marLeft w:val="0"/>
      <w:marRight w:val="0"/>
      <w:marTop w:val="0"/>
      <w:marBottom w:val="0"/>
      <w:divBdr>
        <w:top w:val="none" w:sz="0" w:space="0" w:color="auto"/>
        <w:left w:val="none" w:sz="0" w:space="0" w:color="auto"/>
        <w:bottom w:val="none" w:sz="0" w:space="0" w:color="auto"/>
        <w:right w:val="none" w:sz="0" w:space="0" w:color="auto"/>
      </w:divBdr>
    </w:div>
    <w:div w:id="1584101369">
      <w:bodyDiv w:val="1"/>
      <w:marLeft w:val="0"/>
      <w:marRight w:val="0"/>
      <w:marTop w:val="0"/>
      <w:marBottom w:val="0"/>
      <w:divBdr>
        <w:top w:val="none" w:sz="0" w:space="0" w:color="auto"/>
        <w:left w:val="none" w:sz="0" w:space="0" w:color="auto"/>
        <w:bottom w:val="none" w:sz="0" w:space="0" w:color="auto"/>
        <w:right w:val="none" w:sz="0" w:space="0" w:color="auto"/>
      </w:divBdr>
    </w:div>
    <w:div w:id="1596985053">
      <w:bodyDiv w:val="1"/>
      <w:marLeft w:val="0"/>
      <w:marRight w:val="0"/>
      <w:marTop w:val="0"/>
      <w:marBottom w:val="0"/>
      <w:divBdr>
        <w:top w:val="none" w:sz="0" w:space="0" w:color="auto"/>
        <w:left w:val="none" w:sz="0" w:space="0" w:color="auto"/>
        <w:bottom w:val="none" w:sz="0" w:space="0" w:color="auto"/>
        <w:right w:val="none" w:sz="0" w:space="0" w:color="auto"/>
      </w:divBdr>
    </w:div>
    <w:div w:id="1685748602">
      <w:bodyDiv w:val="1"/>
      <w:marLeft w:val="0"/>
      <w:marRight w:val="0"/>
      <w:marTop w:val="0"/>
      <w:marBottom w:val="0"/>
      <w:divBdr>
        <w:top w:val="none" w:sz="0" w:space="0" w:color="auto"/>
        <w:left w:val="none" w:sz="0" w:space="0" w:color="auto"/>
        <w:bottom w:val="none" w:sz="0" w:space="0" w:color="auto"/>
        <w:right w:val="none" w:sz="0" w:space="0" w:color="auto"/>
      </w:divBdr>
    </w:div>
    <w:div w:id="1747218758">
      <w:bodyDiv w:val="1"/>
      <w:marLeft w:val="0"/>
      <w:marRight w:val="0"/>
      <w:marTop w:val="0"/>
      <w:marBottom w:val="0"/>
      <w:divBdr>
        <w:top w:val="none" w:sz="0" w:space="0" w:color="auto"/>
        <w:left w:val="none" w:sz="0" w:space="0" w:color="auto"/>
        <w:bottom w:val="none" w:sz="0" w:space="0" w:color="auto"/>
        <w:right w:val="none" w:sz="0" w:space="0" w:color="auto"/>
      </w:divBdr>
    </w:div>
    <w:div w:id="1836220156">
      <w:bodyDiv w:val="1"/>
      <w:marLeft w:val="0"/>
      <w:marRight w:val="0"/>
      <w:marTop w:val="0"/>
      <w:marBottom w:val="0"/>
      <w:divBdr>
        <w:top w:val="none" w:sz="0" w:space="0" w:color="auto"/>
        <w:left w:val="none" w:sz="0" w:space="0" w:color="auto"/>
        <w:bottom w:val="none" w:sz="0" w:space="0" w:color="auto"/>
        <w:right w:val="none" w:sz="0" w:space="0" w:color="auto"/>
      </w:divBdr>
    </w:div>
    <w:div w:id="1989824383">
      <w:bodyDiv w:val="1"/>
      <w:marLeft w:val="0"/>
      <w:marRight w:val="0"/>
      <w:marTop w:val="0"/>
      <w:marBottom w:val="0"/>
      <w:divBdr>
        <w:top w:val="none" w:sz="0" w:space="0" w:color="auto"/>
        <w:left w:val="none" w:sz="0" w:space="0" w:color="auto"/>
        <w:bottom w:val="none" w:sz="0" w:space="0" w:color="auto"/>
        <w:right w:val="none" w:sz="0" w:space="0" w:color="auto"/>
      </w:divBdr>
    </w:div>
    <w:div w:id="2030718121">
      <w:bodyDiv w:val="1"/>
      <w:marLeft w:val="0"/>
      <w:marRight w:val="0"/>
      <w:marTop w:val="0"/>
      <w:marBottom w:val="0"/>
      <w:divBdr>
        <w:top w:val="none" w:sz="0" w:space="0" w:color="auto"/>
        <w:left w:val="none" w:sz="0" w:space="0" w:color="auto"/>
        <w:bottom w:val="none" w:sz="0" w:space="0" w:color="auto"/>
        <w:right w:val="none" w:sz="0" w:space="0" w:color="auto"/>
      </w:divBdr>
    </w:div>
    <w:div w:id="2036225310">
      <w:bodyDiv w:val="1"/>
      <w:marLeft w:val="0"/>
      <w:marRight w:val="0"/>
      <w:marTop w:val="0"/>
      <w:marBottom w:val="0"/>
      <w:divBdr>
        <w:top w:val="none" w:sz="0" w:space="0" w:color="auto"/>
        <w:left w:val="none" w:sz="0" w:space="0" w:color="auto"/>
        <w:bottom w:val="none" w:sz="0" w:space="0" w:color="auto"/>
        <w:right w:val="none" w:sz="0" w:space="0" w:color="auto"/>
      </w:divBdr>
    </w:div>
    <w:div w:id="2048672850">
      <w:bodyDiv w:val="1"/>
      <w:marLeft w:val="0"/>
      <w:marRight w:val="0"/>
      <w:marTop w:val="0"/>
      <w:marBottom w:val="0"/>
      <w:divBdr>
        <w:top w:val="none" w:sz="0" w:space="0" w:color="auto"/>
        <w:left w:val="none" w:sz="0" w:space="0" w:color="auto"/>
        <w:bottom w:val="none" w:sz="0" w:space="0" w:color="auto"/>
        <w:right w:val="none" w:sz="0" w:space="0" w:color="auto"/>
      </w:divBdr>
    </w:div>
    <w:div w:id="20843348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197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upf/newmedia/2018_data/rural_medic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6BECB-CE53-405C-BF28-41882F57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2020-04-22T06:50:00Z</dcterms:created>
  <dcterms:modified xsi:type="dcterms:W3CDTF">2020-04-22T06:50:00Z</dcterms:modified>
</cp:coreProperties>
</file>