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9B1" w:rsidRDefault="00F709B1" w:rsidP="00F709B1">
      <w:pPr>
        <w:pStyle w:val="1"/>
        <w:numPr>
          <w:ilvl w:val="0"/>
          <w:numId w:val="0"/>
        </w:numPr>
        <w:jc w:val="cente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sidRPr="00D64819">
        <w:rPr>
          <w:rFonts w:hint="eastAsia"/>
        </w:rPr>
        <w:t>調查</w:t>
      </w:r>
      <w:r w:rsidR="00EB5E57">
        <w:rPr>
          <w:rFonts w:hint="eastAsia"/>
        </w:rPr>
        <w:t>報告</w:t>
      </w:r>
      <w:bookmarkEnd w:id="0"/>
      <w:bookmarkEnd w:id="1"/>
      <w:bookmarkEnd w:id="2"/>
      <w:bookmarkEnd w:id="3"/>
      <w:bookmarkEnd w:id="4"/>
      <w:bookmarkEnd w:id="5"/>
      <w:bookmarkEnd w:id="6"/>
      <w:bookmarkEnd w:id="7"/>
      <w:bookmarkEnd w:id="8"/>
      <w:bookmarkEnd w:id="9"/>
      <w:bookmarkEnd w:id="10"/>
      <w:bookmarkEnd w:id="11"/>
      <w:bookmarkEnd w:id="12"/>
      <w:bookmarkEnd w:id="13"/>
    </w:p>
    <w:p w:rsidR="00EB5E57" w:rsidRDefault="00EB5E57" w:rsidP="00EB5E57">
      <w:pPr>
        <w:pStyle w:val="1"/>
        <w:ind w:left="2380" w:hanging="2380"/>
        <w:rPr>
          <w:rFonts w:hAnsi="標楷體"/>
        </w:rPr>
      </w:pPr>
      <w:bookmarkStart w:id="14" w:name="_Toc524892368"/>
      <w:bookmarkStart w:id="15" w:name="_Toc524895638"/>
      <w:bookmarkStart w:id="16" w:name="_Toc524896184"/>
      <w:bookmarkStart w:id="17" w:name="_Toc524896214"/>
      <w:bookmarkStart w:id="18" w:name="_Toc524902720"/>
      <w:bookmarkStart w:id="19" w:name="_Toc525066139"/>
      <w:bookmarkStart w:id="20" w:name="_Toc525070829"/>
      <w:bookmarkStart w:id="21" w:name="_Toc525938369"/>
      <w:bookmarkStart w:id="22" w:name="_Toc525939217"/>
      <w:bookmarkStart w:id="23" w:name="_Toc525939722"/>
      <w:bookmarkStart w:id="24" w:name="_Toc422834150"/>
      <w:bookmarkStart w:id="25" w:name="_Toc421794865"/>
      <w:bookmarkStart w:id="26" w:name="_Toc529218256"/>
      <w:bookmarkStart w:id="27" w:name="_Toc529222679"/>
      <w:bookmarkStart w:id="28" w:name="_Toc529223101"/>
      <w:bookmarkStart w:id="29" w:name="_Toc529223852"/>
      <w:bookmarkStart w:id="30" w:name="_Toc529228248"/>
      <w:bookmarkStart w:id="31" w:name="_Toc2400384"/>
      <w:bookmarkStart w:id="32" w:name="_Toc4316179"/>
      <w:bookmarkStart w:id="33" w:name="_Toc4473320"/>
      <w:bookmarkStart w:id="34" w:name="_Toc69556887"/>
      <w:bookmarkStart w:id="35" w:name="_Toc69556936"/>
      <w:bookmarkStart w:id="36" w:name="_Toc69609810"/>
      <w:bookmarkStart w:id="37" w:name="_Toc70241806"/>
      <w:bookmarkStart w:id="38" w:name="_Toc70242195"/>
      <w:r w:rsidRPr="00D64819">
        <w:rPr>
          <w:rFonts w:hAnsi="標楷體" w:hint="eastAsia"/>
        </w:rPr>
        <w:t>案　　由：</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EB5E57" w:rsidRPr="00D64819" w:rsidRDefault="00EB5E57" w:rsidP="00EB5E57">
      <w:pPr>
        <w:pStyle w:val="1"/>
        <w:numPr>
          <w:ilvl w:val="0"/>
          <w:numId w:val="0"/>
        </w:numPr>
        <w:ind w:firstLineChars="208" w:firstLine="708"/>
        <w:rPr>
          <w:rFonts w:hAnsi="標楷體"/>
        </w:rPr>
      </w:pPr>
      <w:r w:rsidRPr="00D64819">
        <w:rPr>
          <w:rFonts w:hAnsi="標楷體"/>
        </w:rPr>
        <w:t>據審計部</w:t>
      </w:r>
      <w:proofErr w:type="gramStart"/>
      <w:r w:rsidRPr="00D64819">
        <w:rPr>
          <w:rFonts w:hAnsi="標楷體"/>
        </w:rPr>
        <w:t>107</w:t>
      </w:r>
      <w:proofErr w:type="gramEnd"/>
      <w:r w:rsidRPr="00D64819">
        <w:rPr>
          <w:rFonts w:hAnsi="標楷體"/>
        </w:rPr>
        <w:t>年度中央政府總決算審核報告</w:t>
      </w:r>
      <w:r w:rsidRPr="00D64819">
        <w:rPr>
          <w:rFonts w:hAnsi="標楷體"/>
        </w:rPr>
        <w:br/>
        <w:t>，司法院為保障人權，修訂刑事補償法等相關規定據以辦理刑事補償事宜，惟部分法院未依規定設置刑事補償事件求償審查委員會，或雖設置</w:t>
      </w:r>
      <w:proofErr w:type="gramStart"/>
      <w:r w:rsidRPr="00D64819">
        <w:rPr>
          <w:rFonts w:hAnsi="標楷體"/>
        </w:rPr>
        <w:t>惟</w:t>
      </w:r>
      <w:proofErr w:type="gramEnd"/>
      <w:r w:rsidRPr="00D64819">
        <w:rPr>
          <w:rFonts w:hAnsi="標楷體"/>
        </w:rPr>
        <w:t>社會公正人士委員人數不符規定標準；又刑事補償案件多未依限辦理、求償作業相關管控措施</w:t>
      </w:r>
      <w:proofErr w:type="gramStart"/>
      <w:r w:rsidRPr="00D64819">
        <w:rPr>
          <w:rFonts w:hAnsi="標楷體"/>
        </w:rPr>
        <w:t>未盡周妥</w:t>
      </w:r>
      <w:proofErr w:type="gramEnd"/>
      <w:r w:rsidRPr="00D64819">
        <w:rPr>
          <w:rFonts w:hAnsi="標楷體"/>
        </w:rPr>
        <w:t>、相關資訊公開程度尚有不足等，亟待督促檢討</w:t>
      </w:r>
      <w:proofErr w:type="gramStart"/>
      <w:r w:rsidRPr="00D64819">
        <w:rPr>
          <w:rFonts w:hAnsi="標楷體"/>
        </w:rPr>
        <w:t>研</w:t>
      </w:r>
      <w:proofErr w:type="gramEnd"/>
      <w:r w:rsidRPr="00D64819">
        <w:rPr>
          <w:rFonts w:hAnsi="標楷體"/>
        </w:rPr>
        <w:t>謀強化案</w:t>
      </w:r>
      <w:r w:rsidRPr="00D64819">
        <w:rPr>
          <w:rFonts w:hAnsi="標楷體" w:hint="eastAsia"/>
        </w:rPr>
        <w:t>。</w:t>
      </w:r>
    </w:p>
    <w:p w:rsidR="00EB5E57" w:rsidRDefault="00EB5E57" w:rsidP="00EB5E57">
      <w:pPr>
        <w:pStyle w:val="1"/>
      </w:pPr>
      <w:bookmarkStart w:id="39" w:name="_Toc524902730"/>
      <w:r>
        <w:rPr>
          <w:rFonts w:hint="eastAsia"/>
        </w:rPr>
        <w:t>調查意見</w:t>
      </w:r>
    </w:p>
    <w:p w:rsidR="00EB5E57" w:rsidRPr="00D64819" w:rsidRDefault="00EB5E57" w:rsidP="00EB5E57">
      <w:pPr>
        <w:pStyle w:val="1"/>
        <w:numPr>
          <w:ilvl w:val="0"/>
          <w:numId w:val="0"/>
        </w:numPr>
        <w:ind w:firstLineChars="208" w:firstLine="708"/>
      </w:pPr>
      <w:r w:rsidRPr="00D64819">
        <w:rPr>
          <w:rFonts w:hint="eastAsia"/>
          <w:lang w:eastAsia="zh-HK"/>
        </w:rPr>
        <w:t>按任何人受非法逮捕或拘禁者，有權要求執行損害賠償</w:t>
      </w:r>
      <w:r w:rsidRPr="00D64819">
        <w:rPr>
          <w:rStyle w:val="aff4"/>
          <w:rFonts w:hAnsi="標楷體"/>
          <w:lang w:eastAsia="zh-HK"/>
        </w:rPr>
        <w:footnoteReference w:id="1"/>
      </w:r>
      <w:r w:rsidRPr="00D64819">
        <w:rPr>
          <w:rFonts w:hint="eastAsia"/>
          <w:lang w:eastAsia="zh-HK"/>
        </w:rPr>
        <w:t>。經終局判決判定犯罪，如後因提出新證據</w:t>
      </w:r>
      <w:proofErr w:type="gramStart"/>
      <w:r w:rsidRPr="00D64819">
        <w:rPr>
          <w:rFonts w:hint="eastAsia"/>
          <w:lang w:eastAsia="zh-HK"/>
        </w:rPr>
        <w:t>或因發見新</w:t>
      </w:r>
      <w:proofErr w:type="gramEnd"/>
      <w:r w:rsidRPr="00D64819">
        <w:rPr>
          <w:rFonts w:hint="eastAsia"/>
          <w:lang w:eastAsia="zh-HK"/>
        </w:rPr>
        <w:t>證據，確實證明原判錯誤而經撤銷原判或免刑者，除經證明有關證據之未能及時披露，應由其本人全部或局部負責者外，因此判決而服刑之人應依法受損害賠償</w:t>
      </w:r>
      <w:r w:rsidRPr="00D64819">
        <w:rPr>
          <w:rStyle w:val="aff4"/>
          <w:rFonts w:hAnsi="標楷體"/>
          <w:lang w:eastAsia="zh-HK"/>
        </w:rPr>
        <w:footnoteReference w:id="2"/>
      </w:r>
      <w:r w:rsidRPr="00D64819">
        <w:t>，</w:t>
      </w:r>
      <w:r w:rsidRPr="00D64819">
        <w:rPr>
          <w:rFonts w:hint="eastAsia"/>
          <w:lang w:eastAsia="zh-HK"/>
        </w:rPr>
        <w:t>聯合國</w:t>
      </w:r>
      <w:r w:rsidRPr="00D64819">
        <w:t>公民與政治權利國際公約</w:t>
      </w:r>
      <w:r w:rsidRPr="00D64819">
        <w:rPr>
          <w:rFonts w:hint="eastAsia"/>
        </w:rPr>
        <w:t>(</w:t>
      </w:r>
      <w:r w:rsidRPr="00D64819">
        <w:rPr>
          <w:rFonts w:hint="eastAsia"/>
          <w:lang w:eastAsia="zh-HK"/>
        </w:rPr>
        <w:t>International Covenant on Civil and Political Rights</w:t>
      </w:r>
      <w:r w:rsidRPr="00D64819">
        <w:rPr>
          <w:rFonts w:hint="eastAsia"/>
        </w:rPr>
        <w:t>, ICCPR)</w:t>
      </w:r>
      <w:r w:rsidRPr="00D64819">
        <w:t>第</w:t>
      </w:r>
      <w:r w:rsidRPr="00D64819">
        <w:rPr>
          <w:rFonts w:hint="eastAsia"/>
        </w:rPr>
        <w:t>9</w:t>
      </w:r>
      <w:r w:rsidRPr="00D64819">
        <w:t>條第</w:t>
      </w:r>
      <w:r w:rsidRPr="00D64819">
        <w:rPr>
          <w:rFonts w:hint="eastAsia"/>
        </w:rPr>
        <w:t>5</w:t>
      </w:r>
      <w:r w:rsidRPr="00D64819">
        <w:t>項、第</w:t>
      </w:r>
      <w:r w:rsidRPr="00D64819">
        <w:rPr>
          <w:rFonts w:hint="eastAsia"/>
        </w:rPr>
        <w:t>14</w:t>
      </w:r>
      <w:r w:rsidRPr="00D64819">
        <w:t>條第</w:t>
      </w:r>
      <w:r w:rsidRPr="00D64819">
        <w:rPr>
          <w:rFonts w:hint="eastAsia"/>
        </w:rPr>
        <w:t>6</w:t>
      </w:r>
      <w:r w:rsidRPr="00D64819">
        <w:t>項定有明文</w:t>
      </w:r>
      <w:r w:rsidRPr="00D64819">
        <w:rPr>
          <w:rFonts w:hint="eastAsia"/>
        </w:rPr>
        <w:t>。</w:t>
      </w:r>
      <w:r w:rsidRPr="00D64819">
        <w:t>我國為建立國家刑事補償法制，自民國（下同）</w:t>
      </w:r>
      <w:r w:rsidRPr="00D64819">
        <w:rPr>
          <w:rFonts w:hint="eastAsia"/>
        </w:rPr>
        <w:t>48</w:t>
      </w:r>
      <w:r w:rsidRPr="00D64819">
        <w:t>年</w:t>
      </w:r>
      <w:r w:rsidRPr="00D64819">
        <w:rPr>
          <w:rFonts w:hint="eastAsia"/>
        </w:rPr>
        <w:t>6</w:t>
      </w:r>
      <w:r w:rsidRPr="00D64819">
        <w:t>月</w:t>
      </w:r>
      <w:r w:rsidRPr="00D64819">
        <w:rPr>
          <w:rFonts w:hint="eastAsia"/>
        </w:rPr>
        <w:t>11</w:t>
      </w:r>
      <w:r w:rsidRPr="00D64819">
        <w:t>日制定公布，同年</w:t>
      </w:r>
      <w:r w:rsidRPr="00D64819">
        <w:rPr>
          <w:rFonts w:hint="eastAsia"/>
        </w:rPr>
        <w:t>9</w:t>
      </w:r>
      <w:r w:rsidRPr="00D64819">
        <w:t>月</w:t>
      </w:r>
      <w:r w:rsidRPr="00D64819">
        <w:rPr>
          <w:rFonts w:hint="eastAsia"/>
        </w:rPr>
        <w:t>1</w:t>
      </w:r>
      <w:r w:rsidRPr="00D64819">
        <w:t>日施行冤獄賠償法，其後歷經司法院釋字第</w:t>
      </w:r>
      <w:r w:rsidRPr="00D64819">
        <w:rPr>
          <w:rFonts w:hint="eastAsia"/>
        </w:rPr>
        <w:t>477</w:t>
      </w:r>
      <w:r w:rsidRPr="00D64819">
        <w:t>號、第</w:t>
      </w:r>
      <w:r w:rsidRPr="00D64819">
        <w:rPr>
          <w:rFonts w:hint="eastAsia"/>
        </w:rPr>
        <w:t>487</w:t>
      </w:r>
      <w:r w:rsidRPr="00D64819">
        <w:t>號、第</w:t>
      </w:r>
      <w:r w:rsidRPr="00D64819">
        <w:rPr>
          <w:rFonts w:hint="eastAsia"/>
        </w:rPr>
        <w:t>624</w:t>
      </w:r>
      <w:r w:rsidRPr="00D64819">
        <w:t>號解釋為部分修正，復經司法院釋字第</w:t>
      </w:r>
      <w:r w:rsidRPr="00D64819">
        <w:rPr>
          <w:rFonts w:hint="eastAsia"/>
        </w:rPr>
        <w:t>670</w:t>
      </w:r>
      <w:r w:rsidRPr="00D64819">
        <w:t>號解釋要求為通盤檢討，乃於</w:t>
      </w:r>
      <w:r w:rsidRPr="00D64819">
        <w:rPr>
          <w:rFonts w:hint="eastAsia"/>
        </w:rPr>
        <w:t>100</w:t>
      </w:r>
      <w:r w:rsidRPr="00D64819">
        <w:t>年</w:t>
      </w:r>
      <w:r w:rsidRPr="00D64819">
        <w:rPr>
          <w:rFonts w:hint="eastAsia"/>
        </w:rPr>
        <w:t>7</w:t>
      </w:r>
      <w:r w:rsidRPr="00D64819">
        <w:t>月</w:t>
      </w:r>
      <w:r w:rsidRPr="00D64819">
        <w:rPr>
          <w:rFonts w:hint="eastAsia"/>
        </w:rPr>
        <w:t>9</w:t>
      </w:r>
      <w:r w:rsidRPr="00D64819">
        <w:t>日修正公布，同年</w:t>
      </w:r>
      <w:r w:rsidRPr="00D64819">
        <w:rPr>
          <w:rFonts w:hint="eastAsia"/>
        </w:rPr>
        <w:t>9</w:t>
      </w:r>
      <w:r w:rsidRPr="00D64819">
        <w:t>月</w:t>
      </w:r>
      <w:r w:rsidRPr="00D64819">
        <w:rPr>
          <w:rFonts w:hint="eastAsia"/>
        </w:rPr>
        <w:t>1</w:t>
      </w:r>
      <w:r w:rsidRPr="00D64819">
        <w:t>日施行刑事補償法。</w:t>
      </w:r>
    </w:p>
    <w:p w:rsidR="00EB5E57" w:rsidRPr="00D64819" w:rsidRDefault="00EB5E57" w:rsidP="00F709B1">
      <w:pPr>
        <w:pStyle w:val="11"/>
        <w:ind w:left="680" w:firstLine="680"/>
        <w:rPr>
          <w:rFonts w:hAnsi="標楷體"/>
        </w:rPr>
      </w:pPr>
      <w:r w:rsidRPr="00D64819">
        <w:rPr>
          <w:rFonts w:hAnsi="標楷體"/>
        </w:rPr>
        <w:t>本</w:t>
      </w:r>
      <w:proofErr w:type="gramStart"/>
      <w:r w:rsidRPr="00D64819">
        <w:rPr>
          <w:rFonts w:hAnsi="標楷體"/>
        </w:rPr>
        <w:t>案係據審計</w:t>
      </w:r>
      <w:proofErr w:type="gramEnd"/>
      <w:r w:rsidRPr="00D64819">
        <w:rPr>
          <w:rFonts w:hAnsi="標楷體"/>
        </w:rPr>
        <w:t>部</w:t>
      </w:r>
      <w:proofErr w:type="gramStart"/>
      <w:r w:rsidRPr="00D64819">
        <w:rPr>
          <w:rFonts w:hAnsi="標楷體"/>
        </w:rPr>
        <w:t>107</w:t>
      </w:r>
      <w:proofErr w:type="gramEnd"/>
      <w:r w:rsidRPr="00D64819">
        <w:rPr>
          <w:rFonts w:hAnsi="標楷體"/>
        </w:rPr>
        <w:t>年度中央政府總決算審核報告乙-135頁所載審核意見略</w:t>
      </w:r>
      <w:proofErr w:type="gramStart"/>
      <w:r w:rsidRPr="00D64819">
        <w:rPr>
          <w:rFonts w:hAnsi="標楷體"/>
        </w:rPr>
        <w:t>以</w:t>
      </w:r>
      <w:proofErr w:type="gramEnd"/>
      <w:r w:rsidRPr="00D64819">
        <w:rPr>
          <w:rFonts w:hAnsi="標楷體"/>
        </w:rPr>
        <w:t>：「</w:t>
      </w:r>
      <w:r w:rsidRPr="00D64819">
        <w:rPr>
          <w:rFonts w:hAnsi="標楷體" w:hint="eastAsia"/>
        </w:rPr>
        <w:t>5</w:t>
      </w:r>
      <w:r w:rsidRPr="00D64819">
        <w:rPr>
          <w:rFonts w:hAnsi="標楷體"/>
        </w:rPr>
        <w:t>.司法院為保障人權，修</w:t>
      </w:r>
      <w:r w:rsidRPr="00D64819">
        <w:rPr>
          <w:rFonts w:hAnsi="標楷體"/>
        </w:rPr>
        <w:lastRenderedPageBreak/>
        <w:t>訂刑事補償法等相關規定據以辦理刑事補償事宜，惟部分法院未依規定設置刑事補償事件求償審查委員會，或雖設置</w:t>
      </w:r>
      <w:proofErr w:type="gramStart"/>
      <w:r w:rsidRPr="00D64819">
        <w:rPr>
          <w:rFonts w:hAnsi="標楷體"/>
        </w:rPr>
        <w:t>惟</w:t>
      </w:r>
      <w:proofErr w:type="gramEnd"/>
      <w:r w:rsidRPr="00D64819">
        <w:rPr>
          <w:rFonts w:hAnsi="標楷體"/>
        </w:rPr>
        <w:t>社會公正人士委員人數不符規定標準；又刑事補償案件多未依限辦理、求償作業相關管控措施</w:t>
      </w:r>
      <w:proofErr w:type="gramStart"/>
      <w:r w:rsidRPr="00D64819">
        <w:rPr>
          <w:rFonts w:hAnsi="標楷體"/>
        </w:rPr>
        <w:t>未盡周妥</w:t>
      </w:r>
      <w:proofErr w:type="gramEnd"/>
      <w:r w:rsidRPr="00D64819">
        <w:rPr>
          <w:rFonts w:hAnsi="標楷體"/>
        </w:rPr>
        <w:t>、相關資訊公開程度尚有不足等，亟待督促檢討</w:t>
      </w:r>
      <w:proofErr w:type="gramStart"/>
      <w:r w:rsidRPr="00D64819">
        <w:rPr>
          <w:rFonts w:hAnsi="標楷體"/>
        </w:rPr>
        <w:t>研</w:t>
      </w:r>
      <w:proofErr w:type="gramEnd"/>
      <w:r w:rsidRPr="00D64819">
        <w:rPr>
          <w:rFonts w:hAnsi="標楷體"/>
        </w:rPr>
        <w:t>謀強化」，經本院司法及獄政委員會第5屆第63次會議決議推派調查。</w:t>
      </w:r>
    </w:p>
    <w:p w:rsidR="00EB5E57" w:rsidRPr="00D64819" w:rsidRDefault="00EB5E57" w:rsidP="00F709B1">
      <w:pPr>
        <w:pStyle w:val="11"/>
        <w:ind w:left="680" w:firstLine="680"/>
        <w:rPr>
          <w:rFonts w:hAnsi="標楷體"/>
        </w:rPr>
      </w:pPr>
      <w:r w:rsidRPr="00D64819">
        <w:rPr>
          <w:rFonts w:hAnsi="標楷體" w:hint="eastAsia"/>
          <w:lang w:eastAsia="zh-HK"/>
        </w:rPr>
        <w:t>鑒於</w:t>
      </w:r>
      <w:r w:rsidRPr="00D64819">
        <w:rPr>
          <w:rFonts w:hAnsi="標楷體" w:hint="eastAsia"/>
        </w:rPr>
        <w:t>檢察機關及軍事審判機關</w:t>
      </w:r>
      <w:r w:rsidRPr="00D64819">
        <w:rPr>
          <w:rFonts w:hAnsi="標楷體" w:hint="eastAsia"/>
          <w:lang w:eastAsia="zh-HK"/>
        </w:rPr>
        <w:t>依刑事補償法規定亦辦理</w:t>
      </w:r>
      <w:r w:rsidRPr="00D64819">
        <w:rPr>
          <w:rFonts w:hAnsi="標楷體"/>
        </w:rPr>
        <w:t>刑事補償</w:t>
      </w:r>
      <w:r w:rsidRPr="00D64819">
        <w:rPr>
          <w:rFonts w:hAnsi="標楷體" w:hint="eastAsia"/>
        </w:rPr>
        <w:t>事件</w:t>
      </w:r>
      <w:r w:rsidRPr="00D64819">
        <w:rPr>
          <w:rFonts w:hAnsi="標楷體" w:hint="eastAsia"/>
          <w:lang w:eastAsia="zh-HK"/>
        </w:rPr>
        <w:t>相關</w:t>
      </w:r>
      <w:r w:rsidRPr="00D64819">
        <w:rPr>
          <w:rFonts w:hAnsi="標楷體" w:hint="eastAsia"/>
        </w:rPr>
        <w:t>業務，</w:t>
      </w:r>
      <w:proofErr w:type="gramStart"/>
      <w:r w:rsidRPr="00D64819">
        <w:rPr>
          <w:rFonts w:hAnsi="標楷體" w:hint="eastAsia"/>
          <w:lang w:eastAsia="zh-HK"/>
        </w:rPr>
        <w:t>爰</w:t>
      </w:r>
      <w:proofErr w:type="gramEnd"/>
      <w:r w:rsidRPr="00D64819">
        <w:rPr>
          <w:rFonts w:hAnsi="標楷體" w:hint="eastAsia"/>
          <w:lang w:eastAsia="zh-HK"/>
        </w:rPr>
        <w:t>就該等</w:t>
      </w:r>
      <w:r w:rsidRPr="00D64819">
        <w:rPr>
          <w:rFonts w:hAnsi="標楷體" w:hint="eastAsia"/>
        </w:rPr>
        <w:t>機關</w:t>
      </w:r>
      <w:r w:rsidRPr="00D64819">
        <w:rPr>
          <w:rFonts w:hAnsi="標楷體" w:hint="eastAsia"/>
          <w:lang w:eastAsia="zh-HK"/>
        </w:rPr>
        <w:t>執行</w:t>
      </w:r>
      <w:r w:rsidRPr="00D64819">
        <w:rPr>
          <w:rFonts w:hAnsi="標楷體" w:hint="eastAsia"/>
        </w:rPr>
        <w:t>業務</w:t>
      </w:r>
      <w:r w:rsidRPr="00D64819">
        <w:rPr>
          <w:rFonts w:hAnsi="標楷體" w:hint="eastAsia"/>
          <w:lang w:eastAsia="zh-HK"/>
        </w:rPr>
        <w:t>之</w:t>
      </w:r>
      <w:r w:rsidRPr="00D64819">
        <w:rPr>
          <w:rFonts w:hAnsi="標楷體" w:hint="eastAsia"/>
        </w:rPr>
        <w:t>情形列為本案調查範疇。</w:t>
      </w:r>
    </w:p>
    <w:p w:rsidR="00EB5E57" w:rsidRPr="00D64819" w:rsidRDefault="00EB5E57" w:rsidP="00F709B1">
      <w:pPr>
        <w:pStyle w:val="11"/>
        <w:ind w:left="680" w:firstLine="680"/>
        <w:rPr>
          <w:rFonts w:hAnsi="標楷體"/>
        </w:rPr>
      </w:pPr>
      <w:r w:rsidRPr="00D64819">
        <w:rPr>
          <w:rFonts w:hAnsi="標楷體" w:hint="eastAsia"/>
        </w:rPr>
        <w:t>案經調閱</w:t>
      </w:r>
      <w:proofErr w:type="gramStart"/>
      <w:r w:rsidRPr="00D64819">
        <w:rPr>
          <w:rFonts w:hAnsi="標楷體" w:hint="eastAsia"/>
        </w:rPr>
        <w:t>審計部卷證</w:t>
      </w:r>
      <w:proofErr w:type="gramEnd"/>
      <w:r w:rsidRPr="00D64819">
        <w:rPr>
          <w:rFonts w:hAnsi="標楷體" w:hint="eastAsia"/>
        </w:rPr>
        <w:t>資料，並</w:t>
      </w:r>
      <w:r w:rsidRPr="00D64819">
        <w:rPr>
          <w:rFonts w:hAnsi="標楷體"/>
        </w:rPr>
        <w:t>分別函請</w:t>
      </w:r>
      <w:r w:rsidRPr="00D64819">
        <w:rPr>
          <w:rFonts w:hAnsi="標楷體" w:hint="eastAsia"/>
        </w:rPr>
        <w:t>司法院、法務部、國防部</w:t>
      </w:r>
      <w:r w:rsidRPr="00D64819">
        <w:rPr>
          <w:rFonts w:hAnsi="標楷體"/>
        </w:rPr>
        <w:t>就有關事項提出說明</w:t>
      </w:r>
      <w:proofErr w:type="gramStart"/>
      <w:r w:rsidRPr="00D64819">
        <w:rPr>
          <w:rFonts w:hAnsi="標楷體"/>
        </w:rPr>
        <w:t>併</w:t>
      </w:r>
      <w:proofErr w:type="gramEnd"/>
      <w:r w:rsidRPr="00D64819">
        <w:rPr>
          <w:rFonts w:hAnsi="標楷體"/>
        </w:rPr>
        <w:t>附佐證資料到院，</w:t>
      </w:r>
      <w:proofErr w:type="gramStart"/>
      <w:r w:rsidRPr="00D64819">
        <w:rPr>
          <w:rFonts w:hAnsi="標楷體"/>
        </w:rPr>
        <w:t>嗣</w:t>
      </w:r>
      <w:proofErr w:type="gramEnd"/>
      <w:r w:rsidRPr="00D64819">
        <w:rPr>
          <w:rFonts w:hAnsi="標楷體" w:hint="eastAsia"/>
        </w:rPr>
        <w:t>於民國（下同）109年3月6日</w:t>
      </w:r>
      <w:r w:rsidRPr="00D64819">
        <w:rPr>
          <w:rFonts w:hAnsi="標楷體"/>
        </w:rPr>
        <w:t>諮詢</w:t>
      </w:r>
      <w:r w:rsidRPr="00D64819">
        <w:rPr>
          <w:rFonts w:hAnsi="標楷體" w:hint="eastAsia"/>
        </w:rPr>
        <w:t>具</w:t>
      </w:r>
      <w:r w:rsidRPr="00D64819">
        <w:rPr>
          <w:rFonts w:hAnsi="標楷體" w:hint="eastAsia"/>
          <w:lang w:eastAsia="zh-HK"/>
        </w:rPr>
        <w:t>備</w:t>
      </w:r>
      <w:r w:rsidRPr="00D64819">
        <w:rPr>
          <w:rFonts w:hAnsi="標楷體" w:hint="eastAsia"/>
        </w:rPr>
        <w:t>法院刑事補償事件求償審查委員經歷之3</w:t>
      </w:r>
      <w:r w:rsidRPr="00D64819">
        <w:rPr>
          <w:rFonts w:hAnsi="標楷體" w:hint="eastAsia"/>
          <w:lang w:eastAsia="zh-HK"/>
        </w:rPr>
        <w:t>位專家學者</w:t>
      </w:r>
      <w:r w:rsidRPr="00D64819">
        <w:rPr>
          <w:rFonts w:hAnsi="標楷體" w:hint="eastAsia"/>
        </w:rPr>
        <w:t>，並於同年5月18日詢問司法院刑事廳、法務部檢察司、國防部法律事務司法律服務處等</w:t>
      </w:r>
      <w:r w:rsidRPr="00D64819">
        <w:rPr>
          <w:rFonts w:hAnsi="標楷體"/>
        </w:rPr>
        <w:t>相關主管人員</w:t>
      </w:r>
      <w:r w:rsidRPr="00D64819">
        <w:rPr>
          <w:rFonts w:hAnsi="標楷體" w:hint="eastAsia"/>
        </w:rPr>
        <w:t>，</w:t>
      </w:r>
      <w:proofErr w:type="gramStart"/>
      <w:r w:rsidRPr="00D64819">
        <w:rPr>
          <w:rFonts w:hAnsi="標楷體"/>
        </w:rPr>
        <w:t>續經</w:t>
      </w:r>
      <w:r w:rsidRPr="00D64819">
        <w:rPr>
          <w:rFonts w:hAnsi="標楷體" w:hint="eastAsia"/>
        </w:rPr>
        <w:t>法務部</w:t>
      </w:r>
      <w:proofErr w:type="gramEnd"/>
      <w:r w:rsidRPr="00D64819">
        <w:rPr>
          <w:rFonts w:hAnsi="標楷體" w:hint="eastAsia"/>
        </w:rPr>
        <w:t>、國防部</w:t>
      </w:r>
      <w:r w:rsidRPr="00D64819">
        <w:rPr>
          <w:rFonts w:hAnsi="標楷體"/>
        </w:rPr>
        <w:t>陸續補充說明到院</w:t>
      </w:r>
      <w:r w:rsidRPr="00D64819">
        <w:rPr>
          <w:rFonts w:hAnsi="標楷體" w:hint="eastAsia"/>
        </w:rPr>
        <w:t>，</w:t>
      </w:r>
      <w:r w:rsidRPr="00D64819">
        <w:rPr>
          <w:rFonts w:hAnsi="標楷體"/>
        </w:rPr>
        <w:t>業</w:t>
      </w:r>
      <w:proofErr w:type="gramStart"/>
      <w:r w:rsidRPr="00D64819">
        <w:rPr>
          <w:rFonts w:hAnsi="標楷體"/>
        </w:rPr>
        <w:t>調查竣事</w:t>
      </w:r>
      <w:proofErr w:type="gramEnd"/>
      <w:r w:rsidRPr="00D64819">
        <w:rPr>
          <w:rFonts w:hAnsi="標楷體" w:hint="eastAsia"/>
        </w:rPr>
        <w:t>，茲</w:t>
      </w:r>
      <w:proofErr w:type="gramStart"/>
      <w:r w:rsidRPr="00D64819">
        <w:rPr>
          <w:rFonts w:hAnsi="標楷體" w:hint="eastAsia"/>
        </w:rPr>
        <w:t>臚</w:t>
      </w:r>
      <w:proofErr w:type="gramEnd"/>
      <w:r w:rsidRPr="00D64819">
        <w:rPr>
          <w:rFonts w:hAnsi="標楷體" w:hint="eastAsia"/>
        </w:rPr>
        <w:t>列調查意見如下：</w:t>
      </w:r>
    </w:p>
    <w:p w:rsidR="00EB5E57" w:rsidRPr="00D64819" w:rsidRDefault="00EB5E57" w:rsidP="00F709B1">
      <w:pPr>
        <w:pStyle w:val="2"/>
        <w:rPr>
          <w:rFonts w:hAnsi="標楷體"/>
          <w:b/>
          <w:lang w:eastAsia="zh-HK"/>
        </w:rPr>
      </w:pPr>
      <w:r w:rsidRPr="00D64819">
        <w:rPr>
          <w:rFonts w:hAnsi="標楷體" w:hint="eastAsia"/>
          <w:b/>
          <w:lang w:eastAsia="zh-HK"/>
        </w:rPr>
        <w:t>司法院對於各法院有無依規定設置求償審查委員會之管理機制尚未</w:t>
      </w:r>
      <w:proofErr w:type="gramStart"/>
      <w:r w:rsidRPr="00D64819">
        <w:rPr>
          <w:rFonts w:hAnsi="標楷體" w:hint="eastAsia"/>
          <w:b/>
          <w:lang w:eastAsia="zh-HK"/>
        </w:rPr>
        <w:t>健全，倘於</w:t>
      </w:r>
      <w:proofErr w:type="gramEnd"/>
      <w:r w:rsidRPr="00D64819">
        <w:rPr>
          <w:rFonts w:hAnsi="標楷體" w:hint="eastAsia"/>
          <w:b/>
          <w:lang w:eastAsia="zh-HK"/>
        </w:rPr>
        <w:t>審查委員任期屆滿時，法院院長疏於改選，則該委員會就具體個案所作是否行使求償權及其求償範圍之議決，易生爭議，核有欠妥；</w:t>
      </w:r>
      <w:proofErr w:type="gramStart"/>
      <w:r w:rsidRPr="00D64819">
        <w:rPr>
          <w:rFonts w:hAnsi="標楷體" w:hint="eastAsia"/>
          <w:b/>
          <w:lang w:eastAsia="zh-HK"/>
        </w:rPr>
        <w:t>另</w:t>
      </w:r>
      <w:proofErr w:type="gramEnd"/>
      <w:r w:rsidRPr="00D64819">
        <w:rPr>
          <w:rFonts w:hAnsi="標楷體" w:hint="eastAsia"/>
          <w:b/>
          <w:lang w:eastAsia="zh-HK"/>
        </w:rPr>
        <w:t>，依國防部各級軍事法院及檢察署辦理刑事補償事件求償作業要點規定，軍事審判機關應設置求償審查會並每年選（聘）任審查委員，鑒於軍事審判法於102年修正後，軍事審判機關於承平時期對於軍人之犯罪無審判權，故該</w:t>
      </w:r>
      <w:proofErr w:type="gramStart"/>
      <w:r w:rsidRPr="00D64819">
        <w:rPr>
          <w:rFonts w:hAnsi="標楷體" w:hint="eastAsia"/>
          <w:b/>
          <w:lang w:eastAsia="zh-HK"/>
        </w:rPr>
        <w:t>部允應研</w:t>
      </w:r>
      <w:proofErr w:type="gramEnd"/>
      <w:r w:rsidRPr="00D64819">
        <w:rPr>
          <w:rFonts w:hAnsi="標楷體" w:hint="eastAsia"/>
          <w:b/>
          <w:lang w:eastAsia="zh-HK"/>
        </w:rPr>
        <w:t>酌檢討現行求償審查會之設置規定，以符實需。</w:t>
      </w:r>
    </w:p>
    <w:p w:rsidR="00EB5E57" w:rsidRPr="00D64819" w:rsidRDefault="00EB5E57" w:rsidP="00F709B1">
      <w:pPr>
        <w:pStyle w:val="3"/>
        <w:rPr>
          <w:rFonts w:hAnsi="標楷體"/>
          <w:lang w:eastAsia="zh-HK"/>
        </w:rPr>
      </w:pPr>
      <w:r w:rsidRPr="00D64819">
        <w:rPr>
          <w:rFonts w:hAnsi="標楷體" w:hint="eastAsia"/>
          <w:lang w:eastAsia="zh-HK"/>
        </w:rPr>
        <w:t>按</w:t>
      </w:r>
      <w:r w:rsidRPr="00D64819">
        <w:rPr>
          <w:rFonts w:hAnsi="標楷體"/>
          <w:lang w:eastAsia="zh-HK"/>
        </w:rPr>
        <w:t>「各級</w:t>
      </w:r>
      <w:proofErr w:type="gramStart"/>
      <w:r w:rsidRPr="00D64819">
        <w:rPr>
          <w:rFonts w:hAnsi="標楷體"/>
          <w:lang w:eastAsia="zh-HK"/>
        </w:rPr>
        <w:t>法院均應設</w:t>
      </w:r>
      <w:proofErr w:type="gramEnd"/>
      <w:r w:rsidRPr="00D64819">
        <w:rPr>
          <w:rFonts w:hAnsi="標楷體" w:hint="eastAsia"/>
          <w:lang w:eastAsia="zh-HK"/>
        </w:rPr>
        <w:t>『</w:t>
      </w:r>
      <w:r w:rsidRPr="00D64819">
        <w:rPr>
          <w:rFonts w:hAnsi="標楷體"/>
          <w:lang w:eastAsia="zh-HK"/>
        </w:rPr>
        <w:t>刑事補償事件求償審查委員會</w:t>
      </w:r>
      <w:r w:rsidRPr="00D64819">
        <w:rPr>
          <w:rFonts w:hAnsi="標楷體" w:hint="eastAsia"/>
          <w:lang w:eastAsia="zh-HK"/>
        </w:rPr>
        <w:t>』</w:t>
      </w:r>
      <w:r w:rsidRPr="00D64819">
        <w:rPr>
          <w:rFonts w:hAnsi="標楷體"/>
          <w:lang w:eastAsia="zh-HK"/>
        </w:rPr>
        <w:t>（下稱求償審查委員會），審查刑事補償事件之求償事宜。</w:t>
      </w:r>
      <w:r w:rsidRPr="00D64819">
        <w:rPr>
          <w:rFonts w:hAnsi="標楷體" w:hint="eastAsia"/>
          <w:lang w:eastAsia="zh-HK"/>
        </w:rPr>
        <w:t>但法官員額不滿10人者，得與其他法院</w:t>
      </w:r>
      <w:r w:rsidRPr="00D64819">
        <w:rPr>
          <w:rFonts w:hAnsi="標楷體" w:hint="eastAsia"/>
          <w:lang w:eastAsia="zh-HK"/>
        </w:rPr>
        <w:lastRenderedPageBreak/>
        <w:t>合併設立。」</w:t>
      </w:r>
      <w:r w:rsidRPr="00D64819">
        <w:rPr>
          <w:rFonts w:hAnsi="標楷體"/>
          <w:lang w:eastAsia="zh-HK"/>
        </w:rPr>
        <w:t>「</w:t>
      </w:r>
      <w:r w:rsidRPr="00D64819">
        <w:rPr>
          <w:rFonts w:hAnsi="標楷體" w:hint="eastAsia"/>
          <w:lang w:eastAsia="zh-HK"/>
        </w:rPr>
        <w:t>求償審查委員會，除院長為當然委員外，另由法官互選代表2人組成；法官人數逾10人者，增加代表1人；另由院長</w:t>
      </w:r>
      <w:proofErr w:type="gramStart"/>
      <w:r w:rsidRPr="00D64819">
        <w:rPr>
          <w:rFonts w:hAnsi="標楷體" w:hint="eastAsia"/>
          <w:lang w:eastAsia="zh-HK"/>
        </w:rPr>
        <w:t>遴聘具</w:t>
      </w:r>
      <w:proofErr w:type="gramEnd"/>
      <w:r w:rsidRPr="00D64819">
        <w:rPr>
          <w:rFonts w:hAnsi="標楷體" w:hint="eastAsia"/>
          <w:lang w:eastAsia="zh-HK"/>
        </w:rPr>
        <w:t>法學素養之社會公正人士擔任委員。其中社會公正人士不得少於委員成員二分之一。委員包括院長在內，至多不得逾9人。</w:t>
      </w:r>
      <w:r w:rsidRPr="00D64819">
        <w:rPr>
          <w:rFonts w:hAnsi="標楷體" w:hint="eastAsia"/>
          <w:bCs w:val="0"/>
        </w:rPr>
        <w:t>」</w:t>
      </w:r>
      <w:r w:rsidRPr="00D64819">
        <w:rPr>
          <w:rFonts w:hAnsi="標楷體"/>
          <w:bCs w:val="0"/>
        </w:rPr>
        <w:t>「</w:t>
      </w:r>
      <w:r w:rsidRPr="00D64819">
        <w:rPr>
          <w:rFonts w:hAnsi="標楷體" w:hint="eastAsia"/>
          <w:lang w:eastAsia="zh-HK"/>
        </w:rPr>
        <w:t>求償審查委員任期1年，連選得連任。擔任委員之法官辭職或調離該法院時，由得票在後之法官依次遞補之；任期至該</w:t>
      </w:r>
      <w:proofErr w:type="gramStart"/>
      <w:r w:rsidRPr="00D64819">
        <w:rPr>
          <w:rFonts w:hAnsi="標楷體" w:hint="eastAsia"/>
          <w:lang w:eastAsia="zh-HK"/>
        </w:rPr>
        <w:t>屆任滿</w:t>
      </w:r>
      <w:proofErr w:type="gramEnd"/>
      <w:r w:rsidRPr="00D64819">
        <w:rPr>
          <w:rFonts w:hAnsi="標楷體" w:hint="eastAsia"/>
          <w:lang w:eastAsia="zh-HK"/>
        </w:rPr>
        <w:t>為止。擔任委員之社會公正人士出缺時，院長應再</w:t>
      </w:r>
      <w:proofErr w:type="gramStart"/>
      <w:r w:rsidRPr="00D64819">
        <w:rPr>
          <w:rFonts w:hAnsi="標楷體" w:hint="eastAsia"/>
          <w:lang w:eastAsia="zh-HK"/>
        </w:rPr>
        <w:t>遴</w:t>
      </w:r>
      <w:proofErr w:type="gramEnd"/>
      <w:r w:rsidRPr="00D64819">
        <w:rPr>
          <w:rFonts w:hAnsi="標楷體" w:hint="eastAsia"/>
          <w:lang w:eastAsia="zh-HK"/>
        </w:rPr>
        <w:t>聘其他社會公正人士遞補，任期至該</w:t>
      </w:r>
      <w:proofErr w:type="gramStart"/>
      <w:r w:rsidRPr="00D64819">
        <w:rPr>
          <w:rFonts w:hAnsi="標楷體" w:hint="eastAsia"/>
          <w:lang w:eastAsia="zh-HK"/>
        </w:rPr>
        <w:t>屆任滿</w:t>
      </w:r>
      <w:proofErr w:type="gramEnd"/>
      <w:r w:rsidRPr="00D64819">
        <w:rPr>
          <w:rFonts w:hAnsi="標楷體" w:hint="eastAsia"/>
          <w:lang w:eastAsia="zh-HK"/>
        </w:rPr>
        <w:t>為止。」</w:t>
      </w:r>
      <w:r w:rsidRPr="00D64819">
        <w:rPr>
          <w:rFonts w:hAnsi="標楷體"/>
          <w:lang w:eastAsia="zh-HK"/>
        </w:rPr>
        <w:t>「</w:t>
      </w:r>
      <w:r w:rsidRPr="00D64819">
        <w:rPr>
          <w:rFonts w:hAnsi="標楷體" w:hint="eastAsia"/>
          <w:lang w:eastAsia="zh-HK"/>
        </w:rPr>
        <w:t>求償審查委員會審查時，應本於審慎之態度，就造成刑事補償之人員是否有故意或重大過失，因而違法致生刑事補償事件及是否符合國家賠償法所定之要件，妥為查明，以決定是否符合本法第34條第2項行使求償權之規定。</w:t>
      </w:r>
      <w:r w:rsidRPr="00D64819">
        <w:rPr>
          <w:rFonts w:hAnsi="標楷體"/>
          <w:b/>
        </w:rPr>
        <w:t>」</w:t>
      </w:r>
      <w:r w:rsidRPr="00D64819">
        <w:rPr>
          <w:rFonts w:hAnsi="標楷體" w:hint="eastAsia"/>
          <w:bCs w:val="0"/>
          <w:lang w:eastAsia="zh-HK"/>
        </w:rPr>
        <w:t>司法院</w:t>
      </w:r>
      <w:r w:rsidRPr="00D64819">
        <w:rPr>
          <w:rFonts w:hAnsi="標楷體" w:hint="eastAsia"/>
          <w:lang w:eastAsia="zh-HK"/>
        </w:rPr>
        <w:t>制定之刑事補償事件求償作業要點第2、3、4、9點定有明文。</w:t>
      </w:r>
      <w:proofErr w:type="gramStart"/>
      <w:r w:rsidRPr="00D64819">
        <w:rPr>
          <w:rFonts w:hAnsi="標楷體" w:hint="eastAsia"/>
          <w:lang w:eastAsia="zh-HK"/>
        </w:rPr>
        <w:t>準</w:t>
      </w:r>
      <w:proofErr w:type="gramEnd"/>
      <w:r w:rsidRPr="00D64819">
        <w:rPr>
          <w:rFonts w:hAnsi="標楷體" w:hint="eastAsia"/>
          <w:lang w:eastAsia="zh-HK"/>
        </w:rPr>
        <w:t>此，</w:t>
      </w:r>
      <w:r w:rsidRPr="00D64819">
        <w:rPr>
          <w:rFonts w:hAnsi="標楷體"/>
          <w:lang w:eastAsia="zh-HK"/>
        </w:rPr>
        <w:t>各</w:t>
      </w:r>
      <w:r w:rsidRPr="00D64819">
        <w:rPr>
          <w:rFonts w:hAnsi="標楷體" w:hint="eastAsia"/>
          <w:lang w:eastAsia="zh-HK"/>
        </w:rPr>
        <w:t>級</w:t>
      </w:r>
      <w:r w:rsidRPr="00D64819">
        <w:rPr>
          <w:rFonts w:hAnsi="標楷體"/>
          <w:lang w:eastAsia="zh-HK"/>
        </w:rPr>
        <w:t>法院</w:t>
      </w:r>
      <w:proofErr w:type="gramStart"/>
      <w:r w:rsidRPr="00D64819">
        <w:rPr>
          <w:rFonts w:hAnsi="標楷體"/>
          <w:lang w:eastAsia="zh-HK"/>
        </w:rPr>
        <w:t>均應設求</w:t>
      </w:r>
      <w:proofErr w:type="gramEnd"/>
      <w:r w:rsidRPr="00D64819">
        <w:rPr>
          <w:rFonts w:hAnsi="標楷體"/>
          <w:lang w:eastAsia="zh-HK"/>
        </w:rPr>
        <w:t>償審查委員會，</w:t>
      </w:r>
      <w:r w:rsidRPr="00D64819">
        <w:rPr>
          <w:rFonts w:hAnsi="標楷體" w:hint="eastAsia"/>
          <w:lang w:eastAsia="zh-HK"/>
        </w:rPr>
        <w:t>法官員額不滿10人者，得與其他法院合併設立，</w:t>
      </w:r>
      <w:r w:rsidRPr="00D64819">
        <w:rPr>
          <w:rFonts w:hAnsi="標楷體"/>
          <w:lang w:eastAsia="zh-HK"/>
        </w:rPr>
        <w:t>審查刑事補償事件之求償事宜</w:t>
      </w:r>
      <w:r w:rsidRPr="00D64819">
        <w:rPr>
          <w:rFonts w:hAnsi="標楷體" w:hint="eastAsia"/>
        </w:rPr>
        <w:t>；</w:t>
      </w:r>
      <w:r w:rsidRPr="00D64819">
        <w:rPr>
          <w:rFonts w:hAnsi="標楷體" w:hint="eastAsia"/>
          <w:lang w:eastAsia="zh-HK"/>
        </w:rPr>
        <w:t>求償審查委員任期1年</w:t>
      </w:r>
      <w:r w:rsidRPr="00D64819">
        <w:rPr>
          <w:rFonts w:hAnsi="標楷體" w:hint="eastAsia"/>
        </w:rPr>
        <w:t>，</w:t>
      </w:r>
      <w:r w:rsidRPr="00D64819">
        <w:rPr>
          <w:rFonts w:hAnsi="標楷體" w:hint="eastAsia"/>
          <w:lang w:eastAsia="zh-HK"/>
        </w:rPr>
        <w:t>至多不得逾9人，其中由院長</w:t>
      </w:r>
      <w:proofErr w:type="gramStart"/>
      <w:r w:rsidRPr="00D64819">
        <w:rPr>
          <w:rFonts w:hAnsi="標楷體" w:hint="eastAsia"/>
          <w:lang w:eastAsia="zh-HK"/>
        </w:rPr>
        <w:t>遴聘具</w:t>
      </w:r>
      <w:proofErr w:type="gramEnd"/>
      <w:r w:rsidRPr="00D64819">
        <w:rPr>
          <w:rFonts w:hAnsi="標楷體" w:hint="eastAsia"/>
          <w:lang w:eastAsia="zh-HK"/>
        </w:rPr>
        <w:t>法學素養之社會公正人士擔任委員者，</w:t>
      </w:r>
      <w:r w:rsidRPr="00D64819">
        <w:rPr>
          <w:rFonts w:hAnsi="標楷體"/>
          <w:lang w:eastAsia="zh-HK"/>
        </w:rPr>
        <w:t>不得少於</w:t>
      </w:r>
      <w:r w:rsidRPr="00D64819">
        <w:rPr>
          <w:rFonts w:hAnsi="標楷體" w:hint="eastAsia"/>
          <w:lang w:eastAsia="zh-HK"/>
        </w:rPr>
        <w:t>委員</w:t>
      </w:r>
      <w:r w:rsidRPr="00D64819">
        <w:rPr>
          <w:rFonts w:hAnsi="標楷體"/>
          <w:lang w:eastAsia="zh-HK"/>
        </w:rPr>
        <w:t>成員二分之一</w:t>
      </w:r>
      <w:r w:rsidRPr="00D64819">
        <w:rPr>
          <w:rFonts w:hAnsi="標楷體" w:hint="eastAsia"/>
          <w:lang w:eastAsia="zh-HK"/>
        </w:rPr>
        <w:t>，</w:t>
      </w:r>
      <w:proofErr w:type="gramStart"/>
      <w:r w:rsidRPr="00D64819">
        <w:rPr>
          <w:rFonts w:hAnsi="標楷體" w:hint="eastAsia"/>
          <w:lang w:eastAsia="zh-HK"/>
        </w:rPr>
        <w:t>以</w:t>
      </w:r>
      <w:r w:rsidRPr="00D64819">
        <w:rPr>
          <w:rFonts w:hAnsi="標楷體"/>
          <w:lang w:eastAsia="zh-HK"/>
        </w:rPr>
        <w:t>昭求償</w:t>
      </w:r>
      <w:proofErr w:type="gramEnd"/>
      <w:r w:rsidRPr="00D64819">
        <w:rPr>
          <w:rFonts w:hAnsi="標楷體"/>
          <w:lang w:eastAsia="zh-HK"/>
        </w:rPr>
        <w:t>審查委員會</w:t>
      </w:r>
      <w:r w:rsidRPr="00D64819">
        <w:rPr>
          <w:rFonts w:hAnsi="標楷體" w:hint="eastAsia"/>
          <w:lang w:eastAsia="zh-HK"/>
        </w:rPr>
        <w:t>決議之公信力。</w:t>
      </w:r>
    </w:p>
    <w:p w:rsidR="00EB5E57" w:rsidRPr="00D64819" w:rsidRDefault="00EB5E57" w:rsidP="00F709B1">
      <w:pPr>
        <w:pStyle w:val="3"/>
        <w:rPr>
          <w:rFonts w:hAnsi="標楷體"/>
          <w:bCs w:val="0"/>
        </w:rPr>
      </w:pPr>
      <w:r w:rsidRPr="00D64819">
        <w:rPr>
          <w:rFonts w:hAnsi="標楷體" w:hint="eastAsia"/>
          <w:lang w:eastAsia="zh-HK"/>
        </w:rPr>
        <w:t>經查，</w:t>
      </w:r>
      <w:r w:rsidRPr="00D64819">
        <w:rPr>
          <w:rFonts w:hAnsi="標楷體"/>
        </w:rPr>
        <w:t>審計部</w:t>
      </w:r>
      <w:proofErr w:type="gramStart"/>
      <w:r w:rsidRPr="00D64819">
        <w:rPr>
          <w:rFonts w:hAnsi="標楷體"/>
        </w:rPr>
        <w:t>107</w:t>
      </w:r>
      <w:proofErr w:type="gramEnd"/>
      <w:r w:rsidRPr="00D64819">
        <w:rPr>
          <w:rFonts w:hAnsi="標楷體"/>
        </w:rPr>
        <w:t>年度中央政府總決算審核報告</w:t>
      </w:r>
      <w:r w:rsidRPr="00D64819">
        <w:rPr>
          <w:rFonts w:hAnsi="標楷體" w:hint="eastAsia"/>
          <w:lang w:eastAsia="zh-HK"/>
        </w:rPr>
        <w:t>之審核意見指出</w:t>
      </w:r>
      <w:r w:rsidRPr="00D64819">
        <w:rPr>
          <w:rFonts w:hAnsi="標楷體" w:hint="eastAsia"/>
        </w:rPr>
        <w:t>，</w:t>
      </w:r>
      <w:r w:rsidRPr="00D64819">
        <w:rPr>
          <w:rFonts w:hAnsi="標楷體" w:hint="eastAsia"/>
          <w:lang w:eastAsia="zh-HK"/>
        </w:rPr>
        <w:t>截至</w:t>
      </w:r>
      <w:r w:rsidRPr="00D64819">
        <w:rPr>
          <w:rFonts w:hAnsi="標楷體" w:hint="eastAsia"/>
        </w:rPr>
        <w:t>107</w:t>
      </w:r>
      <w:r w:rsidRPr="00D64819">
        <w:rPr>
          <w:rFonts w:hAnsi="標楷體" w:hint="eastAsia"/>
          <w:lang w:eastAsia="zh-HK"/>
        </w:rPr>
        <w:t>年</w:t>
      </w:r>
      <w:r w:rsidRPr="00D64819">
        <w:rPr>
          <w:rFonts w:hAnsi="標楷體" w:hint="eastAsia"/>
        </w:rPr>
        <w:t>11</w:t>
      </w:r>
      <w:r w:rsidRPr="00D64819">
        <w:rPr>
          <w:rFonts w:hAnsi="標楷體" w:hint="eastAsia"/>
          <w:lang w:eastAsia="zh-HK"/>
        </w:rPr>
        <w:t>月</w:t>
      </w:r>
      <w:r w:rsidRPr="00D64819">
        <w:rPr>
          <w:rFonts w:hAnsi="標楷體" w:hint="eastAsia"/>
        </w:rPr>
        <w:t>9</w:t>
      </w:r>
      <w:r w:rsidRPr="00D64819">
        <w:rPr>
          <w:rFonts w:hAnsi="標楷體" w:hint="eastAsia"/>
          <w:lang w:eastAsia="zh-HK"/>
        </w:rPr>
        <w:t>日止</w:t>
      </w:r>
      <w:r w:rsidRPr="00D64819">
        <w:rPr>
          <w:rFonts w:hAnsi="標楷體" w:hint="eastAsia"/>
        </w:rPr>
        <w:t>，部分法院求償審查委員會設置及委員組成情形，核有：1、福建連江地方法院未設立亦未與其他</w:t>
      </w:r>
      <w:r w:rsidRPr="00D64819">
        <w:rPr>
          <w:rFonts w:hAnsi="標楷體" w:hint="eastAsia"/>
          <w:lang w:eastAsia="zh-HK"/>
        </w:rPr>
        <w:t>法院</w:t>
      </w:r>
      <w:r w:rsidRPr="00D64819">
        <w:rPr>
          <w:rFonts w:hAnsi="標楷體" w:hint="eastAsia"/>
        </w:rPr>
        <w:t>合併設立求償審查委員會；2、</w:t>
      </w:r>
      <w:r w:rsidRPr="00D64819">
        <w:rPr>
          <w:rFonts w:hAnsi="標楷體" w:cs="新細明體" w:hint="eastAsia"/>
        </w:rPr>
        <w:t>臺灣</w:t>
      </w:r>
      <w:r w:rsidRPr="00D64819">
        <w:rPr>
          <w:rFonts w:hAnsi="標楷體" w:hint="eastAsia"/>
        </w:rPr>
        <w:t>新北地方法院、</w:t>
      </w:r>
      <w:r w:rsidRPr="00D64819">
        <w:rPr>
          <w:rFonts w:hAnsi="標楷體" w:cs="新細明體" w:hint="eastAsia"/>
        </w:rPr>
        <w:t>臺灣</w:t>
      </w:r>
      <w:r w:rsidRPr="00D64819">
        <w:rPr>
          <w:rFonts w:hAnsi="標楷體" w:hint="eastAsia"/>
        </w:rPr>
        <w:t>南投地方法院、</w:t>
      </w:r>
      <w:r w:rsidRPr="00D64819">
        <w:rPr>
          <w:rFonts w:hAnsi="標楷體" w:cs="新細明體" w:hint="eastAsia"/>
        </w:rPr>
        <w:t>臺灣</w:t>
      </w:r>
      <w:r w:rsidRPr="00D64819">
        <w:rPr>
          <w:rFonts w:hAnsi="標楷體" w:hint="eastAsia"/>
        </w:rPr>
        <w:t>新竹地方法院</w:t>
      </w:r>
      <w:r w:rsidRPr="00D64819">
        <w:rPr>
          <w:rFonts w:hAnsi="標楷體" w:hint="eastAsia"/>
          <w:lang w:eastAsia="zh-HK"/>
        </w:rPr>
        <w:t>等3法院</w:t>
      </w:r>
      <w:proofErr w:type="gramStart"/>
      <w:r w:rsidRPr="00D64819">
        <w:rPr>
          <w:rFonts w:hAnsi="標楷體" w:hint="eastAsia"/>
        </w:rPr>
        <w:t>遴</w:t>
      </w:r>
      <w:proofErr w:type="gramEnd"/>
      <w:r w:rsidRPr="00D64819">
        <w:rPr>
          <w:rFonts w:hAnsi="標楷體" w:hint="eastAsia"/>
        </w:rPr>
        <w:t>聘社會公正人士未達委員二分之一；3、智慧</w:t>
      </w:r>
      <w:r w:rsidRPr="00D64819">
        <w:rPr>
          <w:rFonts w:hAnsi="標楷體" w:hint="eastAsia"/>
          <w:lang w:eastAsia="zh-HK"/>
        </w:rPr>
        <w:t>財產</w:t>
      </w:r>
      <w:r w:rsidRPr="00D64819">
        <w:rPr>
          <w:rFonts w:hAnsi="標楷體" w:hint="eastAsia"/>
        </w:rPr>
        <w:t>法院未</w:t>
      </w:r>
      <w:proofErr w:type="gramStart"/>
      <w:r w:rsidRPr="00D64819">
        <w:rPr>
          <w:rFonts w:hAnsi="標楷體" w:hint="eastAsia"/>
        </w:rPr>
        <w:t>遴</w:t>
      </w:r>
      <w:proofErr w:type="gramEnd"/>
      <w:r w:rsidRPr="00D64819">
        <w:rPr>
          <w:rFonts w:hAnsi="標楷體" w:hint="eastAsia"/>
        </w:rPr>
        <w:t>聘社會公正人士擔任委員；4、</w:t>
      </w:r>
      <w:r w:rsidRPr="00D64819">
        <w:rPr>
          <w:rFonts w:hAnsi="標楷體" w:cs="新細明體" w:hint="eastAsia"/>
        </w:rPr>
        <w:t>臺灣</w:t>
      </w:r>
      <w:r w:rsidRPr="00D64819">
        <w:rPr>
          <w:rFonts w:hAnsi="標楷體" w:hint="eastAsia"/>
        </w:rPr>
        <w:t>新竹地方法院、智慧財</w:t>
      </w:r>
      <w:r w:rsidRPr="00D64819">
        <w:rPr>
          <w:rFonts w:hAnsi="標楷體" w:hint="eastAsia"/>
        </w:rPr>
        <w:lastRenderedPageBreak/>
        <w:t>產法院、</w:t>
      </w:r>
      <w:r w:rsidRPr="00D64819">
        <w:rPr>
          <w:rFonts w:hAnsi="標楷體" w:cs="新細明體" w:hint="eastAsia"/>
        </w:rPr>
        <w:t>臺灣</w:t>
      </w:r>
      <w:r w:rsidRPr="00D64819">
        <w:rPr>
          <w:rFonts w:hAnsi="標楷體" w:hint="eastAsia"/>
        </w:rPr>
        <w:t>花蓮地方法院、</w:t>
      </w:r>
      <w:r w:rsidRPr="00D64819">
        <w:rPr>
          <w:rFonts w:hAnsi="標楷體" w:cs="新細明體" w:hint="eastAsia"/>
        </w:rPr>
        <w:t>臺灣</w:t>
      </w:r>
      <w:r w:rsidRPr="00D64819">
        <w:rPr>
          <w:rFonts w:hAnsi="標楷體" w:hint="eastAsia"/>
        </w:rPr>
        <w:t>高雄少年及家事法院</w:t>
      </w:r>
      <w:r w:rsidRPr="00D64819">
        <w:rPr>
          <w:rFonts w:hAnsi="標楷體" w:hint="eastAsia"/>
          <w:lang w:eastAsia="zh-HK"/>
        </w:rPr>
        <w:t>等</w:t>
      </w:r>
      <w:r w:rsidRPr="00D64819">
        <w:rPr>
          <w:rFonts w:hAnsi="標楷體" w:hint="eastAsia"/>
        </w:rPr>
        <w:t>4</w:t>
      </w:r>
      <w:r w:rsidRPr="00D64819">
        <w:rPr>
          <w:rFonts w:hAnsi="標楷體" w:hint="eastAsia"/>
          <w:lang w:eastAsia="zh-HK"/>
        </w:rPr>
        <w:t>法院之</w:t>
      </w:r>
      <w:r w:rsidRPr="00D64819">
        <w:rPr>
          <w:rFonts w:hAnsi="標楷體" w:hint="eastAsia"/>
        </w:rPr>
        <w:t>求償審查委員任期</w:t>
      </w:r>
      <w:proofErr w:type="gramStart"/>
      <w:r w:rsidRPr="00D64819">
        <w:rPr>
          <w:rFonts w:hAnsi="標楷體" w:hint="eastAsia"/>
        </w:rPr>
        <w:t>已滿未重新</w:t>
      </w:r>
      <w:proofErr w:type="gramEnd"/>
      <w:r w:rsidRPr="00D64819">
        <w:rPr>
          <w:rFonts w:hAnsi="標楷體" w:hint="eastAsia"/>
        </w:rPr>
        <w:t>選任等，未符</w:t>
      </w:r>
      <w:r w:rsidRPr="00D64819">
        <w:rPr>
          <w:rFonts w:hAnsi="標楷體" w:hint="eastAsia"/>
          <w:lang w:eastAsia="zh-HK"/>
        </w:rPr>
        <w:t>合前開要點</w:t>
      </w:r>
      <w:r w:rsidRPr="00D64819">
        <w:rPr>
          <w:rFonts w:hAnsi="標楷體" w:hint="eastAsia"/>
        </w:rPr>
        <w:t>規定。</w:t>
      </w:r>
      <w:r w:rsidRPr="00D64819">
        <w:rPr>
          <w:rFonts w:hAnsi="標楷體"/>
        </w:rPr>
        <w:t>雖</w:t>
      </w:r>
      <w:r w:rsidRPr="00D64819">
        <w:rPr>
          <w:rFonts w:hAnsi="標楷體" w:hint="eastAsia"/>
          <w:lang w:eastAsia="zh-HK"/>
        </w:rPr>
        <w:t>司法院</w:t>
      </w:r>
      <w:r w:rsidRPr="00D64819">
        <w:rPr>
          <w:rFonts w:hAnsi="標楷體"/>
        </w:rPr>
        <w:t>向審計</w:t>
      </w:r>
      <w:proofErr w:type="gramStart"/>
      <w:r w:rsidRPr="00D64819">
        <w:rPr>
          <w:rFonts w:hAnsi="標楷體"/>
        </w:rPr>
        <w:t>部聲復</w:t>
      </w:r>
      <w:proofErr w:type="gramEnd"/>
      <w:r w:rsidRPr="00D64819">
        <w:rPr>
          <w:rFonts w:hAnsi="標楷體" w:hint="eastAsia"/>
          <w:lang w:eastAsia="zh-HK"/>
        </w:rPr>
        <w:t>辦理情形</w:t>
      </w:r>
      <w:r w:rsidRPr="00D64819">
        <w:rPr>
          <w:rFonts w:hAnsi="標楷體"/>
        </w:rPr>
        <w:t>略</w:t>
      </w:r>
      <w:r w:rsidRPr="00D64819">
        <w:rPr>
          <w:rFonts w:hAnsi="標楷體" w:hint="eastAsia"/>
          <w:lang w:eastAsia="zh-HK"/>
        </w:rPr>
        <w:t>謂</w:t>
      </w:r>
      <w:r w:rsidRPr="00D64819">
        <w:rPr>
          <w:rFonts w:hAnsi="標楷體"/>
        </w:rPr>
        <w:t>：「</w:t>
      </w:r>
      <w:proofErr w:type="gramStart"/>
      <w:r w:rsidRPr="00D64819">
        <w:rPr>
          <w:rFonts w:hAnsi="標楷體" w:hint="eastAsia"/>
          <w:bCs w:val="0"/>
        </w:rPr>
        <w:t>按求償</w:t>
      </w:r>
      <w:proofErr w:type="gramEnd"/>
      <w:r w:rsidRPr="00D64819">
        <w:rPr>
          <w:rFonts w:hAnsi="標楷體" w:hint="eastAsia"/>
          <w:bCs w:val="0"/>
        </w:rPr>
        <w:t>審查委員會設立目的在於審查刑事補償事件之求償事宜，而由於刑事補償案件非常態發生，部分法院多年未有案件，因此作業要點意旨為有求償案件時需透過該等委員會</w:t>
      </w:r>
      <w:r w:rsidRPr="00D64819">
        <w:rPr>
          <w:rFonts w:hAnsi="標楷體" w:hint="eastAsia"/>
        </w:rPr>
        <w:t>審理</w:t>
      </w:r>
      <w:r w:rsidRPr="00D64819">
        <w:rPr>
          <w:rFonts w:hAnsi="標楷體" w:hint="eastAsia"/>
          <w:bCs w:val="0"/>
        </w:rPr>
        <w:t>，</w:t>
      </w:r>
      <w:proofErr w:type="gramStart"/>
      <w:r w:rsidRPr="00D64819">
        <w:rPr>
          <w:rFonts w:hAnsi="標楷體" w:hint="eastAsia"/>
          <w:bCs w:val="0"/>
          <w:lang w:eastAsia="zh-HK"/>
        </w:rPr>
        <w:t>審計</w:t>
      </w:r>
      <w:r w:rsidRPr="00D64819">
        <w:rPr>
          <w:rFonts w:hAnsi="標楷體" w:hint="eastAsia"/>
          <w:bCs w:val="0"/>
        </w:rPr>
        <w:t>部所查</w:t>
      </w:r>
      <w:proofErr w:type="gramEnd"/>
      <w:r w:rsidRPr="00D64819">
        <w:rPr>
          <w:rFonts w:hAnsi="標楷體" w:hint="eastAsia"/>
          <w:bCs w:val="0"/>
        </w:rPr>
        <w:t>未符要點規範情形，</w:t>
      </w:r>
      <w:proofErr w:type="gramStart"/>
      <w:r w:rsidRPr="00D64819">
        <w:rPr>
          <w:rFonts w:hAnsi="標楷體" w:hint="eastAsia"/>
          <w:bCs w:val="0"/>
        </w:rPr>
        <w:t>均係法院</w:t>
      </w:r>
      <w:proofErr w:type="gramEnd"/>
      <w:r w:rsidRPr="00D64819">
        <w:rPr>
          <w:rFonts w:hAnsi="標楷體" w:hint="eastAsia"/>
          <w:bCs w:val="0"/>
        </w:rPr>
        <w:t>在該等期間無需處理之求償案件所致。如有求償案件需處理，自當依本院所訂要點辦理，為加強落實相關規範，本院將函請所屬各法院依刑事補償事件求償作業要點第2、3、4點等規定辦理。」</w:t>
      </w:r>
      <w:r w:rsidRPr="00D64819">
        <w:rPr>
          <w:rFonts w:hAnsi="標楷體" w:hint="eastAsia"/>
          <w:bCs w:val="0"/>
          <w:lang w:eastAsia="zh-HK"/>
        </w:rPr>
        <w:t>且根據司法院</w:t>
      </w:r>
      <w:proofErr w:type="gramStart"/>
      <w:r w:rsidRPr="00D64819">
        <w:rPr>
          <w:rFonts w:hAnsi="標楷體" w:hint="eastAsia"/>
          <w:bCs w:val="0"/>
        </w:rPr>
        <w:t>函復本院</w:t>
      </w:r>
      <w:proofErr w:type="gramEnd"/>
      <w:r w:rsidRPr="00D64819">
        <w:rPr>
          <w:rFonts w:hAnsi="標楷體"/>
          <w:bCs w:val="0"/>
        </w:rPr>
        <w:t>略</w:t>
      </w:r>
      <w:proofErr w:type="gramStart"/>
      <w:r w:rsidRPr="00D64819">
        <w:rPr>
          <w:rFonts w:hAnsi="標楷體" w:hint="eastAsia"/>
          <w:bCs w:val="0"/>
          <w:lang w:eastAsia="zh-HK"/>
        </w:rPr>
        <w:t>以</w:t>
      </w:r>
      <w:proofErr w:type="gramEnd"/>
      <w:r w:rsidRPr="00D64819">
        <w:rPr>
          <w:rFonts w:hAnsi="標楷體" w:hint="eastAsia"/>
          <w:bCs w:val="0"/>
        </w:rPr>
        <w:t>：</w:t>
      </w:r>
      <w:r w:rsidRPr="00D64819">
        <w:rPr>
          <w:rFonts w:hAnsi="標楷體"/>
          <w:bCs w:val="0"/>
        </w:rPr>
        <w:t>「</w:t>
      </w:r>
      <w:r w:rsidRPr="00D64819">
        <w:rPr>
          <w:rFonts w:hAnsi="標楷體" w:hint="eastAsia"/>
          <w:bCs w:val="0"/>
        </w:rPr>
        <w:t>相關法院皆已依規定設立求償審查委員會，且社會公正人</w:t>
      </w:r>
      <w:r w:rsidRPr="00D64819">
        <w:rPr>
          <w:rFonts w:hAnsi="標楷體" w:hint="eastAsia"/>
          <w:bCs w:val="0"/>
          <w:lang w:eastAsia="zh-HK"/>
        </w:rPr>
        <w:t>士之委員人數皆已達規定標準。」惟依</w:t>
      </w:r>
      <w:proofErr w:type="gramStart"/>
      <w:r w:rsidRPr="00D64819">
        <w:rPr>
          <w:rFonts w:hAnsi="標楷體" w:hint="eastAsia"/>
          <w:bCs w:val="0"/>
          <w:lang w:eastAsia="zh-HK"/>
        </w:rPr>
        <w:t>前揭</w:t>
      </w:r>
      <w:r w:rsidRPr="00D64819">
        <w:rPr>
          <w:rFonts w:hAnsi="標楷體" w:hint="eastAsia"/>
          <w:lang w:eastAsia="zh-HK"/>
        </w:rPr>
        <w:t>求償</w:t>
      </w:r>
      <w:proofErr w:type="gramEnd"/>
      <w:r w:rsidRPr="00D64819">
        <w:rPr>
          <w:rFonts w:hAnsi="標楷體" w:hint="eastAsia"/>
          <w:lang w:eastAsia="zh-HK"/>
        </w:rPr>
        <w:t>作業要點規定</w:t>
      </w:r>
      <w:r w:rsidRPr="00D64819">
        <w:rPr>
          <w:rFonts w:hAnsi="標楷體" w:hint="eastAsia"/>
        </w:rPr>
        <w:t>，</w:t>
      </w:r>
      <w:r w:rsidRPr="00D64819">
        <w:rPr>
          <w:rFonts w:hAnsi="標楷體" w:hint="eastAsia"/>
          <w:szCs w:val="32"/>
          <w:lang w:eastAsia="zh-HK"/>
        </w:rPr>
        <w:t>求償審查委員會</w:t>
      </w:r>
      <w:r w:rsidRPr="00D64819">
        <w:rPr>
          <w:rFonts w:hAnsi="標楷體" w:hint="eastAsia"/>
          <w:lang w:eastAsia="zh-HK"/>
        </w:rPr>
        <w:t>屬常設性</w:t>
      </w:r>
      <w:r w:rsidRPr="00D64819">
        <w:rPr>
          <w:rFonts w:hAnsi="標楷體" w:hint="eastAsia"/>
        </w:rPr>
        <w:t>正式編制單位，本其職權</w:t>
      </w:r>
      <w:r w:rsidRPr="00D64819">
        <w:rPr>
          <w:rFonts w:hAnsi="標楷體" w:hint="eastAsia"/>
          <w:szCs w:val="32"/>
        </w:rPr>
        <w:t>審查</w:t>
      </w:r>
      <w:r w:rsidRPr="00D64819">
        <w:rPr>
          <w:rFonts w:hAnsi="標楷體" w:hint="eastAsia"/>
          <w:szCs w:val="32"/>
          <w:lang w:eastAsia="zh-HK"/>
        </w:rPr>
        <w:t>造成刑事補償</w:t>
      </w:r>
      <w:r w:rsidRPr="00D64819">
        <w:rPr>
          <w:rFonts w:hAnsi="標楷體" w:hint="eastAsia"/>
          <w:szCs w:val="32"/>
        </w:rPr>
        <w:t>人員是否符合</w:t>
      </w:r>
      <w:r w:rsidRPr="00D64819">
        <w:rPr>
          <w:rFonts w:hAnsi="標楷體" w:hint="eastAsia"/>
          <w:szCs w:val="32"/>
          <w:lang w:eastAsia="zh-HK"/>
        </w:rPr>
        <w:t>刑事補償法第34條第2項</w:t>
      </w:r>
      <w:r w:rsidRPr="00D64819">
        <w:rPr>
          <w:rFonts w:hAnsi="標楷體" w:hint="eastAsia"/>
          <w:bCs w:val="0"/>
          <w:kern w:val="2"/>
          <w:szCs w:val="32"/>
        </w:rPr>
        <w:t>之</w:t>
      </w:r>
      <w:r w:rsidRPr="00D64819">
        <w:rPr>
          <w:rFonts w:hAnsi="標楷體" w:hint="eastAsia"/>
          <w:bCs w:val="0"/>
          <w:kern w:val="2"/>
          <w:szCs w:val="32"/>
          <w:lang w:eastAsia="zh-HK"/>
        </w:rPr>
        <w:t>故意或重大過失</w:t>
      </w:r>
      <w:r w:rsidRPr="00D64819">
        <w:rPr>
          <w:rFonts w:hAnsi="標楷體" w:hint="eastAsia"/>
          <w:szCs w:val="32"/>
        </w:rPr>
        <w:t>（</w:t>
      </w:r>
      <w:r w:rsidRPr="00D64819">
        <w:rPr>
          <w:rFonts w:hAnsi="標楷體" w:hint="eastAsia"/>
          <w:szCs w:val="32"/>
          <w:lang w:eastAsia="zh-HK"/>
        </w:rPr>
        <w:t>內部</w:t>
      </w:r>
      <w:r w:rsidRPr="00D64819">
        <w:rPr>
          <w:rFonts w:hAnsi="標楷體" w:hint="eastAsia"/>
          <w:szCs w:val="32"/>
        </w:rPr>
        <w:t>行使</w:t>
      </w:r>
      <w:r w:rsidRPr="00D64819">
        <w:rPr>
          <w:rFonts w:hAnsi="標楷體" w:hint="eastAsia"/>
          <w:szCs w:val="32"/>
          <w:lang w:eastAsia="zh-HK"/>
        </w:rPr>
        <w:t>求償</w:t>
      </w:r>
      <w:r w:rsidRPr="00D64819">
        <w:rPr>
          <w:rFonts w:hAnsi="標楷體" w:hint="eastAsia"/>
          <w:szCs w:val="32"/>
        </w:rPr>
        <w:t>權之</w:t>
      </w:r>
      <w:r w:rsidRPr="00D64819">
        <w:rPr>
          <w:rFonts w:hAnsi="標楷體" w:hint="eastAsia"/>
          <w:szCs w:val="32"/>
          <w:lang w:eastAsia="zh-HK"/>
        </w:rPr>
        <w:t>要件</w:t>
      </w:r>
      <w:r w:rsidRPr="00D64819">
        <w:rPr>
          <w:rFonts w:hAnsi="標楷體" w:hint="eastAsia"/>
          <w:szCs w:val="32"/>
        </w:rPr>
        <w:t>）</w:t>
      </w:r>
      <w:r w:rsidRPr="00D64819">
        <w:rPr>
          <w:rFonts w:hAnsi="標楷體" w:hint="eastAsia"/>
          <w:szCs w:val="32"/>
          <w:lang w:eastAsia="zh-HK"/>
        </w:rPr>
        <w:t>及是否應予求償，獨立行使職權，並由</w:t>
      </w:r>
      <w:r w:rsidRPr="00D64819">
        <w:rPr>
          <w:rFonts w:hAnsi="標楷體" w:hint="eastAsia"/>
          <w:bCs w:val="0"/>
          <w:lang w:eastAsia="zh-HK"/>
        </w:rPr>
        <w:t>各法院院長</w:t>
      </w:r>
      <w:r w:rsidRPr="00D64819">
        <w:rPr>
          <w:rFonts w:hAnsi="標楷體" w:hint="eastAsia"/>
          <w:lang w:eastAsia="zh-HK"/>
        </w:rPr>
        <w:t>每年定期選任</w:t>
      </w:r>
      <w:r w:rsidRPr="00D64819">
        <w:rPr>
          <w:rFonts w:hAnsi="標楷體" w:hint="eastAsia"/>
          <w:bCs w:val="0"/>
        </w:rPr>
        <w:t>委員</w:t>
      </w:r>
      <w:r w:rsidRPr="00D64819">
        <w:rPr>
          <w:rFonts w:hAnsi="標楷體" w:hint="eastAsia"/>
          <w:bCs w:val="0"/>
          <w:kern w:val="2"/>
          <w:szCs w:val="32"/>
        </w:rPr>
        <w:t>。</w:t>
      </w:r>
      <w:proofErr w:type="gramStart"/>
      <w:r w:rsidRPr="00D64819">
        <w:rPr>
          <w:rFonts w:hAnsi="標楷體" w:hint="eastAsia"/>
          <w:bCs w:val="0"/>
          <w:lang w:eastAsia="zh-HK"/>
        </w:rPr>
        <w:t>倘於</w:t>
      </w:r>
      <w:r w:rsidRPr="00D64819">
        <w:rPr>
          <w:rFonts w:hAnsi="標楷體" w:hint="eastAsia"/>
          <w:bCs w:val="0"/>
        </w:rPr>
        <w:t>求</w:t>
      </w:r>
      <w:proofErr w:type="gramEnd"/>
      <w:r w:rsidRPr="00D64819">
        <w:rPr>
          <w:rFonts w:hAnsi="標楷體" w:hint="eastAsia"/>
          <w:bCs w:val="0"/>
        </w:rPr>
        <w:t>償審查委員</w:t>
      </w:r>
      <w:r w:rsidRPr="00D64819">
        <w:rPr>
          <w:rFonts w:hAnsi="標楷體" w:hint="eastAsia"/>
          <w:bCs w:val="0"/>
          <w:lang w:eastAsia="zh-HK"/>
        </w:rPr>
        <w:t>任期屆滿時</w:t>
      </w:r>
      <w:r w:rsidRPr="00D64819">
        <w:rPr>
          <w:rFonts w:hAnsi="標楷體" w:hint="eastAsia"/>
          <w:bCs w:val="0"/>
        </w:rPr>
        <w:t>，</w:t>
      </w:r>
      <w:r w:rsidRPr="00D64819">
        <w:rPr>
          <w:rFonts w:hAnsi="標楷體" w:hint="eastAsia"/>
          <w:bCs w:val="0"/>
          <w:lang w:eastAsia="zh-HK"/>
        </w:rPr>
        <w:t>法院院長疏於改選，</w:t>
      </w:r>
      <w:proofErr w:type="gramStart"/>
      <w:r w:rsidRPr="00D64819">
        <w:rPr>
          <w:rFonts w:hAnsi="標楷體" w:hint="eastAsia"/>
          <w:bCs w:val="0"/>
          <w:lang w:eastAsia="zh-HK"/>
        </w:rPr>
        <w:t>肇致</w:t>
      </w:r>
      <w:r w:rsidRPr="00D64819">
        <w:rPr>
          <w:rFonts w:hAnsi="標楷體" w:hint="eastAsia"/>
          <w:szCs w:val="32"/>
          <w:lang w:eastAsia="zh-HK"/>
        </w:rPr>
        <w:t>求償</w:t>
      </w:r>
      <w:proofErr w:type="gramEnd"/>
      <w:r w:rsidRPr="00D64819">
        <w:rPr>
          <w:rFonts w:hAnsi="標楷體" w:hint="eastAsia"/>
          <w:szCs w:val="32"/>
          <w:lang w:eastAsia="zh-HK"/>
        </w:rPr>
        <w:t>審查委員會</w:t>
      </w:r>
      <w:r w:rsidRPr="00D64819">
        <w:rPr>
          <w:rFonts w:hAnsi="標楷體" w:hint="eastAsia"/>
          <w:bCs w:val="0"/>
          <w:lang w:eastAsia="zh-HK"/>
        </w:rPr>
        <w:t>不能行使</w:t>
      </w:r>
      <w:r w:rsidRPr="00D64819">
        <w:rPr>
          <w:rFonts w:hAnsi="標楷體" w:hint="eastAsia"/>
          <w:szCs w:val="32"/>
          <w:lang w:eastAsia="zh-HK"/>
        </w:rPr>
        <w:t>職權，相關審查程序似有瑕疵或不合法之虞，則該委員會就具體個案所作</w:t>
      </w:r>
      <w:r w:rsidRPr="00D64819">
        <w:rPr>
          <w:rFonts w:hAnsi="標楷體" w:hint="eastAsia"/>
          <w:szCs w:val="32"/>
        </w:rPr>
        <w:t>是否行使求償權及其求償範圍</w:t>
      </w:r>
      <w:r w:rsidRPr="00D64819">
        <w:rPr>
          <w:rFonts w:hAnsi="標楷體" w:hint="eastAsia"/>
          <w:szCs w:val="32"/>
          <w:lang w:eastAsia="zh-HK"/>
        </w:rPr>
        <w:t>之議決，恐</w:t>
      </w:r>
      <w:r w:rsidRPr="00D64819">
        <w:rPr>
          <w:rFonts w:hAnsi="標楷體" w:hint="eastAsia"/>
        </w:rPr>
        <w:t>滋生</w:t>
      </w:r>
      <w:r w:rsidRPr="00D64819">
        <w:rPr>
          <w:rFonts w:hAnsi="標楷體" w:hint="eastAsia"/>
          <w:szCs w:val="32"/>
          <w:lang w:eastAsia="zh-HK"/>
        </w:rPr>
        <w:t>爭議</w:t>
      </w:r>
      <w:r w:rsidRPr="00D64819">
        <w:rPr>
          <w:rFonts w:hAnsi="標楷體" w:hint="eastAsia"/>
          <w:szCs w:val="32"/>
        </w:rPr>
        <w:t>。</w:t>
      </w:r>
      <w:r w:rsidRPr="00D64819">
        <w:rPr>
          <w:rFonts w:hAnsi="標楷體" w:hint="eastAsia"/>
          <w:bCs w:val="0"/>
          <w:lang w:eastAsia="zh-HK"/>
        </w:rPr>
        <w:t>對此</w:t>
      </w:r>
      <w:r w:rsidRPr="00D64819">
        <w:rPr>
          <w:rFonts w:hAnsi="標楷體" w:hint="eastAsia"/>
          <w:bCs w:val="0"/>
        </w:rPr>
        <w:t>，</w:t>
      </w:r>
      <w:proofErr w:type="gramStart"/>
      <w:r w:rsidRPr="00D64819">
        <w:rPr>
          <w:rFonts w:hAnsi="標楷體" w:hint="eastAsia"/>
          <w:bCs w:val="0"/>
          <w:lang w:eastAsia="zh-HK"/>
        </w:rPr>
        <w:t>詢</w:t>
      </w:r>
      <w:proofErr w:type="gramEnd"/>
      <w:r w:rsidRPr="00D64819">
        <w:rPr>
          <w:rFonts w:hAnsi="標楷體" w:hint="eastAsia"/>
          <w:bCs w:val="0"/>
          <w:lang w:eastAsia="zh-HK"/>
        </w:rPr>
        <w:t>據司法院刑事廳相關人員表示，將進行內部改善</w:t>
      </w:r>
      <w:r w:rsidRPr="00D64819">
        <w:rPr>
          <w:rFonts w:hAnsi="標楷體" w:hint="eastAsia"/>
          <w:bCs w:val="0"/>
        </w:rPr>
        <w:t>，</w:t>
      </w:r>
      <w:r w:rsidRPr="00D64819">
        <w:rPr>
          <w:rFonts w:hAnsi="標楷體" w:hint="eastAsia"/>
          <w:bCs w:val="0"/>
          <w:lang w:eastAsia="zh-HK"/>
        </w:rPr>
        <w:t>請各級法院定期回報求償審查委員會之改選狀況，確保不管有無求償案件，求償審查委員會都要存在等語</w:t>
      </w:r>
      <w:r w:rsidRPr="00D64819">
        <w:rPr>
          <w:rFonts w:hAnsi="標楷體" w:hint="eastAsia"/>
          <w:bCs w:val="0"/>
        </w:rPr>
        <w:t>。</w:t>
      </w:r>
      <w:r w:rsidRPr="00D64819">
        <w:rPr>
          <w:rFonts w:hAnsi="標楷體" w:hint="eastAsia"/>
          <w:bCs w:val="0"/>
          <w:lang w:eastAsia="zh-HK"/>
        </w:rPr>
        <w:t>顯見司法院對各級法院有無依</w:t>
      </w:r>
      <w:r w:rsidRPr="00D64819">
        <w:rPr>
          <w:rFonts w:hAnsi="標楷體" w:hint="eastAsia"/>
          <w:bCs w:val="0"/>
        </w:rPr>
        <w:t>規定設置求償審查委員會之管理機制尚未</w:t>
      </w:r>
      <w:proofErr w:type="gramStart"/>
      <w:r w:rsidRPr="00D64819">
        <w:rPr>
          <w:rFonts w:hAnsi="標楷體" w:hint="eastAsia"/>
          <w:bCs w:val="0"/>
        </w:rPr>
        <w:t>健全，</w:t>
      </w:r>
      <w:proofErr w:type="gramEnd"/>
      <w:r w:rsidRPr="00D64819">
        <w:rPr>
          <w:rFonts w:hAnsi="標楷體" w:hint="eastAsia"/>
          <w:bCs w:val="0"/>
          <w:lang w:eastAsia="zh-HK"/>
        </w:rPr>
        <w:t>核欠妥適，司法院</w:t>
      </w:r>
      <w:proofErr w:type="gramStart"/>
      <w:r w:rsidRPr="00D64819">
        <w:rPr>
          <w:rFonts w:hAnsi="標楷體" w:hint="eastAsia"/>
          <w:bCs w:val="0"/>
          <w:lang w:eastAsia="zh-HK"/>
        </w:rPr>
        <w:t>仍應督同</w:t>
      </w:r>
      <w:proofErr w:type="gramEnd"/>
      <w:r w:rsidRPr="00D64819">
        <w:rPr>
          <w:rFonts w:hAnsi="標楷體" w:hint="eastAsia"/>
          <w:bCs w:val="0"/>
          <w:lang w:eastAsia="zh-HK"/>
        </w:rPr>
        <w:t>所屬法院落實檢討改善。</w:t>
      </w:r>
    </w:p>
    <w:p w:rsidR="00EB5E57" w:rsidRPr="00D64819" w:rsidRDefault="00EB5E57" w:rsidP="00F709B1">
      <w:pPr>
        <w:pStyle w:val="3"/>
        <w:rPr>
          <w:rFonts w:hAnsi="標楷體"/>
          <w:szCs w:val="32"/>
          <w:lang w:eastAsia="zh-HK"/>
        </w:rPr>
      </w:pPr>
      <w:r w:rsidRPr="00D64819">
        <w:rPr>
          <w:rFonts w:hAnsi="標楷體" w:hint="eastAsia"/>
          <w:szCs w:val="32"/>
          <w:lang w:eastAsia="zh-HK"/>
        </w:rPr>
        <w:lastRenderedPageBreak/>
        <w:t>另查，按國防部各級軍事法院及檢察署辦理刑事補償事件求償作業要點第2至4點規定：</w:t>
      </w:r>
      <w:r w:rsidRPr="00D64819">
        <w:rPr>
          <w:rFonts w:hAnsi="標楷體"/>
          <w:szCs w:val="32"/>
          <w:lang w:eastAsia="zh-HK"/>
        </w:rPr>
        <w:t>「</w:t>
      </w:r>
      <w:r w:rsidRPr="00D64819">
        <w:rPr>
          <w:rFonts w:hAnsi="標楷體" w:hint="eastAsia"/>
          <w:szCs w:val="32"/>
          <w:lang w:eastAsia="zh-HK"/>
        </w:rPr>
        <w:t>國防部各級軍事法院及檢察署應分別設</w:t>
      </w:r>
      <w:r w:rsidRPr="00D64819">
        <w:rPr>
          <w:rFonts w:hAnsi="標楷體"/>
          <w:szCs w:val="32"/>
          <w:lang w:eastAsia="zh-HK"/>
        </w:rPr>
        <w:t>…</w:t>
      </w:r>
      <w:proofErr w:type="gramStart"/>
      <w:r w:rsidRPr="00D64819">
        <w:rPr>
          <w:rFonts w:hAnsi="標楷體"/>
          <w:szCs w:val="32"/>
          <w:lang w:eastAsia="zh-HK"/>
        </w:rPr>
        <w:t>…</w:t>
      </w:r>
      <w:proofErr w:type="gramEnd"/>
      <w:r w:rsidRPr="00D64819">
        <w:rPr>
          <w:rFonts w:hAnsi="標楷體" w:hint="eastAsia"/>
          <w:szCs w:val="32"/>
          <w:lang w:eastAsia="zh-HK"/>
        </w:rPr>
        <w:t>求償審查會</w:t>
      </w:r>
      <w:r w:rsidRPr="00D64819">
        <w:rPr>
          <w:rFonts w:hAnsi="標楷體"/>
          <w:szCs w:val="32"/>
          <w:lang w:eastAsia="zh-HK"/>
        </w:rPr>
        <w:t>…</w:t>
      </w:r>
      <w:proofErr w:type="gramStart"/>
      <w:r w:rsidRPr="00D64819">
        <w:rPr>
          <w:rFonts w:hAnsi="標楷體"/>
          <w:szCs w:val="32"/>
          <w:lang w:eastAsia="zh-HK"/>
        </w:rPr>
        <w:t>…</w:t>
      </w:r>
      <w:proofErr w:type="gramEnd"/>
      <w:r w:rsidRPr="00D64819">
        <w:rPr>
          <w:rFonts w:hAnsi="標楷體" w:hint="eastAsia"/>
          <w:szCs w:val="32"/>
          <w:lang w:eastAsia="zh-HK"/>
        </w:rPr>
        <w:t>審查刑事補償事件之求償事宜。」</w:t>
      </w:r>
      <w:r w:rsidRPr="00D64819">
        <w:rPr>
          <w:rFonts w:hAnsi="標楷體"/>
          <w:szCs w:val="32"/>
          <w:lang w:eastAsia="zh-HK"/>
        </w:rPr>
        <w:t>「</w:t>
      </w:r>
      <w:r w:rsidRPr="00D64819">
        <w:rPr>
          <w:rFonts w:hAnsi="標楷體" w:hint="eastAsia"/>
          <w:szCs w:val="32"/>
          <w:lang w:eastAsia="zh-HK"/>
        </w:rPr>
        <w:t>軍事法院求償審查會置委員9人，除院長為當然委員外，由庭長或軍事審判官互選代表3人，另由院長</w:t>
      </w:r>
      <w:proofErr w:type="gramStart"/>
      <w:r w:rsidRPr="00D64819">
        <w:rPr>
          <w:rFonts w:hAnsi="標楷體" w:hint="eastAsia"/>
          <w:szCs w:val="32"/>
          <w:lang w:eastAsia="zh-HK"/>
        </w:rPr>
        <w:t>遴聘具</w:t>
      </w:r>
      <w:proofErr w:type="gramEnd"/>
      <w:r w:rsidRPr="00D64819">
        <w:rPr>
          <w:rFonts w:hAnsi="標楷體" w:hint="eastAsia"/>
          <w:szCs w:val="32"/>
          <w:lang w:eastAsia="zh-HK"/>
        </w:rPr>
        <w:t>法學素養之社會公正人士5人組成。軍事檢察署求償審查會置委員9人，除檢察長為當然委員外，由主任軍事檢察官或軍事檢察官互選代表3人，另由檢察長</w:t>
      </w:r>
      <w:proofErr w:type="gramStart"/>
      <w:r w:rsidRPr="00D64819">
        <w:rPr>
          <w:rFonts w:hAnsi="標楷體" w:hint="eastAsia"/>
          <w:szCs w:val="32"/>
          <w:lang w:eastAsia="zh-HK"/>
        </w:rPr>
        <w:t>遴聘具</w:t>
      </w:r>
      <w:proofErr w:type="gramEnd"/>
      <w:r w:rsidRPr="00D64819">
        <w:rPr>
          <w:rFonts w:hAnsi="標楷體" w:hint="eastAsia"/>
          <w:szCs w:val="32"/>
          <w:lang w:eastAsia="zh-HK"/>
        </w:rPr>
        <w:t>法學素養之社會公正人士5人組成。」</w:t>
      </w:r>
      <w:r w:rsidRPr="00D64819">
        <w:rPr>
          <w:rFonts w:hAnsi="標楷體"/>
          <w:szCs w:val="32"/>
          <w:lang w:eastAsia="zh-HK"/>
        </w:rPr>
        <w:t>「</w:t>
      </w:r>
      <w:r w:rsidRPr="00D64819">
        <w:rPr>
          <w:rFonts w:hAnsi="標楷體" w:hint="eastAsia"/>
          <w:szCs w:val="32"/>
          <w:lang w:eastAsia="zh-HK"/>
        </w:rPr>
        <w:t>求償審查會之委員任期1年，連選（聘）得連任</w:t>
      </w:r>
      <w:r w:rsidRPr="00D64819">
        <w:rPr>
          <w:rFonts w:hAnsi="標楷體"/>
          <w:szCs w:val="32"/>
          <w:lang w:eastAsia="zh-HK"/>
        </w:rPr>
        <w:t>…</w:t>
      </w:r>
      <w:proofErr w:type="gramStart"/>
      <w:r w:rsidRPr="00D64819">
        <w:rPr>
          <w:rFonts w:hAnsi="標楷體"/>
          <w:szCs w:val="32"/>
          <w:lang w:eastAsia="zh-HK"/>
        </w:rPr>
        <w:t>…</w:t>
      </w:r>
      <w:proofErr w:type="gramEnd"/>
      <w:r w:rsidRPr="00D64819">
        <w:rPr>
          <w:rFonts w:hAnsi="標楷體" w:hint="eastAsia"/>
          <w:szCs w:val="32"/>
          <w:lang w:eastAsia="zh-HK"/>
        </w:rPr>
        <w:t>。」依此，求償審查會亦屬常設性正式編制單位，軍事審判機關亦應每年選（聘）任審查委員。</w:t>
      </w:r>
      <w:proofErr w:type="gramStart"/>
      <w:r w:rsidRPr="00D64819">
        <w:rPr>
          <w:rFonts w:hAnsi="標楷體" w:hint="eastAsia"/>
          <w:szCs w:val="32"/>
          <w:lang w:eastAsia="zh-HK"/>
        </w:rPr>
        <w:t>雖查</w:t>
      </w:r>
      <w:proofErr w:type="gramEnd"/>
      <w:r w:rsidRPr="00D64819">
        <w:rPr>
          <w:rFonts w:hAnsi="標楷體" w:hint="eastAsia"/>
          <w:szCs w:val="32"/>
          <w:lang w:eastAsia="zh-HK"/>
        </w:rPr>
        <w:t>，101至108年軍事審判機關係於支付刑事補償金後，始遴選內外部審查委員，召開刑事補償事件求償審查會，以決定相關執行職務之人員是否符合刑事補償法第34條第2項刑事求償權之規定。</w:t>
      </w:r>
      <w:proofErr w:type="gramStart"/>
      <w:r w:rsidRPr="00D64819">
        <w:rPr>
          <w:rFonts w:hAnsi="標楷體" w:hint="eastAsia"/>
          <w:szCs w:val="32"/>
          <w:lang w:eastAsia="zh-HK"/>
        </w:rPr>
        <w:t>然查</w:t>
      </w:r>
      <w:proofErr w:type="gramEnd"/>
      <w:r w:rsidRPr="00D64819">
        <w:rPr>
          <w:rFonts w:hAnsi="標楷體" w:hint="eastAsia"/>
          <w:szCs w:val="32"/>
          <w:lang w:eastAsia="zh-HK"/>
        </w:rPr>
        <w:t>，軍事審判法於102年8月6日修正通過後，現役軍人犯陸海空軍刑法或其特別法之罪，於平時移歸司法審判。是以國防部允應檢討求償審查會設置實務與法規齟齬之處，檢討修訂相關規定，以符實需。</w:t>
      </w:r>
    </w:p>
    <w:p w:rsidR="00EB5E57" w:rsidRPr="00D64819" w:rsidRDefault="00EB5E57" w:rsidP="00F709B1">
      <w:pPr>
        <w:pStyle w:val="3"/>
        <w:rPr>
          <w:rFonts w:hAnsi="標楷體"/>
          <w:szCs w:val="32"/>
          <w:lang w:eastAsia="zh-HK"/>
        </w:rPr>
      </w:pPr>
      <w:r w:rsidRPr="00D64819">
        <w:rPr>
          <w:rFonts w:hAnsi="標楷體" w:hint="eastAsia"/>
          <w:lang w:eastAsia="zh-HK"/>
        </w:rPr>
        <w:t>綜上</w:t>
      </w:r>
      <w:r w:rsidRPr="00D64819">
        <w:rPr>
          <w:rFonts w:hAnsi="標楷體" w:hint="eastAsia"/>
        </w:rPr>
        <w:t>，</w:t>
      </w:r>
      <w:r w:rsidRPr="00D64819">
        <w:rPr>
          <w:rFonts w:hAnsi="標楷體" w:hint="eastAsia"/>
          <w:bCs w:val="0"/>
          <w:lang w:eastAsia="zh-HK"/>
        </w:rPr>
        <w:t>司法院對於各法院有無依規定</w:t>
      </w:r>
      <w:r w:rsidRPr="00D64819">
        <w:rPr>
          <w:rFonts w:hAnsi="標楷體" w:hint="eastAsia"/>
          <w:bCs w:val="0"/>
        </w:rPr>
        <w:t>設置求償審查委員會之管理機制尚未</w:t>
      </w:r>
      <w:proofErr w:type="gramStart"/>
      <w:r w:rsidRPr="00D64819">
        <w:rPr>
          <w:rFonts w:hAnsi="標楷體" w:hint="eastAsia"/>
          <w:bCs w:val="0"/>
        </w:rPr>
        <w:t>健全，</w:t>
      </w:r>
      <w:r w:rsidRPr="00D64819">
        <w:rPr>
          <w:rFonts w:hAnsi="標楷體" w:hint="eastAsia"/>
          <w:bCs w:val="0"/>
          <w:lang w:eastAsia="zh-HK"/>
        </w:rPr>
        <w:t>倘於</w:t>
      </w:r>
      <w:proofErr w:type="gramEnd"/>
      <w:r w:rsidRPr="00D64819">
        <w:rPr>
          <w:rFonts w:hAnsi="標楷體" w:hint="eastAsia"/>
          <w:bCs w:val="0"/>
        </w:rPr>
        <w:t>求償審查委員</w:t>
      </w:r>
      <w:r w:rsidRPr="00D64819">
        <w:rPr>
          <w:rFonts w:hAnsi="標楷體" w:hint="eastAsia"/>
          <w:bCs w:val="0"/>
          <w:lang w:eastAsia="zh-HK"/>
        </w:rPr>
        <w:t>任期屆滿時</w:t>
      </w:r>
      <w:r w:rsidRPr="00D64819">
        <w:rPr>
          <w:rFonts w:hAnsi="標楷體" w:hint="eastAsia"/>
          <w:bCs w:val="0"/>
        </w:rPr>
        <w:t>，</w:t>
      </w:r>
      <w:r w:rsidRPr="00D64819">
        <w:rPr>
          <w:rFonts w:hAnsi="標楷體" w:hint="eastAsia"/>
          <w:bCs w:val="0"/>
          <w:lang w:eastAsia="zh-HK"/>
        </w:rPr>
        <w:t>法院院長疏於改選，</w:t>
      </w:r>
      <w:proofErr w:type="gramStart"/>
      <w:r w:rsidRPr="00D64819">
        <w:rPr>
          <w:rFonts w:hAnsi="標楷體" w:hint="eastAsia"/>
          <w:bCs w:val="0"/>
          <w:lang w:eastAsia="zh-HK"/>
        </w:rPr>
        <w:t>肇致</w:t>
      </w:r>
      <w:r w:rsidRPr="00D64819">
        <w:rPr>
          <w:rFonts w:hAnsi="標楷體" w:hint="eastAsia"/>
          <w:szCs w:val="32"/>
          <w:lang w:eastAsia="zh-HK"/>
        </w:rPr>
        <w:t>求償</w:t>
      </w:r>
      <w:proofErr w:type="gramEnd"/>
      <w:r w:rsidRPr="00D64819">
        <w:rPr>
          <w:rFonts w:hAnsi="標楷體" w:hint="eastAsia"/>
          <w:szCs w:val="32"/>
          <w:lang w:eastAsia="zh-HK"/>
        </w:rPr>
        <w:t>審查委員會</w:t>
      </w:r>
      <w:r w:rsidRPr="00D64819">
        <w:rPr>
          <w:rFonts w:hAnsi="標楷體" w:hint="eastAsia"/>
          <w:bCs w:val="0"/>
          <w:lang w:eastAsia="zh-HK"/>
        </w:rPr>
        <w:t>不能行使</w:t>
      </w:r>
      <w:r w:rsidRPr="00D64819">
        <w:rPr>
          <w:rFonts w:hAnsi="標楷體" w:hint="eastAsia"/>
          <w:szCs w:val="32"/>
          <w:lang w:eastAsia="zh-HK"/>
        </w:rPr>
        <w:t>職權，則該委員會就具體個案所作</w:t>
      </w:r>
      <w:r w:rsidRPr="00D64819">
        <w:rPr>
          <w:rFonts w:hAnsi="標楷體" w:hint="eastAsia"/>
          <w:szCs w:val="32"/>
        </w:rPr>
        <w:t>是否行使求償權及其求償範圍</w:t>
      </w:r>
      <w:r w:rsidRPr="00D64819">
        <w:rPr>
          <w:rFonts w:hAnsi="標楷體" w:hint="eastAsia"/>
          <w:szCs w:val="32"/>
          <w:lang w:eastAsia="zh-HK"/>
        </w:rPr>
        <w:t>之議決，恐</w:t>
      </w:r>
      <w:r w:rsidRPr="00D64819">
        <w:rPr>
          <w:rFonts w:hAnsi="標楷體" w:hint="eastAsia"/>
        </w:rPr>
        <w:t>滋生</w:t>
      </w:r>
      <w:r w:rsidRPr="00D64819">
        <w:rPr>
          <w:rFonts w:hAnsi="標楷體" w:hint="eastAsia"/>
          <w:szCs w:val="32"/>
          <w:lang w:eastAsia="zh-HK"/>
        </w:rPr>
        <w:t>爭議</w:t>
      </w:r>
      <w:r w:rsidRPr="00D64819">
        <w:rPr>
          <w:rFonts w:hAnsi="標楷體" w:hint="eastAsia"/>
          <w:szCs w:val="32"/>
        </w:rPr>
        <w:t>，</w:t>
      </w:r>
      <w:r w:rsidRPr="00D64819">
        <w:rPr>
          <w:rFonts w:hAnsi="標楷體" w:hint="eastAsia"/>
          <w:bCs w:val="0"/>
          <w:lang w:eastAsia="zh-HK"/>
        </w:rPr>
        <w:t>核有欠妥</w:t>
      </w:r>
      <w:r w:rsidRPr="00D64819">
        <w:rPr>
          <w:rFonts w:hAnsi="標楷體" w:hint="eastAsia"/>
          <w:szCs w:val="32"/>
          <w:lang w:eastAsia="zh-HK"/>
        </w:rPr>
        <w:t>；</w:t>
      </w:r>
      <w:proofErr w:type="gramStart"/>
      <w:r w:rsidRPr="00D64819">
        <w:rPr>
          <w:rFonts w:hAnsi="標楷體" w:hint="eastAsia"/>
          <w:szCs w:val="32"/>
          <w:lang w:eastAsia="zh-HK"/>
        </w:rPr>
        <w:t>另</w:t>
      </w:r>
      <w:proofErr w:type="gramEnd"/>
      <w:r w:rsidRPr="00D64819">
        <w:rPr>
          <w:rFonts w:hAnsi="標楷體" w:hint="eastAsia"/>
          <w:szCs w:val="32"/>
          <w:lang w:eastAsia="zh-HK"/>
        </w:rPr>
        <w:t>，依國防部各級軍事法院及檢察署辦理刑事補償事件求償作業要點規定，軍事審判機關應設置求償審查會及每年選（聘）任審查委員，鑒於軍事審判法於102年修正後，軍事審判機關於承平</w:t>
      </w:r>
      <w:r w:rsidRPr="00D64819">
        <w:rPr>
          <w:rFonts w:hAnsi="標楷體" w:hint="eastAsia"/>
          <w:szCs w:val="32"/>
          <w:lang w:eastAsia="zh-HK"/>
        </w:rPr>
        <w:lastRenderedPageBreak/>
        <w:t>時期</w:t>
      </w:r>
      <w:r w:rsidRPr="00D64819">
        <w:rPr>
          <w:rFonts w:hAnsi="標楷體" w:hint="eastAsia"/>
        </w:rPr>
        <w:t>對於軍人之犯罪</w:t>
      </w:r>
      <w:r w:rsidRPr="00D64819">
        <w:rPr>
          <w:rFonts w:hAnsi="標楷體" w:hint="eastAsia"/>
          <w:lang w:eastAsia="zh-HK"/>
        </w:rPr>
        <w:t>無</w:t>
      </w:r>
      <w:r w:rsidRPr="00D64819">
        <w:rPr>
          <w:rFonts w:hAnsi="標楷體" w:hint="eastAsia"/>
        </w:rPr>
        <w:t>審判權</w:t>
      </w:r>
      <w:r w:rsidRPr="00D64819">
        <w:rPr>
          <w:rFonts w:hAnsi="標楷體" w:hint="eastAsia"/>
          <w:szCs w:val="32"/>
          <w:lang w:eastAsia="zh-HK"/>
        </w:rPr>
        <w:t>，故該</w:t>
      </w:r>
      <w:proofErr w:type="gramStart"/>
      <w:r w:rsidRPr="00D64819">
        <w:rPr>
          <w:rFonts w:hAnsi="標楷體" w:hint="eastAsia"/>
          <w:szCs w:val="32"/>
          <w:lang w:eastAsia="zh-HK"/>
        </w:rPr>
        <w:t>部允應研</w:t>
      </w:r>
      <w:proofErr w:type="gramEnd"/>
      <w:r w:rsidRPr="00D64819">
        <w:rPr>
          <w:rFonts w:hAnsi="標楷體" w:hint="eastAsia"/>
          <w:szCs w:val="32"/>
          <w:lang w:eastAsia="zh-HK"/>
        </w:rPr>
        <w:t>酌檢討求償審查會之設置規定，以符實需。</w:t>
      </w:r>
    </w:p>
    <w:p w:rsidR="00EB5E57" w:rsidRPr="00D64819" w:rsidRDefault="00EB5E57" w:rsidP="00F709B1">
      <w:pPr>
        <w:pStyle w:val="2"/>
        <w:rPr>
          <w:rFonts w:hAnsi="標楷體"/>
          <w:b/>
          <w:lang w:eastAsia="zh-HK"/>
        </w:rPr>
      </w:pPr>
      <w:r w:rsidRPr="00D64819">
        <w:rPr>
          <w:rFonts w:hAnsi="標楷體" w:hint="eastAsia"/>
          <w:b/>
          <w:lang w:eastAsia="zh-HK"/>
        </w:rPr>
        <w:t>司法院對法院辦理刑事補償事件業務之追蹤</w:t>
      </w:r>
      <w:proofErr w:type="gramStart"/>
      <w:r w:rsidRPr="00D64819">
        <w:rPr>
          <w:rFonts w:hAnsi="標楷體" w:hint="eastAsia"/>
          <w:b/>
          <w:lang w:eastAsia="zh-HK"/>
        </w:rPr>
        <w:t>管控確有</w:t>
      </w:r>
      <w:proofErr w:type="gramEnd"/>
      <w:r w:rsidRPr="00D64819">
        <w:rPr>
          <w:rFonts w:hAnsi="標楷體" w:hint="eastAsia"/>
          <w:b/>
          <w:lang w:eastAsia="zh-HK"/>
        </w:rPr>
        <w:t>疏漏，肇致原案承辦人員應負之損害賠償責任或違法失職責任，恐因求償權或懲處權</w:t>
      </w:r>
      <w:proofErr w:type="gramStart"/>
      <w:r w:rsidRPr="00D64819">
        <w:rPr>
          <w:rFonts w:hAnsi="標楷體" w:hint="eastAsia"/>
          <w:b/>
          <w:lang w:eastAsia="zh-HK"/>
        </w:rPr>
        <w:t>罹</w:t>
      </w:r>
      <w:proofErr w:type="gramEnd"/>
      <w:r w:rsidRPr="00D64819">
        <w:rPr>
          <w:rFonts w:hAnsi="標楷體" w:hint="eastAsia"/>
          <w:b/>
          <w:lang w:eastAsia="zh-HK"/>
        </w:rPr>
        <w:t>於時效而無法追償或追究，核有失當。</w:t>
      </w:r>
    </w:p>
    <w:p w:rsidR="00EB5E57" w:rsidRPr="00D64819" w:rsidRDefault="00EB5E57" w:rsidP="00F709B1">
      <w:pPr>
        <w:pStyle w:val="3"/>
        <w:rPr>
          <w:rFonts w:hAnsi="標楷體"/>
          <w:szCs w:val="32"/>
        </w:rPr>
      </w:pPr>
      <w:r w:rsidRPr="00D64819">
        <w:rPr>
          <w:rFonts w:hAnsi="標楷體" w:hint="eastAsia"/>
          <w:szCs w:val="32"/>
          <w:lang w:eastAsia="zh-HK"/>
        </w:rPr>
        <w:t>按刑事補償法第34條第2、</w:t>
      </w:r>
      <w:r w:rsidRPr="00D64819">
        <w:rPr>
          <w:rFonts w:hAnsi="標楷體"/>
          <w:szCs w:val="32"/>
          <w:lang w:eastAsia="zh-HK"/>
        </w:rPr>
        <w:t>3</w:t>
      </w:r>
      <w:r w:rsidRPr="00D64819">
        <w:rPr>
          <w:rFonts w:hAnsi="標楷體" w:hint="eastAsia"/>
          <w:szCs w:val="32"/>
          <w:lang w:eastAsia="zh-HK"/>
        </w:rPr>
        <w:t>項規定：「（第2項）依第1條所列法律執行職務之公務員，因故意或重大過失而違法，致生補償事件者，補償機關於補償後，應依國家賠償法規定，對該公務員求償。（第3項）前項求償權自支付補償金之日起，因2年間不行使而消滅。」次按第一二審法院所屬人員違失造成刑事補償懲處要點第3點規定：「各級法院受理刑事補償事件，應於決定補償確定後15日內，將刑事補償及有關法院羈押、收容、鑑定留置、執行、觀察、勒戒、強制戒治而造成刑事補償之案卷，函送臺灣高等法院、福建高等法院金門分院審核原承辦人員有無違失，</w:t>
      </w:r>
      <w:proofErr w:type="gramStart"/>
      <w:r w:rsidRPr="00D64819">
        <w:rPr>
          <w:rFonts w:hAnsi="標楷體" w:hint="eastAsia"/>
          <w:szCs w:val="32"/>
          <w:lang w:eastAsia="zh-HK"/>
        </w:rPr>
        <w:t>受函送</w:t>
      </w:r>
      <w:proofErr w:type="gramEnd"/>
      <w:r w:rsidRPr="00D64819">
        <w:rPr>
          <w:rFonts w:hAnsi="標楷體" w:hint="eastAsia"/>
          <w:szCs w:val="32"/>
          <w:lang w:eastAsia="zh-HK"/>
        </w:rPr>
        <w:t>法院應於1個月內將審核結果連同案卷一併函報司法院。」又按</w:t>
      </w:r>
      <w:r w:rsidRPr="00D64819">
        <w:rPr>
          <w:rFonts w:hAnsi="標楷體"/>
          <w:szCs w:val="32"/>
          <w:lang w:eastAsia="zh-HK"/>
        </w:rPr>
        <w:t>刑事補償事件求償作業要點第5點</w:t>
      </w:r>
      <w:r w:rsidRPr="00D64819">
        <w:rPr>
          <w:rFonts w:hAnsi="標楷體" w:hint="eastAsia"/>
          <w:szCs w:val="32"/>
          <w:lang w:eastAsia="zh-HK"/>
        </w:rPr>
        <w:t>第2、</w:t>
      </w:r>
      <w:r w:rsidRPr="00D64819">
        <w:rPr>
          <w:rFonts w:hAnsi="標楷體" w:hint="eastAsia"/>
          <w:szCs w:val="32"/>
        </w:rPr>
        <w:t>3</w:t>
      </w:r>
      <w:r w:rsidRPr="00D64819">
        <w:rPr>
          <w:rFonts w:hAnsi="標楷體" w:hint="eastAsia"/>
          <w:szCs w:val="32"/>
          <w:lang w:eastAsia="zh-HK"/>
        </w:rPr>
        <w:t>項</w:t>
      </w:r>
      <w:r w:rsidRPr="00D64819">
        <w:rPr>
          <w:rFonts w:hAnsi="標楷體"/>
          <w:szCs w:val="32"/>
          <w:lang w:eastAsia="zh-HK"/>
        </w:rPr>
        <w:t>規定：「</w:t>
      </w:r>
      <w:r w:rsidRPr="00D64819">
        <w:rPr>
          <w:rFonts w:hAnsi="標楷體" w:hint="eastAsia"/>
          <w:szCs w:val="32"/>
          <w:lang w:eastAsia="zh-HK"/>
        </w:rPr>
        <w:t>（第2項）</w:t>
      </w:r>
      <w:r w:rsidRPr="00D64819">
        <w:rPr>
          <w:rFonts w:hAnsi="標楷體"/>
          <w:szCs w:val="32"/>
          <w:lang w:eastAsia="zh-HK"/>
        </w:rPr>
        <w:t>司法院審核臺灣高等法院、福建高等法院金門分院就刑事補償事件原承辦人員有無違失之審查結果，認造成刑事補償之人員有本法第34條第2項之情形者，</w:t>
      </w:r>
      <w:proofErr w:type="gramStart"/>
      <w:r w:rsidRPr="00D64819">
        <w:rPr>
          <w:rFonts w:hAnsi="標楷體"/>
          <w:szCs w:val="32"/>
          <w:lang w:eastAsia="zh-HK"/>
        </w:rPr>
        <w:t>應函送</w:t>
      </w:r>
      <w:proofErr w:type="gramEnd"/>
      <w:r w:rsidRPr="00D64819">
        <w:rPr>
          <w:rFonts w:hAnsi="標楷體"/>
          <w:szCs w:val="32"/>
          <w:lang w:eastAsia="zh-HK"/>
        </w:rPr>
        <w:t>補償法院審查是否行使求償權及其求償之範圍。</w:t>
      </w:r>
      <w:r w:rsidRPr="00D64819">
        <w:rPr>
          <w:rFonts w:hAnsi="標楷體" w:hint="eastAsia"/>
          <w:szCs w:val="32"/>
          <w:lang w:eastAsia="zh-HK"/>
        </w:rPr>
        <w:t>（第3項）補償法院文書單位應自收受前項函文之日起1個月內簽請院長召集求償審查委員會，逾期不為召集者，司法院得定相當</w:t>
      </w:r>
      <w:proofErr w:type="gramStart"/>
      <w:r w:rsidRPr="00D64819">
        <w:rPr>
          <w:rFonts w:hAnsi="標楷體" w:hint="eastAsia"/>
          <w:szCs w:val="32"/>
          <w:lang w:eastAsia="zh-HK"/>
        </w:rPr>
        <w:t>期間命</w:t>
      </w:r>
      <w:proofErr w:type="gramEnd"/>
      <w:r w:rsidRPr="00D64819">
        <w:rPr>
          <w:rFonts w:hAnsi="標楷體" w:hint="eastAsia"/>
          <w:szCs w:val="32"/>
          <w:lang w:eastAsia="zh-HK"/>
        </w:rPr>
        <w:t>其召集。</w:t>
      </w:r>
      <w:r w:rsidRPr="00D64819">
        <w:rPr>
          <w:rFonts w:hAnsi="標楷體"/>
          <w:szCs w:val="32"/>
          <w:lang w:eastAsia="zh-HK"/>
        </w:rPr>
        <w:t>」</w:t>
      </w:r>
      <w:proofErr w:type="gramStart"/>
      <w:r w:rsidRPr="00D64819">
        <w:rPr>
          <w:rFonts w:hAnsi="標楷體" w:hint="eastAsia"/>
          <w:szCs w:val="32"/>
          <w:lang w:eastAsia="zh-HK"/>
        </w:rPr>
        <w:t>準</w:t>
      </w:r>
      <w:proofErr w:type="gramEnd"/>
      <w:r w:rsidRPr="00D64819">
        <w:rPr>
          <w:rFonts w:hAnsi="標楷體" w:hint="eastAsia"/>
          <w:szCs w:val="32"/>
          <w:lang w:eastAsia="zh-HK"/>
        </w:rPr>
        <w:t>此，各級法院受理刑事補償事件，應於決定補償確定後15日內，將刑事補償及造成刑事補償之案卷</w:t>
      </w:r>
      <w:r w:rsidRPr="00D64819">
        <w:rPr>
          <w:rFonts w:hAnsi="標楷體" w:hint="eastAsia"/>
          <w:szCs w:val="32"/>
        </w:rPr>
        <w:t>，</w:t>
      </w:r>
      <w:r w:rsidRPr="00D64819">
        <w:rPr>
          <w:rFonts w:hAnsi="標楷體" w:hint="eastAsia"/>
          <w:szCs w:val="32"/>
          <w:lang w:eastAsia="zh-HK"/>
        </w:rPr>
        <w:t>函</w:t>
      </w:r>
      <w:r w:rsidRPr="00D64819">
        <w:rPr>
          <w:rFonts w:hAnsi="標楷體" w:hint="eastAsia"/>
        </w:rPr>
        <w:t>送臺灣高等法院、福建高</w:t>
      </w:r>
      <w:r w:rsidRPr="00D64819">
        <w:rPr>
          <w:rFonts w:hAnsi="標楷體" w:hint="eastAsia"/>
          <w:szCs w:val="32"/>
          <w:lang w:eastAsia="zh-HK"/>
        </w:rPr>
        <w:t>等法院金門分院，審核</w:t>
      </w:r>
      <w:r w:rsidRPr="00D64819">
        <w:rPr>
          <w:rFonts w:hAnsi="標楷體" w:hint="eastAsia"/>
          <w:szCs w:val="32"/>
          <w:lang w:eastAsia="zh-HK"/>
        </w:rPr>
        <w:lastRenderedPageBreak/>
        <w:t>造成刑事補償事件之原案件之相關承辦人員有無違失；</w:t>
      </w:r>
      <w:proofErr w:type="gramStart"/>
      <w:r w:rsidRPr="00D64819">
        <w:rPr>
          <w:rFonts w:hAnsi="標楷體" w:hint="eastAsia"/>
          <w:szCs w:val="32"/>
          <w:lang w:eastAsia="zh-HK"/>
        </w:rPr>
        <w:t>受函送</w:t>
      </w:r>
      <w:proofErr w:type="gramEnd"/>
      <w:r w:rsidRPr="00D64819">
        <w:rPr>
          <w:rFonts w:hAnsi="標楷體" w:hint="eastAsia"/>
          <w:szCs w:val="32"/>
          <w:lang w:eastAsia="zh-HK"/>
        </w:rPr>
        <w:t>法院將審查結果函報司法院後，就涉有</w:t>
      </w:r>
      <w:proofErr w:type="gramStart"/>
      <w:r w:rsidRPr="00D64819">
        <w:rPr>
          <w:rFonts w:hAnsi="標楷體" w:hint="eastAsia"/>
          <w:szCs w:val="32"/>
          <w:lang w:eastAsia="zh-HK"/>
        </w:rPr>
        <w:t>違失者</w:t>
      </w:r>
      <w:proofErr w:type="gramEnd"/>
      <w:r w:rsidRPr="00D64819">
        <w:rPr>
          <w:rFonts w:hAnsi="標楷體" w:hint="eastAsia"/>
          <w:szCs w:val="32"/>
          <w:lang w:eastAsia="zh-HK"/>
        </w:rPr>
        <w:t>，由司法院函請原補</w:t>
      </w:r>
      <w:r w:rsidRPr="00D64819">
        <w:rPr>
          <w:rFonts w:hAnsi="標楷體" w:hint="eastAsia"/>
        </w:rPr>
        <w:t>償決</w:t>
      </w:r>
      <w:r w:rsidRPr="00D64819">
        <w:rPr>
          <w:rFonts w:hAnsi="標楷體" w:hint="eastAsia"/>
          <w:szCs w:val="32"/>
        </w:rPr>
        <w:t>定法院召開求償審查委員會，以決定</w:t>
      </w:r>
      <w:proofErr w:type="gramStart"/>
      <w:r w:rsidRPr="00D64819">
        <w:rPr>
          <w:rFonts w:hAnsi="標楷體" w:hint="eastAsia"/>
          <w:szCs w:val="32"/>
        </w:rPr>
        <w:t>研</w:t>
      </w:r>
      <w:proofErr w:type="gramEnd"/>
      <w:r w:rsidRPr="00D64819">
        <w:rPr>
          <w:rFonts w:hAnsi="標楷體" w:hint="eastAsia"/>
          <w:szCs w:val="32"/>
        </w:rPr>
        <w:t>議是否行使求償權及其求償範圍；如有求償權，</w:t>
      </w:r>
      <w:r w:rsidRPr="00D64819">
        <w:rPr>
          <w:rFonts w:hAnsi="標楷體" w:hint="eastAsia"/>
          <w:szCs w:val="32"/>
          <w:lang w:eastAsia="zh-HK"/>
        </w:rPr>
        <w:t>自支付補償金日起算</w:t>
      </w:r>
      <w:r w:rsidRPr="00D64819">
        <w:rPr>
          <w:rFonts w:hAnsi="標楷體" w:hint="eastAsia"/>
          <w:szCs w:val="32"/>
        </w:rPr>
        <w:t>，</w:t>
      </w:r>
      <w:r w:rsidRPr="00D64819">
        <w:rPr>
          <w:rFonts w:hAnsi="標楷體" w:hint="eastAsia"/>
          <w:szCs w:val="32"/>
          <w:lang w:eastAsia="zh-HK"/>
        </w:rPr>
        <w:t>經過</w:t>
      </w:r>
      <w:r w:rsidRPr="00D64819">
        <w:rPr>
          <w:rFonts w:hAnsi="標楷體" w:hint="eastAsia"/>
          <w:szCs w:val="32"/>
        </w:rPr>
        <w:t>2年</w:t>
      </w:r>
      <w:r w:rsidRPr="00D64819">
        <w:rPr>
          <w:rFonts w:hAnsi="標楷體" w:hint="eastAsia"/>
          <w:szCs w:val="32"/>
          <w:lang w:eastAsia="zh-HK"/>
        </w:rPr>
        <w:t>不行使</w:t>
      </w:r>
      <w:r w:rsidRPr="00D64819">
        <w:rPr>
          <w:rFonts w:hAnsi="標楷體" w:hint="eastAsia"/>
          <w:szCs w:val="32"/>
        </w:rPr>
        <w:t>，</w:t>
      </w:r>
      <w:r w:rsidRPr="00D64819">
        <w:rPr>
          <w:rFonts w:hAnsi="標楷體" w:hint="eastAsia"/>
          <w:szCs w:val="32"/>
          <w:lang w:eastAsia="zh-HK"/>
        </w:rPr>
        <w:t>即</w:t>
      </w:r>
      <w:proofErr w:type="gramStart"/>
      <w:r w:rsidRPr="00D64819">
        <w:rPr>
          <w:rFonts w:hAnsi="標楷體" w:hint="eastAsia"/>
          <w:szCs w:val="32"/>
          <w:lang w:eastAsia="zh-HK"/>
        </w:rPr>
        <w:t>罹</w:t>
      </w:r>
      <w:proofErr w:type="gramEnd"/>
      <w:r w:rsidRPr="00D64819">
        <w:rPr>
          <w:rFonts w:hAnsi="標楷體" w:hint="eastAsia"/>
          <w:szCs w:val="32"/>
          <w:lang w:eastAsia="zh-HK"/>
        </w:rPr>
        <w:t>於時效</w:t>
      </w:r>
      <w:r w:rsidRPr="00D64819">
        <w:rPr>
          <w:rFonts w:hAnsi="標楷體" w:hint="eastAsia"/>
          <w:szCs w:val="32"/>
        </w:rPr>
        <w:t>。</w:t>
      </w:r>
    </w:p>
    <w:p w:rsidR="00EB5E57" w:rsidRPr="00D64819" w:rsidRDefault="00EB5E57" w:rsidP="00F709B1">
      <w:pPr>
        <w:pStyle w:val="3"/>
        <w:rPr>
          <w:rFonts w:hAnsi="標楷體"/>
          <w:lang w:eastAsia="zh-HK"/>
        </w:rPr>
      </w:pPr>
      <w:r w:rsidRPr="00D64819">
        <w:rPr>
          <w:rFonts w:hAnsi="標楷體" w:hint="eastAsia"/>
          <w:szCs w:val="32"/>
          <w:lang w:eastAsia="zh-HK"/>
        </w:rPr>
        <w:t>惟經本院調查發現，101年至108年11月止，</w:t>
      </w:r>
      <w:r w:rsidRPr="00D64819">
        <w:rPr>
          <w:rFonts w:hAnsi="標楷體"/>
          <w:szCs w:val="32"/>
          <w:lang w:eastAsia="zh-HK"/>
        </w:rPr>
        <w:t>臺灣高等法院高雄分院</w:t>
      </w:r>
      <w:r w:rsidRPr="00D64819">
        <w:rPr>
          <w:rFonts w:hAnsi="標楷體" w:hint="eastAsia"/>
          <w:szCs w:val="32"/>
          <w:lang w:eastAsia="zh-HK"/>
        </w:rPr>
        <w:t>、臺灣高等法院花蓮分院、臺灣</w:t>
      </w:r>
      <w:proofErr w:type="gramStart"/>
      <w:r w:rsidRPr="00D64819">
        <w:rPr>
          <w:rFonts w:hAnsi="標楷體" w:hint="eastAsia"/>
          <w:szCs w:val="32"/>
          <w:lang w:eastAsia="zh-HK"/>
        </w:rPr>
        <w:t>臺</w:t>
      </w:r>
      <w:proofErr w:type="gramEnd"/>
      <w:r w:rsidRPr="00D64819">
        <w:rPr>
          <w:rFonts w:hAnsi="標楷體" w:hint="eastAsia"/>
          <w:szCs w:val="32"/>
          <w:lang w:eastAsia="zh-HK"/>
        </w:rPr>
        <w:t>北地方法院、臺灣</w:t>
      </w:r>
      <w:r w:rsidRPr="00D64819">
        <w:rPr>
          <w:rFonts w:hAnsi="標楷體" w:hint="eastAsia"/>
        </w:rPr>
        <w:t>新北地方法院、臺灣桃園地方法院、臺灣新</w:t>
      </w:r>
      <w:r w:rsidRPr="00D64819">
        <w:rPr>
          <w:rFonts w:hAnsi="標楷體"/>
        </w:rPr>
        <w:t>竹地方法院</w:t>
      </w: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中地方法院、</w:t>
      </w:r>
      <w:r w:rsidRPr="00D64819">
        <w:rPr>
          <w:rFonts w:hAnsi="標楷體"/>
        </w:rPr>
        <w:t>臺灣</w:t>
      </w:r>
      <w:proofErr w:type="gramStart"/>
      <w:r w:rsidRPr="00D64819">
        <w:rPr>
          <w:rFonts w:hAnsi="標楷體"/>
        </w:rPr>
        <w:t>臺</w:t>
      </w:r>
      <w:proofErr w:type="gramEnd"/>
      <w:r w:rsidRPr="00D64819">
        <w:rPr>
          <w:rFonts w:hAnsi="標楷體"/>
        </w:rPr>
        <w:t>南地方法院</w:t>
      </w: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東地方法院、福建金門地方法院等10法院受理刑事補償事件，於決定補償確定後，未依限（15日</w:t>
      </w:r>
      <w:r w:rsidRPr="00D64819">
        <w:rPr>
          <w:rFonts w:hAnsi="標楷體" w:hint="eastAsia"/>
          <w:lang w:eastAsia="zh-HK"/>
        </w:rPr>
        <w:t>內</w:t>
      </w:r>
      <w:r w:rsidRPr="00D64819">
        <w:rPr>
          <w:rFonts w:hAnsi="標楷體" w:hint="eastAsia"/>
        </w:rPr>
        <w:t>）將相關案卷函送臺灣高等法院、福建高等法院金門分院審核原承辦人員有無違失，共17件（</w:t>
      </w:r>
      <w:r w:rsidRPr="00D64819">
        <w:rPr>
          <w:rFonts w:hAnsi="標楷體" w:hint="eastAsia"/>
          <w:szCs w:val="32"/>
          <w:lang w:eastAsia="zh-HK"/>
        </w:rPr>
        <w:t>如表</w:t>
      </w:r>
      <w:r w:rsidRPr="00D64819">
        <w:rPr>
          <w:rFonts w:hAnsi="標楷體" w:hint="eastAsia"/>
          <w:szCs w:val="32"/>
        </w:rPr>
        <w:t>1），</w:t>
      </w:r>
      <w:r w:rsidRPr="00D64819">
        <w:rPr>
          <w:rFonts w:hAnsi="標楷體" w:hint="eastAsia"/>
          <w:szCs w:val="32"/>
          <w:lang w:eastAsia="zh-HK"/>
        </w:rPr>
        <w:t>已違反前開</w:t>
      </w:r>
      <w:r w:rsidRPr="00D64819">
        <w:rPr>
          <w:rFonts w:hAnsi="標楷體"/>
          <w:szCs w:val="32"/>
        </w:rPr>
        <w:t>第一二審法院所屬人員違失造成刑事補償懲處要點</w:t>
      </w:r>
      <w:r w:rsidRPr="00D64819">
        <w:rPr>
          <w:rFonts w:hAnsi="標楷體" w:hint="eastAsia"/>
          <w:szCs w:val="32"/>
        </w:rPr>
        <w:t>第3點</w:t>
      </w:r>
      <w:r w:rsidRPr="00D64819">
        <w:rPr>
          <w:rFonts w:hAnsi="標楷體" w:hint="eastAsia"/>
          <w:szCs w:val="32"/>
          <w:lang w:eastAsia="zh-HK"/>
        </w:rPr>
        <w:t>前段</w:t>
      </w:r>
      <w:r w:rsidRPr="00D64819">
        <w:rPr>
          <w:rFonts w:hAnsi="標楷體" w:hint="eastAsia"/>
          <w:szCs w:val="32"/>
        </w:rPr>
        <w:t>規定，</w:t>
      </w:r>
      <w:r w:rsidRPr="00D64819">
        <w:rPr>
          <w:rFonts w:hAnsi="標楷體" w:hint="eastAsia"/>
          <w:szCs w:val="32"/>
          <w:lang w:eastAsia="zh-HK"/>
        </w:rPr>
        <w:t>實非妥適</w:t>
      </w:r>
      <w:r w:rsidRPr="00D64819">
        <w:rPr>
          <w:rFonts w:hAnsi="標楷體" w:hint="eastAsia"/>
          <w:szCs w:val="32"/>
        </w:rPr>
        <w:t>。</w:t>
      </w:r>
    </w:p>
    <w:p w:rsidR="00EB5E57" w:rsidRPr="00D64819" w:rsidRDefault="00EB5E57" w:rsidP="00F709B1">
      <w:pPr>
        <w:pStyle w:val="a3"/>
        <w:snapToGrid/>
        <w:ind w:left="680" w:hanging="680"/>
        <w:rPr>
          <w:szCs w:val="32"/>
          <w:lang w:eastAsia="zh-HK"/>
        </w:rPr>
      </w:pPr>
      <w:r w:rsidRPr="00D64819">
        <w:rPr>
          <w:rFonts w:hint="eastAsia"/>
          <w:lang w:eastAsia="zh-HK"/>
        </w:rPr>
        <w:t>101年至108年11月止</w:t>
      </w:r>
      <w:r w:rsidRPr="00D64819">
        <w:rPr>
          <w:rFonts w:hint="eastAsia"/>
        </w:rPr>
        <w:t>，</w:t>
      </w:r>
      <w:r w:rsidRPr="00D64819">
        <w:rPr>
          <w:rFonts w:hint="eastAsia"/>
          <w:lang w:eastAsia="zh-HK"/>
        </w:rPr>
        <w:t>法院於補償決定確定後未</w:t>
      </w:r>
      <w:proofErr w:type="gramStart"/>
      <w:r w:rsidRPr="00D64819">
        <w:rPr>
          <w:rFonts w:hint="eastAsia"/>
          <w:lang w:eastAsia="zh-HK"/>
        </w:rPr>
        <w:t>依限函報</w:t>
      </w:r>
      <w:proofErr w:type="gramEnd"/>
      <w:r w:rsidRPr="00D64819">
        <w:rPr>
          <w:rFonts w:hint="eastAsia"/>
          <w:lang w:eastAsia="zh-HK"/>
        </w:rPr>
        <w:t>臺灣高等法院、福建高等法院金門分院之情形</w:t>
      </w:r>
    </w:p>
    <w:p w:rsidR="00EB5E57" w:rsidRPr="00D64819" w:rsidRDefault="00EB5E57" w:rsidP="00F709B1">
      <w:pPr>
        <w:pStyle w:val="afa"/>
        <w:snapToGrid/>
        <w:spacing w:after="40"/>
        <w:jc w:val="right"/>
        <w:rPr>
          <w:rFonts w:hAnsi="標楷體"/>
          <w:sz w:val="24"/>
          <w:szCs w:val="24"/>
          <w:lang w:eastAsia="zh-HK"/>
        </w:rPr>
      </w:pPr>
      <w:r w:rsidRPr="00D64819">
        <w:rPr>
          <w:rFonts w:hAnsi="標楷體" w:hint="eastAsia"/>
          <w:sz w:val="24"/>
          <w:szCs w:val="24"/>
          <w:lang w:eastAsia="zh-HK"/>
        </w:rPr>
        <w:t>調查日期</w:t>
      </w:r>
      <w:r w:rsidRPr="00D64819">
        <w:rPr>
          <w:rFonts w:hAnsi="標楷體" w:hint="eastAsia"/>
          <w:sz w:val="24"/>
          <w:szCs w:val="24"/>
        </w:rPr>
        <w:t>：109年3月4日</w:t>
      </w:r>
    </w:p>
    <w:tbl>
      <w:tblPr>
        <w:tblStyle w:val="afb"/>
        <w:tblW w:w="5000" w:type="pct"/>
        <w:jc w:val="center"/>
        <w:tblCellMar>
          <w:left w:w="28" w:type="dxa"/>
          <w:right w:w="28" w:type="dxa"/>
        </w:tblCellMar>
        <w:tblLook w:val="04A0" w:firstRow="1" w:lastRow="0" w:firstColumn="1" w:lastColumn="0" w:noHBand="0" w:noVBand="1"/>
      </w:tblPr>
      <w:tblGrid>
        <w:gridCol w:w="478"/>
        <w:gridCol w:w="1124"/>
        <w:gridCol w:w="2092"/>
        <w:gridCol w:w="1011"/>
        <w:gridCol w:w="1251"/>
        <w:gridCol w:w="1171"/>
        <w:gridCol w:w="1707"/>
      </w:tblGrid>
      <w:tr w:rsidR="00EB5E57" w:rsidRPr="00D64819" w:rsidTr="007D288F">
        <w:trPr>
          <w:trHeight w:val="20"/>
          <w:tblHeader/>
          <w:jc w:val="center"/>
        </w:trPr>
        <w:tc>
          <w:tcPr>
            <w:tcW w:w="270" w:type="pct"/>
            <w:shd w:val="clear" w:color="auto" w:fill="E7E6E6" w:themeFill="background2"/>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編號</w:t>
            </w:r>
          </w:p>
        </w:tc>
        <w:tc>
          <w:tcPr>
            <w:tcW w:w="636" w:type="pct"/>
            <w:shd w:val="clear" w:color="auto" w:fill="E7E6E6" w:themeFill="background2"/>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補償法院</w:t>
            </w:r>
          </w:p>
        </w:tc>
        <w:tc>
          <w:tcPr>
            <w:tcW w:w="1184" w:type="pct"/>
            <w:shd w:val="clear" w:color="auto" w:fill="E7E6E6" w:themeFill="background2"/>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案號</w:t>
            </w:r>
          </w:p>
        </w:tc>
        <w:tc>
          <w:tcPr>
            <w:tcW w:w="572" w:type="pct"/>
            <w:shd w:val="clear" w:color="auto" w:fill="E7E6E6" w:themeFill="background2"/>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裁判日期</w:t>
            </w:r>
          </w:p>
          <w:p w:rsidR="00EB5E57" w:rsidRPr="00D64819" w:rsidRDefault="00EB5E57" w:rsidP="007D288F">
            <w:pPr>
              <w:pStyle w:val="121"/>
              <w:snapToGrid/>
              <w:spacing w:line="280" w:lineRule="exact"/>
              <w:jc w:val="center"/>
              <w:rPr>
                <w:rFonts w:hAnsi="標楷體"/>
                <w:lang w:eastAsia="zh-HK"/>
              </w:rPr>
            </w:pPr>
            <w:r w:rsidRPr="00D64819">
              <w:rPr>
                <w:rFonts w:hAnsi="標楷體" w:hint="eastAsia"/>
              </w:rPr>
              <w:t>【</w:t>
            </w:r>
            <w:r w:rsidRPr="00D64819">
              <w:rPr>
                <w:rFonts w:hAnsi="標楷體" w:hint="eastAsia"/>
                <w:lang w:eastAsia="zh-HK"/>
              </w:rPr>
              <w:t>註</w:t>
            </w:r>
            <w:r w:rsidRPr="00D64819">
              <w:rPr>
                <w:rFonts w:hAnsi="標楷體" w:hint="eastAsia"/>
              </w:rPr>
              <w:t>】</w:t>
            </w:r>
          </w:p>
        </w:tc>
        <w:tc>
          <w:tcPr>
            <w:tcW w:w="708" w:type="pct"/>
            <w:shd w:val="clear" w:color="auto" w:fill="E7E6E6" w:themeFill="background2"/>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補償金額</w:t>
            </w:r>
          </w:p>
          <w:p w:rsidR="00EB5E57" w:rsidRPr="00D64819" w:rsidRDefault="00EB5E57" w:rsidP="007D288F">
            <w:pPr>
              <w:pStyle w:val="121"/>
              <w:snapToGrid/>
              <w:spacing w:line="280" w:lineRule="exact"/>
              <w:jc w:val="center"/>
              <w:rPr>
                <w:rFonts w:hAnsi="標楷體"/>
              </w:rPr>
            </w:pPr>
            <w:proofErr w:type="gramStart"/>
            <w:r w:rsidRPr="00D64819">
              <w:rPr>
                <w:rFonts w:hAnsi="標楷體" w:hint="eastAsia"/>
              </w:rPr>
              <w:t>（</w:t>
            </w:r>
            <w:proofErr w:type="gramEnd"/>
            <w:r w:rsidRPr="00D64819">
              <w:rPr>
                <w:rFonts w:hAnsi="標楷體" w:hint="eastAsia"/>
                <w:lang w:eastAsia="zh-HK"/>
              </w:rPr>
              <w:t>單位</w:t>
            </w:r>
            <w:r w:rsidRPr="00D64819">
              <w:rPr>
                <w:rFonts w:hAnsi="標楷體" w:hint="eastAsia"/>
              </w:rPr>
              <w:t>：</w:t>
            </w:r>
            <w:r w:rsidRPr="00D64819">
              <w:rPr>
                <w:rFonts w:hAnsi="標楷體" w:hint="eastAsia"/>
                <w:lang w:eastAsia="zh-HK"/>
              </w:rPr>
              <w:t>新臺幣</w:t>
            </w:r>
            <w:proofErr w:type="gramStart"/>
            <w:r w:rsidRPr="00D64819">
              <w:rPr>
                <w:rFonts w:hAnsi="標楷體" w:hint="eastAsia"/>
              </w:rPr>
              <w:t>）</w:t>
            </w:r>
            <w:proofErr w:type="gramEnd"/>
          </w:p>
        </w:tc>
        <w:tc>
          <w:tcPr>
            <w:tcW w:w="663" w:type="pct"/>
            <w:shd w:val="clear" w:color="auto" w:fill="E7E6E6" w:themeFill="background2"/>
            <w:vAlign w:val="center"/>
          </w:tcPr>
          <w:p w:rsidR="00EB5E57" w:rsidRPr="00D64819" w:rsidRDefault="00EB5E57" w:rsidP="007D288F">
            <w:pPr>
              <w:pStyle w:val="121"/>
              <w:snapToGrid/>
              <w:spacing w:line="280" w:lineRule="exact"/>
              <w:jc w:val="center"/>
              <w:rPr>
                <w:rFonts w:hAnsi="標楷體"/>
                <w:snapToGrid/>
                <w:spacing w:val="-10"/>
              </w:rPr>
            </w:pPr>
            <w:r w:rsidRPr="00D64819">
              <w:rPr>
                <w:rFonts w:hAnsi="標楷體" w:hint="eastAsia"/>
                <w:snapToGrid/>
                <w:spacing w:val="-10"/>
              </w:rPr>
              <w:t>自裁判日</w:t>
            </w:r>
            <w:r w:rsidRPr="00D64819">
              <w:rPr>
                <w:rFonts w:hAnsi="標楷體" w:hint="eastAsia"/>
                <w:snapToGrid/>
                <w:spacing w:val="-10"/>
                <w:lang w:eastAsia="zh-HK"/>
              </w:rPr>
              <w:t>迄今</w:t>
            </w:r>
            <w:r w:rsidRPr="00D64819">
              <w:rPr>
                <w:rFonts w:hAnsi="標楷體" w:hint="eastAsia"/>
                <w:snapToGrid/>
                <w:spacing w:val="-10"/>
              </w:rPr>
              <w:t>，是否</w:t>
            </w:r>
            <w:r w:rsidRPr="00D64819">
              <w:rPr>
                <w:rFonts w:hAnsi="標楷體" w:hint="eastAsia"/>
                <w:snapToGrid/>
                <w:spacing w:val="-10"/>
                <w:lang w:eastAsia="zh-HK"/>
              </w:rPr>
              <w:t>已</w:t>
            </w:r>
            <w:r w:rsidRPr="00D64819">
              <w:rPr>
                <w:rFonts w:hAnsi="標楷體" w:hint="eastAsia"/>
                <w:snapToGrid/>
                <w:spacing w:val="-10"/>
              </w:rPr>
              <w:t>逾2年</w:t>
            </w:r>
          </w:p>
        </w:tc>
        <w:tc>
          <w:tcPr>
            <w:tcW w:w="966" w:type="pct"/>
            <w:shd w:val="clear" w:color="auto" w:fill="E7E6E6" w:themeFill="background2"/>
            <w:vAlign w:val="center"/>
          </w:tcPr>
          <w:p w:rsidR="00EB5E57" w:rsidRPr="00D64819" w:rsidRDefault="00EB5E57" w:rsidP="007D288F">
            <w:pPr>
              <w:pStyle w:val="121"/>
              <w:snapToGrid/>
              <w:spacing w:line="280" w:lineRule="exact"/>
              <w:jc w:val="center"/>
              <w:rPr>
                <w:rFonts w:hAnsi="標楷體"/>
                <w:snapToGrid/>
                <w:spacing w:val="-10"/>
                <w:lang w:eastAsia="zh-HK"/>
              </w:rPr>
            </w:pPr>
            <w:proofErr w:type="gramStart"/>
            <w:r w:rsidRPr="00D64819">
              <w:rPr>
                <w:rFonts w:hAnsi="標楷體" w:hint="eastAsia"/>
                <w:snapToGrid/>
                <w:spacing w:val="-10"/>
              </w:rPr>
              <w:t>詢</w:t>
            </w:r>
            <w:proofErr w:type="gramEnd"/>
            <w:r w:rsidRPr="00D64819">
              <w:rPr>
                <w:rFonts w:hAnsi="標楷體" w:hint="eastAsia"/>
                <w:snapToGrid/>
                <w:spacing w:val="-10"/>
              </w:rPr>
              <w:t>據司法院109</w:t>
            </w:r>
            <w:r w:rsidRPr="00D64819">
              <w:rPr>
                <w:rFonts w:hAnsi="標楷體" w:hint="eastAsia"/>
                <w:snapToGrid/>
                <w:spacing w:val="-10"/>
                <w:lang w:eastAsia="zh-HK"/>
              </w:rPr>
              <w:t>年</w:t>
            </w:r>
            <w:r w:rsidRPr="00D64819">
              <w:rPr>
                <w:rFonts w:hAnsi="標楷體" w:hint="eastAsia"/>
                <w:snapToGrid/>
                <w:spacing w:val="-10"/>
              </w:rPr>
              <w:t>5</w:t>
            </w:r>
            <w:r w:rsidRPr="00D64819">
              <w:rPr>
                <w:rFonts w:hAnsi="標楷體" w:hint="eastAsia"/>
                <w:snapToGrid/>
                <w:spacing w:val="-10"/>
                <w:lang w:eastAsia="zh-HK"/>
              </w:rPr>
              <w:t>月</w:t>
            </w:r>
            <w:r w:rsidRPr="00D64819">
              <w:rPr>
                <w:rFonts w:hAnsi="標楷體" w:hint="eastAsia"/>
                <w:snapToGrid/>
                <w:spacing w:val="-10"/>
              </w:rPr>
              <w:t>18</w:t>
            </w:r>
            <w:r w:rsidRPr="00D64819">
              <w:rPr>
                <w:rFonts w:hAnsi="標楷體" w:hint="eastAsia"/>
                <w:snapToGrid/>
                <w:spacing w:val="-10"/>
                <w:lang w:eastAsia="zh-HK"/>
              </w:rPr>
              <w:t>日說明案件</w:t>
            </w:r>
            <w:r w:rsidRPr="00D64819">
              <w:rPr>
                <w:rFonts w:hAnsi="標楷體" w:hint="eastAsia"/>
              </w:rPr>
              <w:t>審核</w:t>
            </w:r>
            <w:r w:rsidRPr="00D64819">
              <w:rPr>
                <w:rFonts w:hAnsi="標楷體" w:hint="eastAsia"/>
                <w:snapToGrid/>
                <w:spacing w:val="-10"/>
                <w:lang w:eastAsia="zh-HK"/>
              </w:rPr>
              <w:t>進展</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rPr>
              <w:t>臺灣高等法院高雄分院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101</w:t>
            </w:r>
            <w:r w:rsidRPr="00D64819">
              <w:rPr>
                <w:rFonts w:hAnsi="標楷體" w:hint="eastAsia"/>
              </w:rPr>
              <w:t>年度刑補字</w:t>
            </w:r>
            <w:proofErr w:type="gramEnd"/>
            <w:r w:rsidRPr="00D64819">
              <w:rPr>
                <w:rFonts w:hAnsi="標楷體" w:hint="eastAsia"/>
              </w:rPr>
              <w:t>第13</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rPr>
              <w:t>101.12.28</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1,431,000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lang w:eastAsia="zh-HK"/>
              </w:rPr>
            </w:pPr>
            <w:r w:rsidRPr="00D64819">
              <w:rPr>
                <w:rFonts w:hAnsi="標楷體" w:hint="eastAsia"/>
                <w:lang w:eastAsia="zh-HK"/>
              </w:rPr>
              <w:t>尚在臺灣高等法院審核中</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2</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臺灣高等法院花蓮分院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106年度刑補字</w:t>
            </w:r>
            <w:proofErr w:type="gramEnd"/>
            <w:r w:rsidRPr="00D64819">
              <w:rPr>
                <w:rFonts w:hAnsi="標楷體" w:hint="eastAsia"/>
              </w:rPr>
              <w:t>第1</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rPr>
              <w:t>106.05.09</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cs="新細明體" w:hint="eastAsia"/>
                <w:snapToGrid/>
                <w:spacing w:val="0"/>
              </w:rPr>
              <w:t>168,000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cs="新細明體"/>
                <w:snapToGrid/>
                <w:spacing w:val="0"/>
              </w:rPr>
            </w:pPr>
            <w:r w:rsidRPr="00D64819">
              <w:rPr>
                <w:rFonts w:hAnsi="標楷體" w:cs="新細明體" w:hint="eastAsia"/>
                <w:b/>
                <w:snapToGrid/>
                <w:spacing w:val="0"/>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cs="新細明體"/>
                <w:snapToGrid/>
                <w:spacing w:val="0"/>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3</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北地方法院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103年度刑補字</w:t>
            </w:r>
            <w:proofErr w:type="gramEnd"/>
            <w:r w:rsidRPr="00D64819">
              <w:rPr>
                <w:rFonts w:hAnsi="標楷體" w:hint="eastAsia"/>
              </w:rPr>
              <w:t>第12</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rPr>
              <w:t>103.10.03</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291,000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4</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北地方法院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105年度刑補字</w:t>
            </w:r>
            <w:proofErr w:type="gramEnd"/>
            <w:r w:rsidRPr="00D64819">
              <w:rPr>
                <w:rFonts w:hAnsi="標楷體" w:hint="eastAsia"/>
              </w:rPr>
              <w:t>第14</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105.11.16</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100,000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5</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北地方法院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106年度刑補字</w:t>
            </w:r>
            <w:proofErr w:type="gramEnd"/>
            <w:r w:rsidRPr="00D64819">
              <w:rPr>
                <w:rFonts w:hAnsi="標楷體" w:hint="eastAsia"/>
              </w:rPr>
              <w:t>第13</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106.10.16</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snapToGrid/>
                <w:spacing w:val="-10"/>
                <w:lang w:eastAsia="zh-HK"/>
              </w:rPr>
            </w:pPr>
            <w:r w:rsidRPr="00D64819">
              <w:rPr>
                <w:rFonts w:hAnsi="標楷體" w:hint="eastAsia"/>
                <w:snapToGrid/>
                <w:spacing w:val="-10"/>
              </w:rPr>
              <w:t>466,000</w:t>
            </w:r>
            <w:r w:rsidRPr="00D64819">
              <w:rPr>
                <w:rFonts w:hAnsi="標楷體" w:hint="eastAsia"/>
                <w:snapToGrid/>
                <w:spacing w:val="-10"/>
                <w:lang w:eastAsia="zh-HK"/>
              </w:rPr>
              <w:t>元</w:t>
            </w:r>
          </w:p>
          <w:p w:rsidR="00EB5E57" w:rsidRPr="00D64819" w:rsidRDefault="00EB5E57" w:rsidP="007D288F">
            <w:pPr>
              <w:pStyle w:val="121"/>
              <w:snapToGrid/>
              <w:spacing w:line="280" w:lineRule="exact"/>
              <w:rPr>
                <w:rFonts w:hAnsi="標楷體"/>
                <w:snapToGrid/>
                <w:spacing w:val="-10"/>
              </w:rPr>
            </w:pPr>
            <w:r w:rsidRPr="00D64819">
              <w:rPr>
                <w:rFonts w:hAnsi="標楷體" w:hint="eastAsia"/>
                <w:snapToGrid/>
                <w:spacing w:val="-10"/>
              </w:rPr>
              <w:t>（</w:t>
            </w:r>
            <w:r w:rsidRPr="00D64819">
              <w:rPr>
                <w:rFonts w:hAnsi="標楷體" w:hint="eastAsia"/>
                <w:snapToGrid/>
                <w:spacing w:val="-10"/>
                <w:lang w:eastAsia="zh-HK"/>
              </w:rPr>
              <w:t>另附加依5%計算之利息</w:t>
            </w:r>
            <w:r w:rsidRPr="00D64819">
              <w:rPr>
                <w:rFonts w:hAnsi="標楷體" w:hint="eastAsia"/>
                <w:snapToGrid/>
                <w:spacing w:val="-10"/>
              </w:rPr>
              <w:t>）</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snapToGrid/>
                <w:spacing w:val="-10"/>
              </w:rPr>
            </w:pPr>
            <w:r w:rsidRPr="00D64819">
              <w:rPr>
                <w:rFonts w:hAnsi="標楷體" w:hint="eastAsia"/>
                <w:b/>
                <w:snapToGrid/>
                <w:spacing w:val="-10"/>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snapToGrid/>
                <w:spacing w:val="-10"/>
              </w:rPr>
            </w:pPr>
            <w:r w:rsidRPr="00D64819">
              <w:rPr>
                <w:rFonts w:hAnsi="標楷體" w:hint="eastAsia"/>
                <w:lang w:eastAsia="zh-HK"/>
              </w:rPr>
              <w:t>尚在臺灣高等法院審核中</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lastRenderedPageBreak/>
              <w:t>6</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臺灣新北地方法院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108年度刑補字</w:t>
            </w:r>
            <w:proofErr w:type="gramEnd"/>
            <w:r w:rsidRPr="00D64819">
              <w:rPr>
                <w:rFonts w:hAnsi="標楷體" w:hint="eastAsia"/>
              </w:rPr>
              <w:t>第1</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108.07.09</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174,000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7</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臺灣桃園地方法院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103年度刑補字</w:t>
            </w:r>
            <w:proofErr w:type="gramEnd"/>
            <w:r w:rsidRPr="00D64819">
              <w:rPr>
                <w:rFonts w:hAnsi="標楷體" w:hint="eastAsia"/>
              </w:rPr>
              <w:t>第12</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103.06.23</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snapToGrid/>
                <w:spacing w:val="-10"/>
                <w:lang w:eastAsia="zh-HK"/>
              </w:rPr>
            </w:pPr>
            <w:r w:rsidRPr="00D64819">
              <w:rPr>
                <w:rFonts w:hAnsi="標楷體" w:hint="eastAsia"/>
                <w:snapToGrid/>
                <w:spacing w:val="-10"/>
              </w:rPr>
              <w:t>184,000</w:t>
            </w:r>
            <w:r w:rsidRPr="00D64819">
              <w:rPr>
                <w:rFonts w:hAnsi="標楷體" w:hint="eastAsia"/>
                <w:snapToGrid/>
                <w:spacing w:val="-10"/>
                <w:lang w:eastAsia="zh-HK"/>
              </w:rPr>
              <w:t>元</w:t>
            </w:r>
          </w:p>
          <w:p w:rsidR="00EB5E57" w:rsidRPr="00D64819" w:rsidRDefault="00EB5E57" w:rsidP="007D288F">
            <w:pPr>
              <w:pStyle w:val="121"/>
              <w:snapToGrid/>
              <w:spacing w:line="280" w:lineRule="exact"/>
              <w:rPr>
                <w:rFonts w:hAnsi="標楷體"/>
              </w:rPr>
            </w:pPr>
            <w:r w:rsidRPr="00D64819">
              <w:rPr>
                <w:rFonts w:hAnsi="標楷體" w:hint="eastAsia"/>
                <w:snapToGrid/>
                <w:spacing w:val="-10"/>
              </w:rPr>
              <w:t>（</w:t>
            </w:r>
            <w:r w:rsidRPr="00D64819">
              <w:rPr>
                <w:rFonts w:hAnsi="標楷體" w:hint="eastAsia"/>
                <w:snapToGrid/>
                <w:spacing w:val="-10"/>
                <w:lang w:eastAsia="zh-HK"/>
              </w:rPr>
              <w:t>另附加依5%計算之利息</w:t>
            </w:r>
            <w:r w:rsidRPr="00D64819">
              <w:rPr>
                <w:rFonts w:hAnsi="標楷體" w:hint="eastAsia"/>
                <w:snapToGrid/>
                <w:spacing w:val="-10"/>
              </w:rPr>
              <w:t>）</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snapToGrid/>
                <w:spacing w:val="-10"/>
              </w:rPr>
            </w:pPr>
            <w:r w:rsidRPr="00D64819">
              <w:rPr>
                <w:rFonts w:hAnsi="標楷體" w:hint="eastAsia"/>
                <w:b/>
                <w:snapToGrid/>
                <w:spacing w:val="-10"/>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snapToGrid/>
                <w:spacing w:val="-10"/>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8</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臺灣新</w:t>
            </w:r>
            <w:r w:rsidRPr="00D64819">
              <w:rPr>
                <w:rFonts w:hAnsi="標楷體"/>
              </w:rPr>
              <w:t>竹地方法院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101年度刑補字</w:t>
            </w:r>
            <w:proofErr w:type="gramEnd"/>
            <w:r w:rsidRPr="00D64819">
              <w:rPr>
                <w:rFonts w:hAnsi="標楷體" w:hint="eastAsia"/>
              </w:rPr>
              <w:t>第5</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101.07.13</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57,000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lang w:eastAsia="zh-HK"/>
              </w:rPr>
              <w:t>尚在臺灣高等法院審核中</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9</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臺灣新</w:t>
            </w:r>
            <w:r w:rsidRPr="00D64819">
              <w:rPr>
                <w:rFonts w:hAnsi="標楷體"/>
              </w:rPr>
              <w:t>竹地方法院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101年度刑補字</w:t>
            </w:r>
            <w:proofErr w:type="gramEnd"/>
            <w:r w:rsidRPr="00D64819">
              <w:rPr>
                <w:rFonts w:hAnsi="標楷體" w:hint="eastAsia"/>
              </w:rPr>
              <w:t>第6</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101.07.13</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57,000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lang w:eastAsia="zh-HK"/>
              </w:rPr>
              <w:t>尚在臺灣高等法院審核中</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10</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臺灣新</w:t>
            </w:r>
            <w:r w:rsidRPr="00D64819">
              <w:rPr>
                <w:rFonts w:hAnsi="標楷體"/>
              </w:rPr>
              <w:t>竹地方法院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106年度刑補字</w:t>
            </w:r>
            <w:proofErr w:type="gramEnd"/>
            <w:r w:rsidRPr="00D64819">
              <w:rPr>
                <w:rFonts w:hAnsi="標楷體" w:hint="eastAsia"/>
              </w:rPr>
              <w:t>第4</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107.02.09</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186,000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11</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中地方法院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103年度刑補字</w:t>
            </w:r>
            <w:proofErr w:type="gramEnd"/>
            <w:r w:rsidRPr="00D64819">
              <w:rPr>
                <w:rFonts w:hAnsi="標楷體" w:hint="eastAsia"/>
              </w:rPr>
              <w:t>第8</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103.10.17</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159,000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12</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中地方法院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106年度刑補字</w:t>
            </w:r>
            <w:proofErr w:type="gramEnd"/>
            <w:r w:rsidRPr="00D64819">
              <w:rPr>
                <w:rFonts w:hAnsi="標楷體" w:hint="eastAsia"/>
              </w:rPr>
              <w:t>第10</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107.05.14</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188,800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lang w:eastAsia="zh-HK"/>
              </w:rPr>
              <w:t>尚在臺灣高等法院審核中</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13</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中地方法院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107年度刑補字</w:t>
            </w:r>
            <w:proofErr w:type="gramEnd"/>
            <w:r w:rsidRPr="00D64819">
              <w:rPr>
                <w:rFonts w:hAnsi="標楷體" w:hint="eastAsia"/>
              </w:rPr>
              <w:t>第3</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107.11.20</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192,000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14</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rPr>
              <w:t>臺灣</w:t>
            </w:r>
            <w:proofErr w:type="gramStart"/>
            <w:r w:rsidRPr="00D64819">
              <w:rPr>
                <w:rFonts w:hAnsi="標楷體"/>
              </w:rPr>
              <w:t>臺</w:t>
            </w:r>
            <w:proofErr w:type="gramEnd"/>
            <w:r w:rsidRPr="00D64819">
              <w:rPr>
                <w:rFonts w:hAnsi="標楷體"/>
              </w:rPr>
              <w:t>南地方法院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107年度刑補字</w:t>
            </w:r>
            <w:proofErr w:type="gramEnd"/>
            <w:r w:rsidRPr="00D64819">
              <w:rPr>
                <w:rFonts w:hAnsi="標楷體" w:hint="eastAsia"/>
              </w:rPr>
              <w:t>第5</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107.09.05</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380,800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15</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rPr>
              <w:t>臺灣</w:t>
            </w:r>
            <w:proofErr w:type="gramStart"/>
            <w:r w:rsidRPr="00D64819">
              <w:rPr>
                <w:rFonts w:hAnsi="標楷體"/>
              </w:rPr>
              <w:t>臺</w:t>
            </w:r>
            <w:proofErr w:type="gramEnd"/>
            <w:r w:rsidRPr="00D64819">
              <w:rPr>
                <w:rFonts w:hAnsi="標楷體"/>
              </w:rPr>
              <w:t>南地方法院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107年度刑補字</w:t>
            </w:r>
            <w:proofErr w:type="gramEnd"/>
            <w:r w:rsidRPr="00D64819">
              <w:rPr>
                <w:rFonts w:hAnsi="標楷體" w:hint="eastAsia"/>
              </w:rPr>
              <w:t>第10</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107.10.08</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160,000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16</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東地方法院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101年度刑補字</w:t>
            </w:r>
            <w:proofErr w:type="gramEnd"/>
            <w:r w:rsidRPr="00D64819">
              <w:rPr>
                <w:rFonts w:hAnsi="標楷體" w:hint="eastAsia"/>
              </w:rPr>
              <w:t>第1</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101.03.26</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51,000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lang w:eastAsia="zh-HK"/>
              </w:rPr>
              <w:t>尚在臺灣高等法院審核中</w:t>
            </w:r>
          </w:p>
        </w:tc>
      </w:tr>
      <w:tr w:rsidR="00EB5E57" w:rsidRPr="00D64819" w:rsidTr="007D288F">
        <w:trPr>
          <w:trHeight w:val="20"/>
          <w:jc w:val="center"/>
        </w:trPr>
        <w:tc>
          <w:tcPr>
            <w:tcW w:w="270"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17</w:t>
            </w:r>
          </w:p>
        </w:tc>
        <w:tc>
          <w:tcPr>
            <w:tcW w:w="63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福建金門地方法院</w:t>
            </w:r>
          </w:p>
        </w:tc>
        <w:tc>
          <w:tcPr>
            <w:tcW w:w="1184" w:type="pct"/>
            <w:shd w:val="clear" w:color="auto" w:fill="auto"/>
            <w:vAlign w:val="center"/>
          </w:tcPr>
          <w:p w:rsidR="00EB5E57" w:rsidRPr="00D64819" w:rsidRDefault="00EB5E57" w:rsidP="007D288F">
            <w:pPr>
              <w:pStyle w:val="121"/>
              <w:snapToGrid/>
              <w:spacing w:line="280" w:lineRule="exact"/>
              <w:rPr>
                <w:rFonts w:hAnsi="標楷體"/>
              </w:rPr>
            </w:pPr>
            <w:proofErr w:type="gramStart"/>
            <w:r w:rsidRPr="00D64819">
              <w:rPr>
                <w:rFonts w:hAnsi="標楷體" w:hint="eastAsia"/>
              </w:rPr>
              <w:t>101年度刑補字</w:t>
            </w:r>
            <w:proofErr w:type="gramEnd"/>
            <w:r w:rsidRPr="00D64819">
              <w:rPr>
                <w:rFonts w:hAnsi="標楷體" w:hint="eastAsia"/>
              </w:rPr>
              <w:t>第1</w:t>
            </w:r>
            <w:r w:rsidRPr="00D64819">
              <w:rPr>
                <w:rFonts w:hAnsi="標楷體" w:hint="eastAsia"/>
                <w:lang w:eastAsia="zh-HK"/>
              </w:rPr>
              <w:t>號</w:t>
            </w:r>
          </w:p>
        </w:tc>
        <w:tc>
          <w:tcPr>
            <w:tcW w:w="572"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hint="eastAsia"/>
              </w:rPr>
              <w:t>101.10.30</w:t>
            </w:r>
          </w:p>
        </w:tc>
        <w:tc>
          <w:tcPr>
            <w:tcW w:w="708" w:type="pct"/>
            <w:shd w:val="clear" w:color="auto" w:fill="auto"/>
            <w:vAlign w:val="center"/>
          </w:tcPr>
          <w:p w:rsidR="00EB5E57" w:rsidRPr="00D64819" w:rsidRDefault="00EB5E57" w:rsidP="007D288F">
            <w:pPr>
              <w:pStyle w:val="121"/>
              <w:snapToGrid/>
              <w:spacing w:line="280" w:lineRule="exact"/>
              <w:jc w:val="right"/>
              <w:rPr>
                <w:rFonts w:hAnsi="標楷體"/>
              </w:rPr>
            </w:pPr>
            <w:r w:rsidRPr="00D64819">
              <w:rPr>
                <w:rFonts w:hAnsi="標楷體" w:hint="eastAsia"/>
              </w:rPr>
              <w:t>49,000</w:t>
            </w:r>
            <w:r w:rsidRPr="00D64819">
              <w:rPr>
                <w:rFonts w:hAnsi="標楷體" w:hint="eastAsia"/>
                <w:lang w:eastAsia="zh-HK"/>
              </w:rPr>
              <w:t>元</w:t>
            </w:r>
          </w:p>
        </w:tc>
        <w:tc>
          <w:tcPr>
            <w:tcW w:w="663" w:type="pct"/>
            <w:shd w:val="clear" w:color="auto" w:fill="auto"/>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66" w:type="pct"/>
            <w:shd w:val="clear" w:color="auto" w:fill="auto"/>
            <w:vAlign w:val="center"/>
          </w:tcPr>
          <w:p w:rsidR="00EB5E57" w:rsidRPr="00D64819" w:rsidRDefault="00EB5E57" w:rsidP="007D288F">
            <w:pPr>
              <w:pStyle w:val="121"/>
              <w:snapToGrid/>
              <w:spacing w:line="280" w:lineRule="exact"/>
              <w:rPr>
                <w:rFonts w:hAnsi="標楷體"/>
              </w:rPr>
            </w:pPr>
            <w:r w:rsidRPr="00D64819">
              <w:rPr>
                <w:rFonts w:hAnsi="標楷體" w:cs="新細明體" w:hint="eastAsia"/>
                <w:snapToGrid/>
                <w:spacing w:val="0"/>
                <w:lang w:eastAsia="zh-HK"/>
              </w:rPr>
              <w:t>已函送司法院核備</w:t>
            </w:r>
          </w:p>
        </w:tc>
      </w:tr>
    </w:tbl>
    <w:p w:rsidR="00EB5E57" w:rsidRPr="00D64819" w:rsidRDefault="00EB5E57" w:rsidP="00F709B1">
      <w:pPr>
        <w:pStyle w:val="afa"/>
        <w:wordWrap w:val="0"/>
        <w:snapToGrid/>
        <w:spacing w:after="40"/>
        <w:ind w:left="480" w:hangingChars="200" w:hanging="480"/>
        <w:rPr>
          <w:rFonts w:hAnsi="標楷體"/>
          <w:sz w:val="24"/>
          <w:szCs w:val="24"/>
          <w:lang w:eastAsia="zh-HK"/>
        </w:rPr>
      </w:pPr>
      <w:proofErr w:type="gramStart"/>
      <w:r w:rsidRPr="00D64819">
        <w:rPr>
          <w:rFonts w:hAnsi="標楷體" w:hint="eastAsia"/>
          <w:sz w:val="24"/>
          <w:szCs w:val="24"/>
          <w:lang w:eastAsia="zh-HK"/>
        </w:rPr>
        <w:t>註</w:t>
      </w:r>
      <w:proofErr w:type="gramEnd"/>
      <w:r w:rsidRPr="00D64819">
        <w:rPr>
          <w:rFonts w:hAnsi="標楷體" w:hint="eastAsia"/>
          <w:sz w:val="24"/>
          <w:szCs w:val="24"/>
          <w:lang w:eastAsia="zh-HK"/>
        </w:rPr>
        <w:t>：查詢自司法院法學資料檢索系統，網址</w:t>
      </w:r>
      <w:r w:rsidRPr="00D64819">
        <w:rPr>
          <w:rFonts w:hAnsi="標楷體" w:hint="eastAsia"/>
          <w:sz w:val="24"/>
          <w:szCs w:val="24"/>
        </w:rPr>
        <w:t>：</w:t>
      </w:r>
      <w:hyperlink r:id="rId8" w:history="1">
        <w:r w:rsidRPr="00D64819">
          <w:rPr>
            <w:rStyle w:val="af1"/>
            <w:rFonts w:hAnsi="標楷體"/>
            <w:sz w:val="24"/>
            <w:szCs w:val="24"/>
            <w:lang w:eastAsia="zh-HK"/>
          </w:rPr>
          <w:t>https://law.judicial.gov.tw/FJUD/default.aspx</w:t>
        </w:r>
      </w:hyperlink>
      <w:r w:rsidRPr="00D64819">
        <w:rPr>
          <w:rFonts w:hAnsi="標楷體" w:hint="eastAsia"/>
          <w:sz w:val="24"/>
          <w:szCs w:val="24"/>
        </w:rPr>
        <w:t>。</w:t>
      </w:r>
    </w:p>
    <w:p w:rsidR="00EB5E57" w:rsidRPr="00D64819" w:rsidRDefault="00EB5E57" w:rsidP="00F709B1">
      <w:pPr>
        <w:pStyle w:val="afa"/>
        <w:snapToGrid/>
        <w:rPr>
          <w:rFonts w:hAnsi="標楷體" w:cs="新細明體"/>
          <w:sz w:val="24"/>
          <w:szCs w:val="24"/>
        </w:rPr>
      </w:pPr>
      <w:r w:rsidRPr="00D64819">
        <w:rPr>
          <w:rFonts w:hAnsi="標楷體" w:hint="eastAsia"/>
          <w:sz w:val="24"/>
          <w:szCs w:val="24"/>
        </w:rPr>
        <w:t>資料來源：</w:t>
      </w:r>
      <w:r w:rsidRPr="00D64819">
        <w:rPr>
          <w:rFonts w:hAnsi="標楷體" w:hint="eastAsia"/>
          <w:sz w:val="24"/>
          <w:szCs w:val="24"/>
          <w:lang w:eastAsia="zh-HK"/>
        </w:rPr>
        <w:t>本院</w:t>
      </w:r>
      <w:r w:rsidRPr="00D64819">
        <w:rPr>
          <w:rFonts w:hAnsi="標楷體" w:hint="eastAsia"/>
          <w:sz w:val="24"/>
          <w:szCs w:val="24"/>
        </w:rPr>
        <w:t>整理自司法院提供資料。</w:t>
      </w:r>
    </w:p>
    <w:p w:rsidR="00EB5E57" w:rsidRPr="00D64819" w:rsidRDefault="00EB5E57" w:rsidP="00F709B1"/>
    <w:p w:rsidR="00EB5E57" w:rsidRPr="00D64819" w:rsidRDefault="00EB5E57" w:rsidP="00F709B1">
      <w:pPr>
        <w:pStyle w:val="3"/>
        <w:rPr>
          <w:rFonts w:hAnsi="標楷體"/>
          <w:spacing w:val="-4"/>
          <w:lang w:eastAsia="zh-HK"/>
        </w:rPr>
      </w:pPr>
      <w:r w:rsidRPr="00D64819">
        <w:rPr>
          <w:rFonts w:hAnsi="標楷體" w:hint="eastAsia"/>
          <w:szCs w:val="32"/>
          <w:lang w:eastAsia="zh-HK"/>
        </w:rPr>
        <w:t>雖據</w:t>
      </w:r>
      <w:r w:rsidRPr="00D64819">
        <w:rPr>
          <w:rFonts w:hAnsi="標楷體" w:hint="eastAsia"/>
          <w:spacing w:val="-4"/>
          <w:lang w:eastAsia="zh-HK"/>
        </w:rPr>
        <w:t>司法院提供</w:t>
      </w:r>
      <w:r w:rsidRPr="00D64819">
        <w:rPr>
          <w:rFonts w:hAnsi="標楷體"/>
          <w:spacing w:val="-4"/>
          <w:lang w:eastAsia="zh-HK"/>
        </w:rPr>
        <w:t>本院詢問</w:t>
      </w:r>
      <w:r w:rsidRPr="00D64819">
        <w:rPr>
          <w:rFonts w:hAnsi="標楷體" w:hint="eastAsia"/>
          <w:spacing w:val="-4"/>
          <w:lang w:eastAsia="zh-HK"/>
        </w:rPr>
        <w:t>時之書面說明</w:t>
      </w:r>
      <w:r w:rsidRPr="00D64819">
        <w:rPr>
          <w:rFonts w:hAnsi="標楷體"/>
          <w:spacing w:val="-4"/>
          <w:lang w:eastAsia="zh-HK"/>
        </w:rPr>
        <w:t>：「</w:t>
      </w:r>
      <w:r w:rsidRPr="00D64819">
        <w:rPr>
          <w:rFonts w:hAnsi="標楷體" w:hint="eastAsia"/>
          <w:spacing w:val="-4"/>
          <w:lang w:eastAsia="zh-HK"/>
        </w:rPr>
        <w:t>經查</w:t>
      </w:r>
      <w:r w:rsidRPr="00D64819">
        <w:rPr>
          <w:rFonts w:hAnsi="標楷體" w:hint="eastAsia"/>
          <w:spacing w:val="-4"/>
        </w:rPr>
        <w:t>，</w:t>
      </w:r>
      <w:r w:rsidRPr="00D64819">
        <w:rPr>
          <w:rFonts w:hAnsi="標楷體" w:hint="eastAsia"/>
          <w:spacing w:val="-4"/>
          <w:lang w:eastAsia="zh-HK"/>
        </w:rPr>
        <w:t>上開17件案件，各補償</w:t>
      </w:r>
      <w:proofErr w:type="gramStart"/>
      <w:r w:rsidRPr="00D64819">
        <w:rPr>
          <w:rFonts w:hAnsi="標楷體" w:hint="eastAsia"/>
          <w:spacing w:val="-4"/>
          <w:lang w:eastAsia="zh-HK"/>
        </w:rPr>
        <w:t>法院均已函</w:t>
      </w:r>
      <w:proofErr w:type="gramEnd"/>
      <w:r w:rsidRPr="00D64819">
        <w:rPr>
          <w:rFonts w:hAnsi="標楷體" w:hint="eastAsia"/>
          <w:spacing w:val="-4"/>
          <w:lang w:eastAsia="zh-HK"/>
        </w:rPr>
        <w:t>送臺灣高等法院及福建高等法院金門分院審核。其中有6件（同表</w:t>
      </w:r>
      <w:r w:rsidRPr="00D64819">
        <w:rPr>
          <w:rFonts w:hAnsi="標楷體" w:hint="eastAsia"/>
          <w:spacing w:val="-4"/>
        </w:rPr>
        <w:t>1，</w:t>
      </w:r>
      <w:r w:rsidRPr="00D64819">
        <w:rPr>
          <w:rFonts w:hAnsi="標楷體" w:hint="eastAsia"/>
          <w:spacing w:val="-4"/>
          <w:lang w:eastAsia="zh-HK"/>
        </w:rPr>
        <w:t>編號1、5、8、9、12、16）尚在臺灣高等法院審核中；餘11件，臺灣高等法院及</w:t>
      </w:r>
      <w:proofErr w:type="gramStart"/>
      <w:r w:rsidRPr="00D64819">
        <w:rPr>
          <w:rFonts w:hAnsi="標楷體" w:hint="eastAsia"/>
          <w:spacing w:val="-4"/>
          <w:lang w:eastAsia="zh-HK"/>
        </w:rPr>
        <w:t>福建高等法院金門分院均已函</w:t>
      </w:r>
      <w:proofErr w:type="gramEnd"/>
      <w:r w:rsidRPr="00D64819">
        <w:rPr>
          <w:rFonts w:hAnsi="標楷體" w:hint="eastAsia"/>
          <w:spacing w:val="-4"/>
          <w:lang w:eastAsia="zh-HK"/>
        </w:rPr>
        <w:t>送本院核備。</w:t>
      </w:r>
      <w:r w:rsidRPr="00D64819">
        <w:rPr>
          <w:rFonts w:hAnsi="標楷體"/>
          <w:spacing w:val="-4"/>
          <w:lang w:eastAsia="zh-HK"/>
        </w:rPr>
        <w:t>」</w:t>
      </w:r>
      <w:r w:rsidRPr="00D64819">
        <w:rPr>
          <w:rFonts w:hAnsi="標楷體" w:hint="eastAsia"/>
          <w:spacing w:val="-4"/>
          <w:lang w:eastAsia="zh-HK"/>
        </w:rPr>
        <w:t>然以求償權時效期間觀之</w:t>
      </w:r>
      <w:r w:rsidRPr="00D64819">
        <w:rPr>
          <w:rFonts w:hAnsi="標楷體" w:hint="eastAsia"/>
          <w:spacing w:val="-4"/>
        </w:rPr>
        <w:t>，</w:t>
      </w:r>
      <w:r w:rsidRPr="00D64819">
        <w:rPr>
          <w:rFonts w:hAnsi="標楷體" w:hint="eastAsia"/>
          <w:spacing w:val="-4"/>
          <w:lang w:eastAsia="zh-HK"/>
        </w:rPr>
        <w:t>倘如以判決確定日期（實務上，略早於支付補償金日之情況居</w:t>
      </w:r>
      <w:r w:rsidRPr="00D64819">
        <w:rPr>
          <w:rFonts w:hAnsi="標楷體" w:hint="eastAsia"/>
          <w:spacing w:val="-4"/>
          <w:lang w:eastAsia="zh-HK"/>
        </w:rPr>
        <w:lastRenderedPageBreak/>
        <w:t>多）推算</w:t>
      </w:r>
      <w:r w:rsidRPr="00D64819">
        <w:rPr>
          <w:rFonts w:hAnsi="標楷體" w:hint="eastAsia"/>
          <w:spacing w:val="-4"/>
        </w:rPr>
        <w:t>，</w:t>
      </w:r>
      <w:r w:rsidRPr="00D64819">
        <w:rPr>
          <w:rFonts w:hAnsi="標楷體" w:hint="eastAsia"/>
          <w:spacing w:val="-4"/>
          <w:lang w:eastAsia="zh-HK"/>
        </w:rPr>
        <w:t>其中有</w:t>
      </w:r>
      <w:r w:rsidRPr="00D64819">
        <w:rPr>
          <w:rFonts w:hAnsi="標楷體" w:hint="eastAsia"/>
          <w:spacing w:val="-4"/>
        </w:rPr>
        <w:t>13</w:t>
      </w:r>
      <w:r w:rsidRPr="00D64819">
        <w:rPr>
          <w:rFonts w:hAnsi="標楷體" w:hint="eastAsia"/>
          <w:spacing w:val="-4"/>
          <w:lang w:eastAsia="zh-HK"/>
        </w:rPr>
        <w:t>件</w:t>
      </w:r>
      <w:r w:rsidRPr="00D64819">
        <w:rPr>
          <w:rFonts w:hAnsi="標楷體" w:hint="eastAsia"/>
          <w:spacing w:val="-4"/>
        </w:rPr>
        <w:t>（</w:t>
      </w:r>
      <w:r w:rsidRPr="00D64819">
        <w:rPr>
          <w:rFonts w:hAnsi="標楷體" w:hint="eastAsia"/>
          <w:spacing w:val="-4"/>
          <w:lang w:eastAsia="zh-HK"/>
        </w:rPr>
        <w:t>同表</w:t>
      </w:r>
      <w:r w:rsidRPr="00D64819">
        <w:rPr>
          <w:rFonts w:hAnsi="標楷體" w:hint="eastAsia"/>
          <w:spacing w:val="-4"/>
        </w:rPr>
        <w:t>1，</w:t>
      </w:r>
      <w:r w:rsidRPr="00D64819">
        <w:rPr>
          <w:rFonts w:hAnsi="標楷體" w:hint="eastAsia"/>
          <w:spacing w:val="-4"/>
          <w:lang w:eastAsia="zh-HK"/>
        </w:rPr>
        <w:t>編號</w:t>
      </w:r>
      <w:r w:rsidRPr="00D64819">
        <w:rPr>
          <w:rFonts w:hAnsi="標楷體" w:hint="eastAsia"/>
          <w:spacing w:val="-4"/>
        </w:rPr>
        <w:t>1、2、3、4、5、7、8、9、10、11、12、16、17</w:t>
      </w:r>
      <w:r w:rsidRPr="00D64819">
        <w:rPr>
          <w:rFonts w:hAnsi="標楷體" w:hint="eastAsia"/>
          <w:spacing w:val="-4"/>
          <w:lang w:eastAsia="zh-HK"/>
        </w:rPr>
        <w:t>）之判決日期為</w:t>
      </w:r>
      <w:r w:rsidRPr="00D64819">
        <w:rPr>
          <w:rFonts w:hAnsi="標楷體" w:hint="eastAsia"/>
          <w:spacing w:val="-4"/>
        </w:rPr>
        <w:t>101</w:t>
      </w:r>
      <w:r w:rsidRPr="00D64819">
        <w:rPr>
          <w:rFonts w:hAnsi="標楷體" w:hint="eastAsia"/>
          <w:spacing w:val="-4"/>
          <w:lang w:eastAsia="zh-HK"/>
        </w:rPr>
        <w:t>年</w:t>
      </w:r>
      <w:r w:rsidRPr="00D64819">
        <w:rPr>
          <w:rFonts w:hAnsi="標楷體" w:hint="eastAsia"/>
          <w:spacing w:val="-4"/>
        </w:rPr>
        <w:t>3</w:t>
      </w:r>
      <w:r w:rsidRPr="00D64819">
        <w:rPr>
          <w:rFonts w:hAnsi="標楷體" w:hint="eastAsia"/>
          <w:spacing w:val="-4"/>
          <w:lang w:eastAsia="zh-HK"/>
        </w:rPr>
        <w:t>月</w:t>
      </w:r>
      <w:r w:rsidRPr="00D64819">
        <w:rPr>
          <w:rFonts w:hAnsi="標楷體" w:hint="eastAsia"/>
          <w:spacing w:val="-4"/>
        </w:rPr>
        <w:t>26</w:t>
      </w:r>
      <w:r w:rsidRPr="00D64819">
        <w:rPr>
          <w:rFonts w:hAnsi="標楷體" w:hint="eastAsia"/>
          <w:spacing w:val="-4"/>
          <w:lang w:eastAsia="zh-HK"/>
        </w:rPr>
        <w:t>日至107年5月14日間，如應予求償，</w:t>
      </w:r>
      <w:proofErr w:type="gramStart"/>
      <w:r w:rsidRPr="00D64819">
        <w:rPr>
          <w:rFonts w:hAnsi="標楷體" w:hint="eastAsia"/>
          <w:spacing w:val="-4"/>
          <w:lang w:eastAsia="zh-HK"/>
        </w:rPr>
        <w:t>均因補償</w:t>
      </w:r>
      <w:proofErr w:type="gramEnd"/>
      <w:r w:rsidRPr="00D64819">
        <w:rPr>
          <w:rFonts w:hAnsi="標楷體" w:hint="eastAsia"/>
          <w:spacing w:val="-4"/>
          <w:lang w:eastAsia="zh-HK"/>
        </w:rPr>
        <w:t>法院貽誤將卷證送交臺灣高等法院、福建高等法院金門分院審核，</w:t>
      </w:r>
      <w:proofErr w:type="gramStart"/>
      <w:r w:rsidRPr="00D64819">
        <w:rPr>
          <w:rFonts w:hAnsi="標楷體" w:hint="eastAsia"/>
          <w:spacing w:val="-4"/>
          <w:lang w:eastAsia="zh-HK"/>
        </w:rPr>
        <w:t>肇致求償</w:t>
      </w:r>
      <w:proofErr w:type="gramEnd"/>
      <w:r w:rsidRPr="00D64819">
        <w:rPr>
          <w:rFonts w:hAnsi="標楷體" w:hint="eastAsia"/>
          <w:spacing w:val="-4"/>
          <w:lang w:eastAsia="zh-HK"/>
        </w:rPr>
        <w:t>權時效早已消滅，損及國家求償權益之虞，有檢討改進之必要。</w:t>
      </w:r>
    </w:p>
    <w:p w:rsidR="00EB5E57" w:rsidRPr="00D64819" w:rsidRDefault="00EB5E57" w:rsidP="00F709B1">
      <w:pPr>
        <w:pStyle w:val="3"/>
        <w:rPr>
          <w:rFonts w:hAnsi="標楷體"/>
        </w:rPr>
      </w:pPr>
      <w:r w:rsidRPr="00D64819">
        <w:rPr>
          <w:rFonts w:hAnsi="標楷體" w:hint="eastAsia"/>
          <w:spacing w:val="-4"/>
          <w:lang w:eastAsia="zh-HK"/>
        </w:rPr>
        <w:t>另查</w:t>
      </w:r>
      <w:r w:rsidRPr="00D64819">
        <w:rPr>
          <w:rFonts w:hAnsi="標楷體" w:hint="eastAsia"/>
          <w:spacing w:val="-4"/>
        </w:rPr>
        <w:t>，</w:t>
      </w:r>
      <w:r w:rsidRPr="00D64819">
        <w:rPr>
          <w:rFonts w:hAnsi="標楷體" w:hint="eastAsia"/>
          <w:spacing w:val="-4"/>
          <w:lang w:eastAsia="zh-HK"/>
        </w:rPr>
        <w:t>對</w:t>
      </w:r>
      <w:r w:rsidRPr="00D64819">
        <w:rPr>
          <w:rFonts w:hAnsi="標楷體" w:hint="eastAsia"/>
          <w:szCs w:val="32"/>
          <w:lang w:eastAsia="zh-HK"/>
        </w:rPr>
        <w:t>造成刑事</w:t>
      </w:r>
      <w:r w:rsidRPr="00D64819">
        <w:rPr>
          <w:rFonts w:hAnsi="標楷體" w:hint="eastAsia"/>
          <w:spacing w:val="-4"/>
          <w:lang w:eastAsia="zh-HK"/>
        </w:rPr>
        <w:t>補償</w:t>
      </w:r>
      <w:r w:rsidRPr="00D64819">
        <w:rPr>
          <w:rFonts w:hAnsi="標楷體" w:hint="eastAsia"/>
          <w:szCs w:val="32"/>
          <w:lang w:eastAsia="zh-HK"/>
        </w:rPr>
        <w:t>事件之</w:t>
      </w:r>
      <w:r w:rsidRPr="00D64819">
        <w:rPr>
          <w:rFonts w:hAnsi="標楷體" w:hint="eastAsia"/>
          <w:spacing w:val="-4"/>
          <w:lang w:eastAsia="zh-HK"/>
        </w:rPr>
        <w:t>司</w:t>
      </w:r>
      <w:r w:rsidRPr="00D64819">
        <w:rPr>
          <w:rFonts w:hAnsi="標楷體" w:hint="eastAsia"/>
          <w:szCs w:val="32"/>
        </w:rPr>
        <w:t>法官以外人員</w:t>
      </w:r>
      <w:r w:rsidRPr="00D64819">
        <w:rPr>
          <w:rFonts w:hAnsi="標楷體" w:hint="eastAsia"/>
          <w:szCs w:val="32"/>
          <w:lang w:eastAsia="zh-HK"/>
        </w:rPr>
        <w:t>行使懲處權部分</w:t>
      </w:r>
      <w:r w:rsidRPr="00D64819">
        <w:rPr>
          <w:rStyle w:val="aff4"/>
          <w:rFonts w:hAnsi="標楷體"/>
          <w:szCs w:val="32"/>
        </w:rPr>
        <w:footnoteReference w:id="3"/>
      </w:r>
      <w:r w:rsidRPr="00D64819">
        <w:rPr>
          <w:rFonts w:hAnsi="標楷體" w:hint="eastAsia"/>
          <w:spacing w:val="-4"/>
        </w:rPr>
        <w:t>，</w:t>
      </w:r>
      <w:r w:rsidRPr="00D64819">
        <w:rPr>
          <w:rFonts w:hAnsi="標楷體" w:hint="eastAsia"/>
          <w:spacing w:val="-4"/>
          <w:lang w:eastAsia="zh-HK"/>
        </w:rPr>
        <w:t>按</w:t>
      </w:r>
      <w:r w:rsidRPr="00D64819">
        <w:rPr>
          <w:rFonts w:hAnsi="標楷體"/>
          <w:szCs w:val="32"/>
        </w:rPr>
        <w:t>第一二審法院所屬人員違失造成刑事補償懲處</w:t>
      </w:r>
      <w:r w:rsidRPr="00D64819">
        <w:rPr>
          <w:rFonts w:hAnsi="標楷體"/>
          <w:spacing w:val="-4"/>
        </w:rPr>
        <w:t>要點第</w:t>
      </w:r>
      <w:r w:rsidRPr="00D64819">
        <w:rPr>
          <w:rFonts w:hAnsi="標楷體" w:hint="eastAsia"/>
          <w:spacing w:val="-4"/>
        </w:rPr>
        <w:t>5</w:t>
      </w:r>
      <w:r w:rsidRPr="00D64819">
        <w:rPr>
          <w:rFonts w:hAnsi="標楷體"/>
          <w:spacing w:val="-4"/>
        </w:rPr>
        <w:t>點規定：「</w:t>
      </w:r>
      <w:r w:rsidRPr="00D64819">
        <w:rPr>
          <w:rFonts w:hAnsi="標楷體" w:hint="eastAsia"/>
          <w:spacing w:val="-4"/>
        </w:rPr>
        <w:t>司法院依臺灣高等法院、福建高等法院金門分院函報內容，認非法院所屬人員涉有</w:t>
      </w:r>
      <w:proofErr w:type="gramStart"/>
      <w:r w:rsidRPr="00D64819">
        <w:rPr>
          <w:rFonts w:hAnsi="標楷體" w:hint="eastAsia"/>
          <w:spacing w:val="-4"/>
        </w:rPr>
        <w:t>違失者</w:t>
      </w:r>
      <w:proofErr w:type="gramEnd"/>
      <w:r w:rsidRPr="00D64819">
        <w:rPr>
          <w:rFonts w:hAnsi="標楷體" w:hint="eastAsia"/>
          <w:spacing w:val="-4"/>
        </w:rPr>
        <w:t>，應檢具事證函送其所屬機關，按疏失情節</w:t>
      </w:r>
      <w:r w:rsidRPr="00D64819">
        <w:rPr>
          <w:rFonts w:hAnsi="標楷體" w:hint="eastAsia"/>
          <w:szCs w:val="32"/>
          <w:lang w:eastAsia="zh-HK"/>
        </w:rPr>
        <w:t>處理</w:t>
      </w:r>
      <w:r w:rsidRPr="00D64819">
        <w:rPr>
          <w:rFonts w:hAnsi="標楷體" w:hint="eastAsia"/>
          <w:spacing w:val="-4"/>
        </w:rPr>
        <w:t>。</w:t>
      </w:r>
      <w:r w:rsidRPr="00D64819">
        <w:rPr>
          <w:rFonts w:hAnsi="標楷體"/>
          <w:spacing w:val="-4"/>
        </w:rPr>
        <w:t>」</w:t>
      </w:r>
      <w:r w:rsidRPr="00D64819">
        <w:rPr>
          <w:rFonts w:hAnsi="標楷體" w:hint="eastAsia"/>
          <w:spacing w:val="-4"/>
          <w:lang w:eastAsia="zh-HK"/>
        </w:rPr>
        <w:t>惟</w:t>
      </w:r>
      <w:r w:rsidRPr="00D64819">
        <w:rPr>
          <w:rFonts w:hAnsi="標楷體" w:hint="eastAsia"/>
          <w:spacing w:val="-4"/>
        </w:rPr>
        <w:t>其懲處權行使</w:t>
      </w:r>
      <w:proofErr w:type="gramStart"/>
      <w:r w:rsidRPr="00D64819">
        <w:rPr>
          <w:rFonts w:hAnsi="標楷體" w:hint="eastAsia"/>
          <w:spacing w:val="-4"/>
        </w:rPr>
        <w:t>期間，</w:t>
      </w:r>
      <w:proofErr w:type="gramEnd"/>
      <w:r w:rsidRPr="00D64819">
        <w:rPr>
          <w:rFonts w:hAnsi="標楷體" w:hint="eastAsia"/>
          <w:spacing w:val="-4"/>
        </w:rPr>
        <w:t>依</w:t>
      </w:r>
      <w:r w:rsidRPr="00D64819">
        <w:rPr>
          <w:rFonts w:hAnsi="標楷體" w:hint="eastAsia"/>
        </w:rPr>
        <w:t>銓敘部</w:t>
      </w:r>
      <w:proofErr w:type="gramStart"/>
      <w:r w:rsidRPr="00D64819">
        <w:rPr>
          <w:rFonts w:hAnsi="標楷體" w:hint="eastAsia"/>
        </w:rPr>
        <w:t>109年6月18日部法</w:t>
      </w:r>
      <w:proofErr w:type="gramEnd"/>
      <w:r w:rsidRPr="00D64819">
        <w:rPr>
          <w:rFonts w:hAnsi="標楷體" w:hint="eastAsia"/>
        </w:rPr>
        <w:t>二字第1094946775號令</w:t>
      </w:r>
      <w:r w:rsidRPr="00D64819">
        <w:rPr>
          <w:rFonts w:hAnsi="標楷體" w:hint="eastAsia"/>
          <w:lang w:eastAsia="zh-HK"/>
        </w:rPr>
        <w:t>釋略</w:t>
      </w:r>
      <w:proofErr w:type="gramStart"/>
      <w:r w:rsidRPr="00D64819">
        <w:rPr>
          <w:rFonts w:hAnsi="標楷體" w:hint="eastAsia"/>
          <w:lang w:eastAsia="zh-HK"/>
        </w:rPr>
        <w:t>以</w:t>
      </w:r>
      <w:proofErr w:type="gramEnd"/>
      <w:r w:rsidRPr="00D64819">
        <w:rPr>
          <w:rFonts w:hAnsi="標楷體" w:hint="eastAsia"/>
        </w:rPr>
        <w:t>：「一、</w:t>
      </w:r>
      <w:r w:rsidRPr="00D64819">
        <w:rPr>
          <w:rFonts w:hAnsi="標楷體" w:hint="eastAsia"/>
          <w:spacing w:val="-4"/>
        </w:rPr>
        <w:t>為符合司法院釋字第583號解釋有關公務人員懲處權之行使</w:t>
      </w:r>
      <w:proofErr w:type="gramStart"/>
      <w:r w:rsidRPr="00D64819">
        <w:rPr>
          <w:rFonts w:hAnsi="標楷體" w:hint="eastAsia"/>
          <w:spacing w:val="-4"/>
        </w:rPr>
        <w:t>期間，</w:t>
      </w:r>
      <w:proofErr w:type="gramEnd"/>
      <w:r w:rsidRPr="00D64819">
        <w:rPr>
          <w:rFonts w:hAnsi="標楷體" w:hint="eastAsia"/>
          <w:spacing w:val="-4"/>
        </w:rPr>
        <w:t>應類推適用公務員懲戒法相關規定，以及不同懲處種類之懲處權行使期間應有合理區分之意旨，各機關依公務人員考績法（下稱考績法）第12條第1項第2款規定，對公務人員所為之</w:t>
      </w:r>
      <w:proofErr w:type="gramStart"/>
      <w:r w:rsidRPr="00D64819">
        <w:rPr>
          <w:rFonts w:hAnsi="標楷體" w:hint="eastAsia"/>
          <w:spacing w:val="-4"/>
        </w:rPr>
        <w:t>1次記</w:t>
      </w:r>
      <w:proofErr w:type="gramEnd"/>
      <w:r w:rsidRPr="00D64819">
        <w:rPr>
          <w:rFonts w:hAnsi="標楷體" w:hint="eastAsia"/>
          <w:spacing w:val="-4"/>
        </w:rPr>
        <w:t>2大過處分，無懲處權行使期間限制。</w:t>
      </w:r>
      <w:r w:rsidRPr="00D64819">
        <w:rPr>
          <w:rFonts w:hAnsi="標楷體" w:hint="eastAsia"/>
        </w:rPr>
        <w:t>各機關依考績法第12條第1項第1款規定對公務人員所為之記1大過、記過或申誡處分，自違失行為終了之日起，已逾5年者，即不予追究。上開行為終了之日，指公務人員應受懲處行為終結之日;但應受懲處行為係不作為者，指有權辦理公務人員懲處之機關知悉之日。二、有關平時考核懲處案件，其違失行為發生在</w:t>
      </w:r>
      <w:proofErr w:type="gramStart"/>
      <w:r w:rsidRPr="00D64819">
        <w:rPr>
          <w:rFonts w:hAnsi="標楷體" w:hint="eastAsia"/>
        </w:rPr>
        <w:t>新令釋</w:t>
      </w:r>
      <w:proofErr w:type="gramEnd"/>
      <w:r w:rsidRPr="00D64819">
        <w:rPr>
          <w:rFonts w:hAnsi="標楷體" w:hint="eastAsia"/>
        </w:rPr>
        <w:t>發布前，懲處權行使期間以最有利於受考人之規定為</w:t>
      </w:r>
      <w:proofErr w:type="gramStart"/>
      <w:r w:rsidRPr="00D64819">
        <w:rPr>
          <w:rFonts w:hAnsi="標楷體" w:hint="eastAsia"/>
        </w:rPr>
        <w:t>準</w:t>
      </w:r>
      <w:proofErr w:type="gramEnd"/>
      <w:r w:rsidRPr="00D64819">
        <w:rPr>
          <w:rFonts w:hAnsi="標楷體"/>
        </w:rPr>
        <w:t>…</w:t>
      </w:r>
      <w:proofErr w:type="gramStart"/>
      <w:r w:rsidRPr="00D64819">
        <w:rPr>
          <w:rFonts w:hAnsi="標楷體"/>
        </w:rPr>
        <w:t>…</w:t>
      </w:r>
      <w:proofErr w:type="gramEnd"/>
      <w:r w:rsidRPr="00D64819">
        <w:rPr>
          <w:rFonts w:hAnsi="標楷體" w:hint="eastAsia"/>
        </w:rPr>
        <w:t>。」</w:t>
      </w:r>
      <w:r w:rsidRPr="00D64819">
        <w:rPr>
          <w:rFonts w:hAnsi="標楷體" w:hint="eastAsia"/>
          <w:lang w:eastAsia="zh-HK"/>
        </w:rPr>
        <w:t>又依</w:t>
      </w:r>
      <w:r w:rsidRPr="00D64819">
        <w:rPr>
          <w:rFonts w:hAnsi="標楷體" w:hint="eastAsia"/>
          <w:spacing w:val="-4"/>
          <w:lang w:eastAsia="zh-HK"/>
        </w:rPr>
        <w:t>該</w:t>
      </w:r>
      <w:r w:rsidRPr="00D64819">
        <w:rPr>
          <w:rFonts w:hAnsi="標楷體" w:hint="eastAsia"/>
          <w:spacing w:val="-4"/>
        </w:rPr>
        <w:t>部</w:t>
      </w:r>
      <w:proofErr w:type="gramStart"/>
      <w:r w:rsidRPr="00D64819">
        <w:rPr>
          <w:rFonts w:hAnsi="標楷體" w:hint="eastAsia"/>
          <w:spacing w:val="-4"/>
        </w:rPr>
        <w:t>106年3月27日</w:t>
      </w:r>
      <w:r w:rsidRPr="00D64819">
        <w:rPr>
          <w:rFonts w:hAnsi="標楷體" w:hint="eastAsia"/>
          <w:spacing w:val="-4"/>
          <w:lang w:eastAsia="zh-HK"/>
        </w:rPr>
        <w:t>同</w:t>
      </w:r>
      <w:r w:rsidRPr="00D64819">
        <w:rPr>
          <w:rFonts w:hAnsi="標楷體" w:hint="eastAsia"/>
          <w:spacing w:val="-4"/>
        </w:rPr>
        <w:t>字第1064209183</w:t>
      </w:r>
      <w:proofErr w:type="gramEnd"/>
      <w:r w:rsidRPr="00D64819">
        <w:rPr>
          <w:rFonts w:hAnsi="標楷體" w:hint="eastAsia"/>
          <w:spacing w:val="-4"/>
        </w:rPr>
        <w:t>號令</w:t>
      </w:r>
      <w:r w:rsidRPr="00D64819">
        <w:rPr>
          <w:rFonts w:hAnsi="標楷體" w:hint="eastAsia"/>
          <w:spacing w:val="-4"/>
          <w:lang w:eastAsia="zh-HK"/>
        </w:rPr>
        <w:t>釋</w:t>
      </w:r>
      <w:r w:rsidRPr="00D64819">
        <w:rPr>
          <w:rFonts w:hAnsi="標楷體" w:hint="eastAsia"/>
          <w:spacing w:val="-4"/>
        </w:rPr>
        <w:t>略</w:t>
      </w:r>
      <w:proofErr w:type="gramStart"/>
      <w:r w:rsidRPr="00D64819">
        <w:rPr>
          <w:rFonts w:hAnsi="標楷體" w:hint="eastAsia"/>
          <w:spacing w:val="-4"/>
        </w:rPr>
        <w:t>以</w:t>
      </w:r>
      <w:proofErr w:type="gramEnd"/>
      <w:r w:rsidRPr="00D64819">
        <w:rPr>
          <w:rFonts w:hAnsi="標楷體" w:hint="eastAsia"/>
          <w:spacing w:val="-4"/>
        </w:rPr>
        <w:t>：「</w:t>
      </w:r>
      <w:r w:rsidRPr="00D64819">
        <w:rPr>
          <w:rFonts w:hAnsi="標楷體"/>
        </w:rPr>
        <w:t>…</w:t>
      </w:r>
      <w:proofErr w:type="gramStart"/>
      <w:r w:rsidRPr="00D64819">
        <w:rPr>
          <w:rFonts w:hAnsi="標楷體"/>
        </w:rPr>
        <w:t>…</w:t>
      </w:r>
      <w:proofErr w:type="gramEnd"/>
      <w:r w:rsidRPr="00D64819">
        <w:rPr>
          <w:rFonts w:hAnsi="標楷體" w:hint="eastAsia"/>
          <w:spacing w:val="-4"/>
        </w:rPr>
        <w:t>屬記過或申誡之行</w:t>
      </w:r>
      <w:r w:rsidRPr="00D64819">
        <w:rPr>
          <w:rFonts w:hAnsi="標楷體" w:hint="eastAsia"/>
          <w:spacing w:val="-4"/>
        </w:rPr>
        <w:lastRenderedPageBreak/>
        <w:t>為，已逾3年者，即不予追究。」</w:t>
      </w:r>
      <w:proofErr w:type="gramStart"/>
      <w:r w:rsidRPr="00D64819">
        <w:rPr>
          <w:rFonts w:hAnsi="標楷體" w:hint="eastAsia"/>
          <w:spacing w:val="-4"/>
          <w:lang w:eastAsia="zh-HK"/>
        </w:rPr>
        <w:t>準</w:t>
      </w:r>
      <w:proofErr w:type="gramEnd"/>
      <w:r w:rsidRPr="00D64819">
        <w:rPr>
          <w:rFonts w:hAnsi="標楷體" w:hint="eastAsia"/>
          <w:spacing w:val="-4"/>
          <w:lang w:eastAsia="zh-HK"/>
        </w:rPr>
        <w:t>此，將上開</w:t>
      </w:r>
      <w:r w:rsidRPr="00D64819">
        <w:rPr>
          <w:rFonts w:hAnsi="標楷體" w:hint="eastAsia"/>
        </w:rPr>
        <w:t>銓敘</w:t>
      </w:r>
      <w:proofErr w:type="gramStart"/>
      <w:r w:rsidRPr="00D64819">
        <w:rPr>
          <w:rFonts w:hAnsi="標楷體" w:hint="eastAsia"/>
        </w:rPr>
        <w:t>部</w:t>
      </w:r>
      <w:r w:rsidRPr="00D64819">
        <w:rPr>
          <w:rFonts w:hAnsi="標楷體" w:hint="eastAsia"/>
          <w:spacing w:val="-4"/>
          <w:lang w:eastAsia="zh-HK"/>
        </w:rPr>
        <w:t>新</w:t>
      </w:r>
      <w:r w:rsidRPr="00D64819">
        <w:rPr>
          <w:rFonts w:hAnsi="標楷體"/>
        </w:rPr>
        <w:t>舊令</w:t>
      </w:r>
      <w:r w:rsidRPr="00D64819">
        <w:rPr>
          <w:rFonts w:hAnsi="標楷體" w:hint="eastAsia"/>
        </w:rPr>
        <w:t>釋兩</w:t>
      </w:r>
      <w:proofErr w:type="gramEnd"/>
      <w:r w:rsidRPr="00D64819">
        <w:rPr>
          <w:rFonts w:hAnsi="標楷體" w:hint="eastAsia"/>
        </w:rPr>
        <w:t>相比較，對公務人員所為之記過或申誡處分，</w:t>
      </w:r>
      <w:r w:rsidRPr="00D64819">
        <w:rPr>
          <w:rFonts w:hAnsi="標楷體"/>
        </w:rPr>
        <w:t>舊</w:t>
      </w:r>
      <w:r w:rsidRPr="00D64819">
        <w:rPr>
          <w:rFonts w:hAnsi="標楷體" w:hint="eastAsia"/>
        </w:rPr>
        <w:t>（106年3月27日）</w:t>
      </w:r>
      <w:proofErr w:type="gramStart"/>
      <w:r w:rsidRPr="00D64819">
        <w:rPr>
          <w:rFonts w:hAnsi="標楷體"/>
        </w:rPr>
        <w:t>令</w:t>
      </w:r>
      <w:r w:rsidRPr="00D64819">
        <w:rPr>
          <w:rFonts w:hAnsi="標楷體" w:hint="eastAsia"/>
        </w:rPr>
        <w:t>釋核屬</w:t>
      </w:r>
      <w:proofErr w:type="gramEnd"/>
      <w:r w:rsidRPr="00D64819">
        <w:rPr>
          <w:rFonts w:hAnsi="標楷體" w:hint="eastAsia"/>
        </w:rPr>
        <w:t>有利於受考人之規定，</w:t>
      </w:r>
      <w:r w:rsidRPr="00D64819">
        <w:rPr>
          <w:rFonts w:hAnsi="標楷體" w:hint="eastAsia"/>
          <w:lang w:eastAsia="zh-HK"/>
        </w:rPr>
        <w:t>故</w:t>
      </w:r>
      <w:r w:rsidRPr="00D64819">
        <w:rPr>
          <w:rFonts w:hAnsi="標楷體" w:hint="eastAsia"/>
        </w:rPr>
        <w:t>自違失行為終了之日起，已逾3年者，不予追究。</w:t>
      </w:r>
      <w:r w:rsidRPr="00D64819">
        <w:rPr>
          <w:rFonts w:hAnsi="標楷體" w:hint="eastAsia"/>
          <w:spacing w:val="-4"/>
          <w:lang w:eastAsia="zh-HK"/>
        </w:rPr>
        <w:t>鑒於</w:t>
      </w:r>
      <w:r w:rsidRPr="00D64819">
        <w:rPr>
          <w:rFonts w:hAnsi="標楷體" w:hint="eastAsia"/>
          <w:spacing w:val="-4"/>
        </w:rPr>
        <w:t>公務人員應受懲處行為終結之</w:t>
      </w:r>
      <w:proofErr w:type="gramStart"/>
      <w:r w:rsidRPr="00D64819">
        <w:rPr>
          <w:rFonts w:hAnsi="標楷體" w:hint="eastAsia"/>
          <w:spacing w:val="-4"/>
        </w:rPr>
        <w:t>日必早</w:t>
      </w:r>
      <w:proofErr w:type="gramEnd"/>
      <w:r w:rsidRPr="00D64819">
        <w:rPr>
          <w:rFonts w:hAnsi="標楷體" w:hint="eastAsia"/>
          <w:spacing w:val="-4"/>
        </w:rPr>
        <w:t>於補償法院判決確定之日，</w:t>
      </w:r>
      <w:r w:rsidRPr="00D64819">
        <w:rPr>
          <w:rFonts w:hAnsi="標楷體" w:hint="eastAsia"/>
          <w:spacing w:val="-4"/>
          <w:lang w:eastAsia="zh-HK"/>
        </w:rPr>
        <w:t>是</w:t>
      </w:r>
      <w:proofErr w:type="gramStart"/>
      <w:r w:rsidRPr="00D64819">
        <w:rPr>
          <w:rFonts w:hAnsi="標楷體" w:hint="eastAsia"/>
          <w:spacing w:val="-4"/>
          <w:lang w:eastAsia="zh-HK"/>
        </w:rPr>
        <w:t>以</w:t>
      </w:r>
      <w:r w:rsidRPr="00D64819">
        <w:rPr>
          <w:rFonts w:hAnsi="標楷體" w:hint="eastAsia"/>
          <w:spacing w:val="-4"/>
        </w:rPr>
        <w:t>前</w:t>
      </w:r>
      <w:r w:rsidRPr="00D64819">
        <w:rPr>
          <w:rFonts w:hAnsi="標楷體" w:hint="eastAsia"/>
          <w:spacing w:val="-4"/>
          <w:lang w:eastAsia="zh-HK"/>
        </w:rPr>
        <w:t>揭</w:t>
      </w:r>
      <w:r w:rsidRPr="00D64819">
        <w:rPr>
          <w:rFonts w:hAnsi="標楷體" w:hint="eastAsia"/>
          <w:spacing w:val="-4"/>
        </w:rPr>
        <w:t>表</w:t>
      </w:r>
      <w:proofErr w:type="gramEnd"/>
      <w:r w:rsidRPr="00D64819">
        <w:rPr>
          <w:rFonts w:hAnsi="標楷體" w:hint="eastAsia"/>
          <w:spacing w:val="-4"/>
        </w:rPr>
        <w:t>1所列17</w:t>
      </w:r>
      <w:r w:rsidRPr="00D64819">
        <w:rPr>
          <w:rFonts w:hAnsi="標楷體" w:hint="eastAsia"/>
          <w:spacing w:val="-4"/>
          <w:lang w:eastAsia="zh-HK"/>
        </w:rPr>
        <w:t>件</w:t>
      </w:r>
      <w:r w:rsidRPr="00D64819">
        <w:rPr>
          <w:rFonts w:hAnsi="標楷體" w:hint="eastAsia"/>
          <w:lang w:eastAsia="zh-HK"/>
        </w:rPr>
        <w:t>准許刑事補償事件</w:t>
      </w:r>
      <w:r w:rsidRPr="00D64819">
        <w:rPr>
          <w:rFonts w:hAnsi="標楷體" w:hint="eastAsia"/>
          <w:spacing w:val="-4"/>
        </w:rPr>
        <w:t>，</w:t>
      </w:r>
      <w:r w:rsidRPr="00D64819">
        <w:rPr>
          <w:rFonts w:hAnsi="標楷體" w:hint="eastAsia"/>
          <w:spacing w:val="-4"/>
          <w:lang w:eastAsia="zh-HK"/>
        </w:rPr>
        <w:t>倘</w:t>
      </w:r>
      <w:r w:rsidRPr="00D64819">
        <w:rPr>
          <w:rFonts w:hAnsi="標楷體" w:hint="eastAsia"/>
          <w:spacing w:val="-4"/>
        </w:rPr>
        <w:t>如有</w:t>
      </w:r>
      <w:r w:rsidRPr="00D64819">
        <w:rPr>
          <w:rFonts w:hAnsi="標楷體" w:hint="eastAsia"/>
          <w:spacing w:val="-4"/>
          <w:lang w:eastAsia="zh-HK"/>
        </w:rPr>
        <w:t>司</w:t>
      </w:r>
      <w:r w:rsidRPr="00D64819">
        <w:rPr>
          <w:rFonts w:hAnsi="標楷體" w:hint="eastAsia"/>
          <w:szCs w:val="32"/>
        </w:rPr>
        <w:t>法官以外人員</w:t>
      </w:r>
      <w:r w:rsidRPr="00D64819">
        <w:rPr>
          <w:rFonts w:hAnsi="標楷體" w:hint="eastAsia"/>
          <w:spacing w:val="-4"/>
        </w:rPr>
        <w:t>應受懲處者，</w:t>
      </w:r>
      <w:r w:rsidRPr="00D64819">
        <w:rPr>
          <w:rFonts w:hAnsi="標楷體" w:hint="eastAsia"/>
          <w:spacing w:val="-4"/>
          <w:lang w:eastAsia="zh-HK"/>
        </w:rPr>
        <w:t>其中</w:t>
      </w:r>
      <w:r w:rsidRPr="00D64819">
        <w:rPr>
          <w:rFonts w:hAnsi="標楷體" w:hint="eastAsia"/>
          <w:spacing w:val="-4"/>
        </w:rPr>
        <w:t>編號2、4等2件之判決日期分別為106年5月9日、105年11月16日，時隔今日，</w:t>
      </w:r>
      <w:proofErr w:type="gramStart"/>
      <w:r w:rsidRPr="00D64819">
        <w:rPr>
          <w:rFonts w:hAnsi="標楷體" w:hint="eastAsia"/>
          <w:spacing w:val="-4"/>
          <w:lang w:eastAsia="zh-HK"/>
        </w:rPr>
        <w:t>均</w:t>
      </w:r>
      <w:r w:rsidRPr="00D64819">
        <w:rPr>
          <w:rFonts w:hAnsi="標楷體" w:hint="eastAsia"/>
          <w:spacing w:val="-4"/>
        </w:rPr>
        <w:t>已逾</w:t>
      </w:r>
      <w:proofErr w:type="gramEnd"/>
      <w:r w:rsidRPr="00D64819">
        <w:rPr>
          <w:rFonts w:hAnsi="標楷體" w:hint="eastAsia"/>
          <w:spacing w:val="-4"/>
        </w:rPr>
        <w:t>3年，</w:t>
      </w:r>
      <w:r w:rsidRPr="00D64819">
        <w:rPr>
          <w:rFonts w:hAnsi="標楷體" w:hint="eastAsia"/>
          <w:spacing w:val="-4"/>
          <w:lang w:eastAsia="zh-HK"/>
        </w:rPr>
        <w:t>業</w:t>
      </w:r>
      <w:r w:rsidRPr="00D64819">
        <w:rPr>
          <w:rFonts w:hAnsi="標楷體" w:hint="eastAsia"/>
          <w:spacing w:val="-4"/>
        </w:rPr>
        <w:t>不得課予記過或申誡之處分；</w:t>
      </w:r>
      <w:r w:rsidRPr="00D64819">
        <w:rPr>
          <w:rFonts w:hAnsi="標楷體" w:hint="eastAsia"/>
          <w:spacing w:val="-4"/>
          <w:lang w:eastAsia="zh-HK"/>
        </w:rPr>
        <w:t>尤查</w:t>
      </w:r>
      <w:r w:rsidRPr="00D64819">
        <w:rPr>
          <w:rFonts w:hAnsi="標楷體" w:hint="eastAsia"/>
          <w:spacing w:val="-4"/>
        </w:rPr>
        <w:t>，編號1、3、7、8、9、11、16、17等8件，判決日期</w:t>
      </w:r>
      <w:r w:rsidRPr="00D64819">
        <w:rPr>
          <w:rFonts w:hAnsi="標楷體" w:hint="eastAsia"/>
          <w:spacing w:val="-4"/>
          <w:lang w:eastAsia="zh-HK"/>
        </w:rPr>
        <w:t>乃</w:t>
      </w:r>
      <w:r w:rsidRPr="00D64819">
        <w:rPr>
          <w:rFonts w:hAnsi="標楷體" w:hint="eastAsia"/>
          <w:spacing w:val="-4"/>
        </w:rPr>
        <w:t>101年3月26日至103年10月17日間，</w:t>
      </w:r>
      <w:r w:rsidRPr="00D64819">
        <w:rPr>
          <w:rFonts w:hAnsi="標楷體" w:hint="eastAsia"/>
          <w:spacing w:val="-4"/>
          <w:lang w:eastAsia="zh-HK"/>
        </w:rPr>
        <w:t>距</w:t>
      </w:r>
      <w:r w:rsidRPr="00D64819">
        <w:rPr>
          <w:rFonts w:hAnsi="標楷體" w:hint="eastAsia"/>
          <w:spacing w:val="-4"/>
        </w:rPr>
        <w:t>今</w:t>
      </w:r>
      <w:r w:rsidRPr="00D64819">
        <w:rPr>
          <w:rFonts w:hAnsi="標楷體" w:hint="eastAsia"/>
          <w:spacing w:val="-4"/>
          <w:lang w:eastAsia="zh-HK"/>
        </w:rPr>
        <w:t>超過</w:t>
      </w:r>
      <w:r w:rsidRPr="00D64819">
        <w:rPr>
          <w:rFonts w:hAnsi="標楷體" w:hint="eastAsia"/>
          <w:spacing w:val="-4"/>
        </w:rPr>
        <w:t>5年，顯</w:t>
      </w:r>
      <w:proofErr w:type="gramStart"/>
      <w:r w:rsidRPr="00D64819">
        <w:rPr>
          <w:rFonts w:hAnsi="標楷體" w:hint="eastAsia"/>
          <w:spacing w:val="-4"/>
          <w:lang w:eastAsia="zh-HK"/>
        </w:rPr>
        <w:t>均</w:t>
      </w:r>
      <w:r w:rsidRPr="00D64819">
        <w:rPr>
          <w:rFonts w:hAnsi="標楷體" w:hint="eastAsia"/>
          <w:spacing w:val="-4"/>
        </w:rPr>
        <w:t>已</w:t>
      </w:r>
      <w:r w:rsidRPr="00D64819">
        <w:rPr>
          <w:rFonts w:hAnsi="標楷體" w:hint="eastAsia"/>
          <w:spacing w:val="-4"/>
          <w:lang w:eastAsia="zh-HK"/>
        </w:rPr>
        <w:t>逾</w:t>
      </w:r>
      <w:r w:rsidRPr="00D64819">
        <w:rPr>
          <w:rFonts w:hAnsi="標楷體" w:hint="eastAsia"/>
          <w:spacing w:val="-4"/>
        </w:rPr>
        <w:t>記</w:t>
      </w:r>
      <w:proofErr w:type="gramEnd"/>
      <w:r w:rsidRPr="00D64819">
        <w:rPr>
          <w:rFonts w:hAnsi="標楷體" w:hint="eastAsia"/>
          <w:spacing w:val="-4"/>
        </w:rPr>
        <w:t>1大過、記過或申誡等懲處權行使</w:t>
      </w:r>
      <w:proofErr w:type="gramStart"/>
      <w:r w:rsidRPr="00D64819">
        <w:rPr>
          <w:rFonts w:hAnsi="標楷體" w:hint="eastAsia"/>
          <w:spacing w:val="-4"/>
        </w:rPr>
        <w:t>期間，</w:t>
      </w:r>
      <w:proofErr w:type="gramEnd"/>
      <w:r w:rsidRPr="00D64819">
        <w:rPr>
          <w:rFonts w:hAnsi="標楷體" w:hint="eastAsia"/>
          <w:spacing w:val="-4"/>
          <w:lang w:eastAsia="zh-HK"/>
        </w:rPr>
        <w:t>而</w:t>
      </w:r>
      <w:r w:rsidRPr="00D64819">
        <w:rPr>
          <w:rFonts w:hAnsi="標楷體" w:hint="eastAsia"/>
          <w:lang w:eastAsia="zh-HK"/>
        </w:rPr>
        <w:t>無法追究</w:t>
      </w:r>
      <w:r w:rsidRPr="00D64819">
        <w:rPr>
          <w:rFonts w:hAnsi="標楷體" w:hint="eastAsia"/>
          <w:spacing w:val="-4"/>
        </w:rPr>
        <w:t>。</w:t>
      </w:r>
    </w:p>
    <w:p w:rsidR="00EB5E57" w:rsidRPr="00D64819" w:rsidRDefault="00EB5E57" w:rsidP="00F709B1">
      <w:pPr>
        <w:pStyle w:val="3"/>
        <w:rPr>
          <w:rFonts w:hAnsi="標楷體"/>
          <w:lang w:eastAsia="zh-HK"/>
        </w:rPr>
      </w:pPr>
      <w:r w:rsidRPr="00D64819">
        <w:rPr>
          <w:rFonts w:hAnsi="標楷體" w:hint="eastAsia"/>
          <w:lang w:eastAsia="zh-HK"/>
        </w:rPr>
        <w:t>綜上，司法院對法院辦理</w:t>
      </w:r>
      <w:r w:rsidRPr="00D64819">
        <w:rPr>
          <w:rFonts w:hAnsi="標楷體" w:hint="eastAsia"/>
          <w:szCs w:val="48"/>
          <w:lang w:eastAsia="zh-HK"/>
        </w:rPr>
        <w:t>刑事補償事件業務</w:t>
      </w:r>
      <w:r w:rsidRPr="00D64819">
        <w:rPr>
          <w:rFonts w:hAnsi="標楷體" w:hint="eastAsia"/>
          <w:lang w:eastAsia="zh-HK"/>
        </w:rPr>
        <w:t>之</w:t>
      </w:r>
      <w:r w:rsidRPr="00D64819">
        <w:rPr>
          <w:rFonts w:hAnsi="標楷體" w:hint="eastAsia"/>
          <w:szCs w:val="48"/>
          <w:lang w:eastAsia="zh-HK"/>
        </w:rPr>
        <w:t>追蹤</w:t>
      </w:r>
      <w:proofErr w:type="gramStart"/>
      <w:r w:rsidRPr="00D64819">
        <w:rPr>
          <w:rFonts w:hAnsi="標楷體" w:hint="eastAsia"/>
          <w:szCs w:val="48"/>
          <w:lang w:eastAsia="zh-HK"/>
        </w:rPr>
        <w:t>管控</w:t>
      </w:r>
      <w:r w:rsidRPr="00D64819">
        <w:rPr>
          <w:rFonts w:hAnsi="標楷體" w:hint="eastAsia"/>
          <w:lang w:eastAsia="zh-HK"/>
        </w:rPr>
        <w:t>確有</w:t>
      </w:r>
      <w:proofErr w:type="gramEnd"/>
      <w:r w:rsidRPr="00D64819">
        <w:rPr>
          <w:rFonts w:hAnsi="標楷體" w:hint="eastAsia"/>
          <w:lang w:eastAsia="zh-HK"/>
        </w:rPr>
        <w:t>疏漏，肇致原案承辦人員應負之損害賠償責任或違法失職責任，恐因求償權或懲處權</w:t>
      </w:r>
      <w:proofErr w:type="gramStart"/>
      <w:r w:rsidRPr="00D64819">
        <w:rPr>
          <w:rFonts w:hAnsi="標楷體" w:hint="eastAsia"/>
          <w:lang w:eastAsia="zh-HK"/>
        </w:rPr>
        <w:t>罹</w:t>
      </w:r>
      <w:proofErr w:type="gramEnd"/>
      <w:r w:rsidRPr="00D64819">
        <w:rPr>
          <w:rFonts w:hAnsi="標楷體" w:hint="eastAsia"/>
          <w:lang w:eastAsia="zh-HK"/>
        </w:rPr>
        <w:t>於時效而無法追償或追究，核有失當。</w:t>
      </w:r>
    </w:p>
    <w:p w:rsidR="00EB5E57" w:rsidRPr="00D64819" w:rsidRDefault="00EB5E57" w:rsidP="00F709B1">
      <w:pPr>
        <w:pStyle w:val="2"/>
        <w:rPr>
          <w:b/>
          <w:lang w:eastAsia="zh-HK"/>
        </w:rPr>
      </w:pPr>
      <w:r w:rsidRPr="00D64819">
        <w:rPr>
          <w:rFonts w:hint="eastAsia"/>
          <w:b/>
          <w:lang w:eastAsia="zh-HK"/>
        </w:rPr>
        <w:t>部分法院、檢察機關、軍事審判機關未確實依規定期限辦理刑事</w:t>
      </w:r>
      <w:r w:rsidRPr="00D64819">
        <w:rPr>
          <w:rFonts w:hint="eastAsia"/>
          <w:b/>
        </w:rPr>
        <w:t>補償</w:t>
      </w:r>
      <w:r w:rsidRPr="00D64819">
        <w:rPr>
          <w:rFonts w:hint="eastAsia"/>
          <w:b/>
          <w:lang w:eastAsia="zh-HK"/>
        </w:rPr>
        <w:t>事件，復以</w:t>
      </w:r>
      <w:proofErr w:type="gramStart"/>
      <w:r w:rsidRPr="00D64819">
        <w:rPr>
          <w:rFonts w:hint="eastAsia"/>
          <w:b/>
          <w:lang w:eastAsia="zh-HK"/>
        </w:rPr>
        <w:t>警示控管</w:t>
      </w:r>
      <w:proofErr w:type="gramEnd"/>
      <w:r w:rsidRPr="00D64819">
        <w:rPr>
          <w:rFonts w:hint="eastAsia"/>
          <w:b/>
          <w:lang w:eastAsia="zh-HK"/>
        </w:rPr>
        <w:t>、橫向聯繫機制顯有不足，司法院、法務部、</w:t>
      </w:r>
      <w:proofErr w:type="gramStart"/>
      <w:r w:rsidRPr="00D64819">
        <w:rPr>
          <w:rFonts w:hint="eastAsia"/>
          <w:b/>
          <w:lang w:eastAsia="zh-HK"/>
        </w:rPr>
        <w:t>國防部應督同</w:t>
      </w:r>
      <w:proofErr w:type="gramEnd"/>
      <w:r w:rsidRPr="00D64819">
        <w:rPr>
          <w:rFonts w:hint="eastAsia"/>
          <w:b/>
          <w:lang w:eastAsia="zh-HK"/>
        </w:rPr>
        <w:t>所屬機關檢討改善，防範不應補償而補償事件漏未救濟等情事發生。</w:t>
      </w:r>
    </w:p>
    <w:p w:rsidR="00EB5E57" w:rsidRPr="00D64819" w:rsidRDefault="00EB5E57" w:rsidP="00F709B1">
      <w:pPr>
        <w:pStyle w:val="3"/>
        <w:rPr>
          <w:rFonts w:hAnsi="標楷體"/>
        </w:rPr>
      </w:pPr>
      <w:r w:rsidRPr="00D64819">
        <w:rPr>
          <w:rFonts w:hAnsi="標楷體" w:hint="eastAsia"/>
        </w:rPr>
        <w:t>按刑事補償法第17條第2項規定，受理補償事件之機關，應於收到補償請求後3個月內，製作決定書，送達於最高檢察署及補償請求人。</w:t>
      </w:r>
      <w:proofErr w:type="gramStart"/>
      <w:r w:rsidRPr="00D64819">
        <w:rPr>
          <w:rFonts w:hAnsi="標楷體" w:hint="eastAsia"/>
          <w:lang w:eastAsia="zh-HK"/>
        </w:rPr>
        <w:t>復按</w:t>
      </w:r>
      <w:r w:rsidRPr="00D64819">
        <w:rPr>
          <w:rFonts w:hAnsi="標楷體" w:hint="eastAsia"/>
        </w:rPr>
        <w:t>第一二</w:t>
      </w:r>
      <w:proofErr w:type="gramEnd"/>
      <w:r w:rsidRPr="00D64819">
        <w:rPr>
          <w:rFonts w:hAnsi="標楷體" w:hint="eastAsia"/>
        </w:rPr>
        <w:t>審法院所屬人員違失造成刑事補償懲處要點第3點規定，各級法院應於決定補償確定後15日內，將刑事補償及有關案卷，函送臺灣高等法院、福建高等法院金門分院審核原承辦人員有無違失，</w:t>
      </w:r>
      <w:proofErr w:type="gramStart"/>
      <w:r w:rsidRPr="00D64819">
        <w:rPr>
          <w:rFonts w:hAnsi="標楷體" w:hint="eastAsia"/>
        </w:rPr>
        <w:t>受函送</w:t>
      </w:r>
      <w:proofErr w:type="gramEnd"/>
      <w:r w:rsidRPr="00D64819">
        <w:rPr>
          <w:rFonts w:hAnsi="標楷體" w:hint="eastAsia"/>
        </w:rPr>
        <w:t>法院應於1個月內將審核結果連同案卷一併函報司法院。經</w:t>
      </w:r>
      <w:r w:rsidRPr="00D64819">
        <w:rPr>
          <w:rFonts w:hAnsi="標楷體" w:hint="eastAsia"/>
        </w:rPr>
        <w:lastRenderedPageBreak/>
        <w:t>查，</w:t>
      </w:r>
      <w:r w:rsidRPr="00D64819">
        <w:rPr>
          <w:rFonts w:hAnsi="標楷體"/>
        </w:rPr>
        <w:t>審計部</w:t>
      </w:r>
      <w:proofErr w:type="gramStart"/>
      <w:r w:rsidRPr="00D64819">
        <w:rPr>
          <w:rFonts w:hAnsi="標楷體"/>
        </w:rPr>
        <w:t>107</w:t>
      </w:r>
      <w:proofErr w:type="gramEnd"/>
      <w:r w:rsidRPr="00D64819">
        <w:rPr>
          <w:rFonts w:hAnsi="標楷體"/>
        </w:rPr>
        <w:t>年度中央政府總決算審核報告</w:t>
      </w:r>
      <w:r w:rsidRPr="00D64819">
        <w:rPr>
          <w:rFonts w:hAnsi="標楷體" w:hint="eastAsia"/>
        </w:rPr>
        <w:t>之審核意見指出，司法院</w:t>
      </w:r>
      <w:proofErr w:type="gramStart"/>
      <w:r w:rsidRPr="00D64819">
        <w:rPr>
          <w:rFonts w:hAnsi="標楷體" w:hint="eastAsia"/>
        </w:rPr>
        <w:t>所查填9件</w:t>
      </w:r>
      <w:proofErr w:type="gramEnd"/>
      <w:r w:rsidRPr="00D64819">
        <w:rPr>
          <w:rFonts w:hAnsi="標楷體" w:hint="eastAsia"/>
        </w:rPr>
        <w:t>刑事補償事件實際作業情形，核有：1、臺灣</w:t>
      </w:r>
      <w:proofErr w:type="gramStart"/>
      <w:r w:rsidRPr="00D64819">
        <w:rPr>
          <w:rFonts w:hAnsi="標楷體" w:hint="eastAsia"/>
        </w:rPr>
        <w:t>臺</w:t>
      </w:r>
      <w:proofErr w:type="gramEnd"/>
      <w:r w:rsidRPr="00D64819">
        <w:rPr>
          <w:rFonts w:hAnsi="標楷體" w:hint="eastAsia"/>
        </w:rPr>
        <w:t>北地方法院、臺灣新北地方法院、臺灣高雄地方法院、臺灣花蓮地方法院等4法院，於受理補償請求後，未於3個月內製作決定書，</w:t>
      </w:r>
      <w:r w:rsidRPr="00D64819">
        <w:rPr>
          <w:rFonts w:hAnsi="標楷體" w:hint="eastAsia"/>
          <w:lang w:eastAsia="zh-HK"/>
        </w:rPr>
        <w:t>計</w:t>
      </w:r>
      <w:r w:rsidRPr="00D64819">
        <w:rPr>
          <w:rFonts w:hAnsi="標楷體" w:hint="eastAsia"/>
        </w:rPr>
        <w:t>4</w:t>
      </w:r>
      <w:r w:rsidRPr="00D64819">
        <w:rPr>
          <w:rFonts w:hAnsi="標楷體" w:hint="eastAsia"/>
          <w:lang w:eastAsia="zh-HK"/>
        </w:rPr>
        <w:t>件</w:t>
      </w:r>
      <w:r w:rsidRPr="00D64819">
        <w:rPr>
          <w:rFonts w:hAnsi="標楷體" w:hint="eastAsia"/>
        </w:rPr>
        <w:t>（如表2，編號2、3、6、8）；2、臺灣</w:t>
      </w:r>
      <w:proofErr w:type="gramStart"/>
      <w:r w:rsidRPr="00D64819">
        <w:rPr>
          <w:rFonts w:hAnsi="標楷體" w:hint="eastAsia"/>
        </w:rPr>
        <w:t>臺</w:t>
      </w:r>
      <w:proofErr w:type="gramEnd"/>
      <w:r w:rsidRPr="00D64819">
        <w:rPr>
          <w:rFonts w:hAnsi="標楷體" w:hint="eastAsia"/>
        </w:rPr>
        <w:t>北地方法院、臺灣新北地方法院、</w:t>
      </w:r>
      <w:r w:rsidRPr="00D64819">
        <w:rPr>
          <w:rFonts w:hAnsi="標楷體" w:hint="eastAsia"/>
          <w:spacing w:val="-20"/>
        </w:rPr>
        <w:t>臺灣</w:t>
      </w:r>
      <w:r w:rsidRPr="00D64819">
        <w:rPr>
          <w:rFonts w:hAnsi="標楷體" w:hint="eastAsia"/>
          <w:lang w:eastAsia="zh-HK"/>
        </w:rPr>
        <w:t>宜蘭</w:t>
      </w:r>
      <w:r w:rsidRPr="00D64819">
        <w:rPr>
          <w:rFonts w:hAnsi="標楷體" w:hint="eastAsia"/>
        </w:rPr>
        <w:t>地方法院、臺灣花蓮地方法院等4法院</w:t>
      </w:r>
      <w:r w:rsidRPr="00D64819">
        <w:rPr>
          <w:rFonts w:hAnsi="標楷體" w:hint="eastAsia"/>
          <w:lang w:eastAsia="zh-HK"/>
        </w:rPr>
        <w:t>於</w:t>
      </w:r>
      <w:r w:rsidRPr="00D64819">
        <w:rPr>
          <w:rFonts w:hAnsi="標楷體" w:hint="eastAsia"/>
        </w:rPr>
        <w:t>決定補償確定後，未於15日內將案卷函送臺灣高等法院審核原承辦人員有無違失，</w:t>
      </w:r>
      <w:r w:rsidRPr="00D64819">
        <w:rPr>
          <w:rFonts w:hAnsi="標楷體" w:hint="eastAsia"/>
          <w:lang w:eastAsia="zh-HK"/>
        </w:rPr>
        <w:t>計</w:t>
      </w:r>
      <w:r w:rsidRPr="00D64819">
        <w:rPr>
          <w:rFonts w:hAnsi="標楷體" w:hint="eastAsia"/>
        </w:rPr>
        <w:t>4</w:t>
      </w:r>
      <w:r w:rsidRPr="00D64819">
        <w:rPr>
          <w:rFonts w:hAnsi="標楷體" w:hint="eastAsia"/>
          <w:lang w:eastAsia="zh-HK"/>
        </w:rPr>
        <w:t>件</w:t>
      </w:r>
      <w:r w:rsidRPr="00D64819">
        <w:rPr>
          <w:rFonts w:hAnsi="標楷體" w:hint="eastAsia"/>
        </w:rPr>
        <w:t>（</w:t>
      </w:r>
      <w:r w:rsidRPr="00D64819">
        <w:rPr>
          <w:rFonts w:hAnsi="標楷體" w:hint="eastAsia"/>
          <w:lang w:eastAsia="zh-HK"/>
        </w:rPr>
        <w:t>同</w:t>
      </w:r>
      <w:r w:rsidRPr="00D64819">
        <w:rPr>
          <w:rFonts w:hAnsi="標楷體" w:hint="eastAsia"/>
        </w:rPr>
        <w:t>表2，編號2、5、7、9）；3、臺灣高等法院未於1個月內將審核結果函報</w:t>
      </w:r>
      <w:r w:rsidRPr="00D64819">
        <w:rPr>
          <w:rFonts w:hAnsi="標楷體" w:hint="eastAsia"/>
          <w:lang w:eastAsia="zh-HK"/>
        </w:rPr>
        <w:t>司法</w:t>
      </w:r>
      <w:r w:rsidRPr="00D64819">
        <w:rPr>
          <w:rFonts w:hAnsi="標楷體" w:hint="eastAsia"/>
        </w:rPr>
        <w:t>院，計5件（</w:t>
      </w:r>
      <w:r w:rsidRPr="00D64819">
        <w:rPr>
          <w:rFonts w:hAnsi="標楷體" w:hint="eastAsia"/>
          <w:lang w:eastAsia="zh-HK"/>
        </w:rPr>
        <w:t>同</w:t>
      </w:r>
      <w:r w:rsidRPr="00D64819">
        <w:rPr>
          <w:rFonts w:hAnsi="標楷體" w:hint="eastAsia"/>
        </w:rPr>
        <w:t>表2，編號1、3、4、6、9）等情。</w:t>
      </w:r>
      <w:r w:rsidRPr="00D64819">
        <w:rPr>
          <w:rFonts w:hAnsi="標楷體" w:hint="eastAsia"/>
          <w:lang w:eastAsia="zh-HK"/>
        </w:rPr>
        <w:t>雖據司法院</w:t>
      </w:r>
      <w:proofErr w:type="gramStart"/>
      <w:r w:rsidRPr="00D64819">
        <w:rPr>
          <w:rFonts w:hAnsi="標楷體" w:hint="eastAsia"/>
        </w:rPr>
        <w:t>函復本院</w:t>
      </w:r>
      <w:proofErr w:type="gramEnd"/>
      <w:r w:rsidRPr="00D64819">
        <w:rPr>
          <w:rFonts w:hAnsi="標楷體" w:hint="eastAsia"/>
          <w:lang w:eastAsia="zh-HK"/>
        </w:rPr>
        <w:t>表示</w:t>
      </w:r>
      <w:r w:rsidRPr="00D64819">
        <w:rPr>
          <w:rFonts w:hAnsi="標楷體" w:hint="eastAsia"/>
        </w:rPr>
        <w:t>：「所指未依限辦理補償案件情形，經查有因受理補償之</w:t>
      </w:r>
      <w:proofErr w:type="gramStart"/>
      <w:r w:rsidRPr="00D64819">
        <w:rPr>
          <w:rFonts w:hAnsi="標楷體" w:hint="eastAsia"/>
        </w:rPr>
        <w:t>法院未函送</w:t>
      </w:r>
      <w:proofErr w:type="gramEnd"/>
      <w:r w:rsidRPr="00D64819">
        <w:rPr>
          <w:rFonts w:hAnsi="標楷體" w:hint="eastAsia"/>
        </w:rPr>
        <w:t>全卷，致無法審核，或審核後認有違失，請求補充或再行審議、案件繁複、調卷困難等合理正當之理由，並無損害當事人或補償機關權益之情事發生。另有因他案審理中或其他法院借調中等客觀原因，導致審議期間較長，並非法院未積極審理。」</w:t>
      </w:r>
      <w:r w:rsidRPr="00D64819">
        <w:rPr>
          <w:rFonts w:hAnsi="標楷體" w:hint="eastAsia"/>
          <w:lang w:eastAsia="zh-HK"/>
        </w:rPr>
        <w:t>然司法院</w:t>
      </w:r>
      <w:proofErr w:type="gramStart"/>
      <w:r w:rsidRPr="00D64819">
        <w:rPr>
          <w:rFonts w:hAnsi="標楷體" w:hint="eastAsia"/>
          <w:lang w:eastAsia="zh-HK"/>
        </w:rPr>
        <w:t>仍應督同</w:t>
      </w:r>
      <w:proofErr w:type="gramEnd"/>
      <w:r w:rsidRPr="00D64819">
        <w:rPr>
          <w:rFonts w:hAnsi="標楷體" w:hint="eastAsia"/>
          <w:lang w:eastAsia="zh-HK"/>
        </w:rPr>
        <w:t>所屬</w:t>
      </w:r>
      <w:r w:rsidRPr="00D64819">
        <w:rPr>
          <w:rFonts w:hAnsi="標楷體" w:hint="eastAsia"/>
          <w:szCs w:val="32"/>
          <w:lang w:eastAsia="zh-HK"/>
        </w:rPr>
        <w:t>加速</w:t>
      </w:r>
      <w:r w:rsidRPr="00D64819">
        <w:rPr>
          <w:rFonts w:hAnsi="標楷體" w:hint="eastAsia"/>
          <w:lang w:eastAsia="zh-HK"/>
        </w:rPr>
        <w:t>完成上開案件之辦理進度</w:t>
      </w:r>
      <w:r w:rsidRPr="00D64819">
        <w:rPr>
          <w:rFonts w:hAnsi="標楷體" w:hint="eastAsia"/>
        </w:rPr>
        <w:t>，</w:t>
      </w:r>
      <w:r w:rsidRPr="00D64819">
        <w:rPr>
          <w:rFonts w:hAnsi="標楷體" w:hint="eastAsia"/>
          <w:lang w:eastAsia="zh-HK"/>
        </w:rPr>
        <w:t>並強化</w:t>
      </w:r>
      <w:r w:rsidRPr="00D64819">
        <w:rPr>
          <w:rFonts w:hAnsi="標楷體" w:hint="eastAsia"/>
          <w:szCs w:val="32"/>
          <w:lang w:eastAsia="zh-HK"/>
        </w:rPr>
        <w:t>業務</w:t>
      </w:r>
      <w:proofErr w:type="gramStart"/>
      <w:r w:rsidRPr="00D64819">
        <w:rPr>
          <w:rFonts w:hAnsi="標楷體" w:hint="eastAsia"/>
          <w:szCs w:val="32"/>
          <w:lang w:eastAsia="zh-HK"/>
        </w:rPr>
        <w:t>警示控管</w:t>
      </w:r>
      <w:proofErr w:type="gramEnd"/>
      <w:r w:rsidRPr="00D64819">
        <w:rPr>
          <w:rFonts w:hAnsi="標楷體" w:hint="eastAsia"/>
          <w:szCs w:val="32"/>
          <w:lang w:eastAsia="zh-HK"/>
        </w:rPr>
        <w:t>措施，</w:t>
      </w:r>
      <w:r w:rsidRPr="00D64819">
        <w:rPr>
          <w:rFonts w:hAnsi="標楷體" w:hint="eastAsia"/>
          <w:lang w:eastAsia="zh-HK"/>
        </w:rPr>
        <w:t>落實</w:t>
      </w:r>
      <w:r w:rsidRPr="00D64819">
        <w:rPr>
          <w:rFonts w:hAnsi="標楷體" w:hint="eastAsia"/>
          <w:szCs w:val="32"/>
          <w:lang w:eastAsia="zh-HK"/>
        </w:rPr>
        <w:t>相關</w:t>
      </w:r>
      <w:r w:rsidRPr="00D64819">
        <w:rPr>
          <w:rFonts w:hAnsi="標楷體" w:hint="eastAsia"/>
          <w:lang w:eastAsia="zh-HK"/>
        </w:rPr>
        <w:t>規定之管考</w:t>
      </w:r>
      <w:r w:rsidRPr="00D64819">
        <w:rPr>
          <w:rFonts w:hAnsi="標楷體" w:hint="eastAsia"/>
          <w:szCs w:val="32"/>
        </w:rPr>
        <w:t>。</w:t>
      </w:r>
    </w:p>
    <w:p w:rsidR="00EB5E57" w:rsidRPr="00D64819" w:rsidRDefault="00EB5E57" w:rsidP="00F709B1">
      <w:pPr>
        <w:pStyle w:val="a3"/>
        <w:snapToGrid/>
        <w:rPr>
          <w:rFonts w:hAnsi="標楷體"/>
        </w:rPr>
      </w:pPr>
      <w:r w:rsidRPr="00D64819">
        <w:rPr>
          <w:rFonts w:hAnsi="標楷體" w:hint="eastAsia"/>
          <w:lang w:eastAsia="zh-HK"/>
        </w:rPr>
        <w:t>審計部查核發現</w:t>
      </w:r>
      <w:r w:rsidRPr="00D64819">
        <w:rPr>
          <w:rFonts w:hAnsi="標楷體" w:hint="eastAsia"/>
        </w:rPr>
        <w:t>法院</w:t>
      </w:r>
      <w:r w:rsidRPr="00D64819">
        <w:rPr>
          <w:rFonts w:hAnsi="標楷體" w:hint="eastAsia"/>
          <w:lang w:eastAsia="zh-HK"/>
        </w:rPr>
        <w:t>逾限辦理</w:t>
      </w:r>
      <w:r w:rsidRPr="00D64819">
        <w:rPr>
          <w:rFonts w:hAnsi="標楷體" w:hint="eastAsia"/>
        </w:rPr>
        <w:t>刑事補償事件</w:t>
      </w:r>
      <w:r w:rsidRPr="00D64819">
        <w:rPr>
          <w:rFonts w:hAnsi="標楷體" w:hint="eastAsia"/>
          <w:lang w:eastAsia="zh-HK"/>
        </w:rPr>
        <w:t>業務情形</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83"/>
        <w:gridCol w:w="1325"/>
        <w:gridCol w:w="2263"/>
        <w:gridCol w:w="1339"/>
        <w:gridCol w:w="1564"/>
        <w:gridCol w:w="1760"/>
      </w:tblGrid>
      <w:tr w:rsidR="00EB5E57" w:rsidRPr="00D64819" w:rsidTr="007D288F">
        <w:trPr>
          <w:trHeight w:val="850"/>
          <w:tblHeader/>
          <w:jc w:val="center"/>
        </w:trPr>
        <w:tc>
          <w:tcPr>
            <w:tcW w:w="330" w:type="pct"/>
            <w:shd w:val="clear" w:color="auto" w:fill="E7E6E6" w:themeFill="background2"/>
            <w:vAlign w:val="center"/>
          </w:tcPr>
          <w:p w:rsidR="00EB5E57" w:rsidRPr="00D64819" w:rsidRDefault="00EB5E57" w:rsidP="007D288F">
            <w:pPr>
              <w:pStyle w:val="121"/>
              <w:snapToGrid/>
              <w:spacing w:line="280" w:lineRule="exact"/>
              <w:rPr>
                <w:rFonts w:hAnsi="標楷體"/>
              </w:rPr>
            </w:pPr>
            <w:r w:rsidRPr="00D64819">
              <w:rPr>
                <w:rFonts w:hAnsi="標楷體" w:hint="eastAsia"/>
              </w:rPr>
              <w:t>編號</w:t>
            </w:r>
          </w:p>
        </w:tc>
        <w:tc>
          <w:tcPr>
            <w:tcW w:w="750" w:type="pct"/>
            <w:shd w:val="clear" w:color="auto" w:fill="E7E6E6" w:themeFill="background2"/>
            <w:vAlign w:val="center"/>
          </w:tcPr>
          <w:p w:rsidR="00EB5E57" w:rsidRPr="00D64819" w:rsidRDefault="00EB5E57" w:rsidP="007D288F">
            <w:pPr>
              <w:pStyle w:val="121"/>
              <w:snapToGrid/>
              <w:spacing w:line="280" w:lineRule="exact"/>
              <w:rPr>
                <w:rFonts w:hAnsi="標楷體"/>
              </w:rPr>
            </w:pPr>
            <w:r w:rsidRPr="00D64819">
              <w:rPr>
                <w:rFonts w:hAnsi="標楷體" w:hint="eastAsia"/>
              </w:rPr>
              <w:t>法院</w:t>
            </w:r>
          </w:p>
        </w:tc>
        <w:tc>
          <w:tcPr>
            <w:tcW w:w="1281" w:type="pct"/>
            <w:shd w:val="clear" w:color="auto" w:fill="E7E6E6" w:themeFill="background2"/>
            <w:vAlign w:val="center"/>
          </w:tcPr>
          <w:p w:rsidR="00EB5E57" w:rsidRPr="00D64819" w:rsidRDefault="00EB5E57" w:rsidP="007D288F">
            <w:pPr>
              <w:pStyle w:val="121"/>
              <w:snapToGrid/>
              <w:spacing w:line="280" w:lineRule="exact"/>
              <w:rPr>
                <w:rFonts w:hAnsi="標楷體"/>
              </w:rPr>
            </w:pPr>
            <w:r w:rsidRPr="00D64819">
              <w:rPr>
                <w:rFonts w:hAnsi="標楷體" w:hint="eastAsia"/>
              </w:rPr>
              <w:t>案號</w:t>
            </w:r>
          </w:p>
        </w:tc>
        <w:tc>
          <w:tcPr>
            <w:tcW w:w="758" w:type="pct"/>
            <w:shd w:val="clear" w:color="auto" w:fill="E7E6E6" w:themeFill="background2"/>
            <w:vAlign w:val="center"/>
          </w:tcPr>
          <w:p w:rsidR="00EB5E57" w:rsidRPr="00D64819" w:rsidRDefault="00EB5E57" w:rsidP="007D288F">
            <w:pPr>
              <w:pStyle w:val="121"/>
              <w:snapToGrid/>
              <w:spacing w:line="280" w:lineRule="exact"/>
              <w:rPr>
                <w:rFonts w:hAnsi="標楷體"/>
              </w:rPr>
            </w:pPr>
            <w:r w:rsidRPr="00D64819">
              <w:rPr>
                <w:rFonts w:hAnsi="標楷體" w:hint="eastAsia"/>
              </w:rPr>
              <w:t>補償決定書送達請求人</w:t>
            </w:r>
            <w:r w:rsidRPr="00D64819">
              <w:rPr>
                <w:rFonts w:hAnsi="標楷體" w:hint="eastAsia"/>
                <w:lang w:eastAsia="zh-HK"/>
              </w:rPr>
              <w:t>是否</w:t>
            </w:r>
            <w:r w:rsidRPr="00D64819">
              <w:rPr>
                <w:rFonts w:hAnsi="標楷體" w:hint="eastAsia"/>
              </w:rPr>
              <w:t>逾</w:t>
            </w:r>
            <w:r w:rsidRPr="00D64819">
              <w:rPr>
                <w:rFonts w:hAnsi="標楷體"/>
              </w:rPr>
              <w:t>3</w:t>
            </w:r>
            <w:r w:rsidRPr="00D64819">
              <w:rPr>
                <w:rFonts w:hAnsi="標楷體" w:hint="eastAsia"/>
              </w:rPr>
              <w:t>個月</w:t>
            </w:r>
          </w:p>
        </w:tc>
        <w:tc>
          <w:tcPr>
            <w:tcW w:w="885" w:type="pct"/>
            <w:shd w:val="clear" w:color="auto" w:fill="E7E6E6" w:themeFill="background2"/>
            <w:vAlign w:val="center"/>
          </w:tcPr>
          <w:p w:rsidR="00EB5E57" w:rsidRPr="00D64819" w:rsidRDefault="00EB5E57" w:rsidP="007D288F">
            <w:pPr>
              <w:pStyle w:val="121"/>
              <w:snapToGrid/>
              <w:spacing w:line="280" w:lineRule="exact"/>
              <w:rPr>
                <w:rFonts w:hAnsi="標楷體"/>
              </w:rPr>
            </w:pPr>
            <w:r w:rsidRPr="00D64819">
              <w:rPr>
                <w:rFonts w:hAnsi="標楷體" w:hint="eastAsia"/>
              </w:rPr>
              <w:t>補償案卷函送臺灣高等法院日期</w:t>
            </w:r>
            <w:r w:rsidRPr="00D64819">
              <w:rPr>
                <w:rFonts w:hAnsi="標楷體" w:hint="eastAsia"/>
                <w:lang w:eastAsia="zh-HK"/>
              </w:rPr>
              <w:t>是否逾</w:t>
            </w:r>
            <w:r w:rsidRPr="00D64819">
              <w:rPr>
                <w:rFonts w:hAnsi="標楷體" w:hint="eastAsia"/>
              </w:rPr>
              <w:t>15</w:t>
            </w:r>
            <w:r w:rsidRPr="00D64819">
              <w:rPr>
                <w:rFonts w:hAnsi="標楷體" w:hint="eastAsia"/>
                <w:lang w:eastAsia="zh-HK"/>
              </w:rPr>
              <w:t>日</w:t>
            </w:r>
          </w:p>
        </w:tc>
        <w:tc>
          <w:tcPr>
            <w:tcW w:w="996" w:type="pct"/>
            <w:shd w:val="clear" w:color="auto" w:fill="E7E6E6" w:themeFill="background2"/>
            <w:vAlign w:val="center"/>
          </w:tcPr>
          <w:p w:rsidR="00EB5E57" w:rsidRPr="00D64819" w:rsidRDefault="00EB5E57" w:rsidP="007D288F">
            <w:pPr>
              <w:pStyle w:val="121"/>
              <w:snapToGrid/>
              <w:spacing w:line="280" w:lineRule="exact"/>
              <w:rPr>
                <w:rFonts w:hAnsi="標楷體"/>
              </w:rPr>
            </w:pPr>
            <w:r w:rsidRPr="00D64819">
              <w:rPr>
                <w:rFonts w:hAnsi="標楷體" w:hint="eastAsia"/>
              </w:rPr>
              <w:t>臺灣高等法院</w:t>
            </w:r>
            <w:r w:rsidRPr="00D64819">
              <w:rPr>
                <w:rFonts w:hAnsi="標楷體" w:hint="eastAsia"/>
                <w:lang w:eastAsia="zh-HK"/>
              </w:rPr>
              <w:t>將</w:t>
            </w:r>
            <w:r w:rsidRPr="00D64819">
              <w:rPr>
                <w:rFonts w:hAnsi="標楷體" w:hint="eastAsia"/>
              </w:rPr>
              <w:t>違失審核結果函報司法院</w:t>
            </w:r>
            <w:r w:rsidRPr="00D64819">
              <w:rPr>
                <w:rFonts w:hAnsi="標楷體" w:hint="eastAsia"/>
                <w:lang w:eastAsia="zh-HK"/>
              </w:rPr>
              <w:t>是否逾</w:t>
            </w:r>
            <w:r w:rsidRPr="00D64819">
              <w:rPr>
                <w:rFonts w:hAnsi="標楷體" w:hint="eastAsia"/>
              </w:rPr>
              <w:t>1</w:t>
            </w:r>
            <w:r w:rsidRPr="00D64819">
              <w:rPr>
                <w:rFonts w:hAnsi="標楷體" w:hint="eastAsia"/>
                <w:lang w:eastAsia="zh-HK"/>
              </w:rPr>
              <w:t>個月</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1</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rPr>
              <w:t>臺灣高等法院臺南分院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101</w:t>
            </w:r>
            <w:r w:rsidRPr="00D64819">
              <w:rPr>
                <w:rFonts w:hAnsi="標楷體" w:hint="eastAsia"/>
              </w:rPr>
              <w:t>年度刑補字</w:t>
            </w:r>
            <w:proofErr w:type="gramEnd"/>
            <w:r w:rsidRPr="00D64819">
              <w:rPr>
                <w:rFonts w:hAnsi="標楷體" w:hint="eastAsia"/>
              </w:rPr>
              <w:t>第</w:t>
            </w:r>
            <w:r w:rsidRPr="00D64819">
              <w:rPr>
                <w:rFonts w:hAnsi="標楷體"/>
              </w:rPr>
              <w:t>10</w:t>
            </w:r>
            <w:r w:rsidRPr="00D64819">
              <w:rPr>
                <w:rFonts w:hAnsi="標楷體" w:hint="eastAsia"/>
              </w:rPr>
              <w:t>號</w:t>
            </w:r>
          </w:p>
        </w:tc>
        <w:tc>
          <w:tcPr>
            <w:tcW w:w="758"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否</w:t>
            </w:r>
          </w:p>
        </w:tc>
        <w:tc>
          <w:tcPr>
            <w:tcW w:w="885"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否</w:t>
            </w:r>
          </w:p>
        </w:tc>
        <w:tc>
          <w:tcPr>
            <w:tcW w:w="996"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2</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rPr>
              <w:t>臺灣</w:t>
            </w:r>
            <w:proofErr w:type="gramStart"/>
            <w:r w:rsidRPr="00D64819">
              <w:rPr>
                <w:rFonts w:hAnsi="標楷體" w:hint="eastAsia"/>
              </w:rPr>
              <w:t>臺</w:t>
            </w:r>
            <w:proofErr w:type="gramEnd"/>
            <w:r w:rsidRPr="00D64819">
              <w:rPr>
                <w:rFonts w:hAnsi="標楷體" w:hint="eastAsia"/>
              </w:rPr>
              <w:t>北地方法院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101</w:t>
            </w:r>
            <w:r w:rsidRPr="00D64819">
              <w:rPr>
                <w:rFonts w:hAnsi="標楷體" w:hint="eastAsia"/>
              </w:rPr>
              <w:t>年度刑補字</w:t>
            </w:r>
            <w:proofErr w:type="gramEnd"/>
            <w:r w:rsidRPr="00D64819">
              <w:rPr>
                <w:rFonts w:hAnsi="標楷體" w:hint="eastAsia"/>
              </w:rPr>
              <w:t>第</w:t>
            </w:r>
            <w:r w:rsidRPr="00D64819">
              <w:rPr>
                <w:rFonts w:hAnsi="標楷體"/>
              </w:rPr>
              <w:t>3</w:t>
            </w:r>
            <w:r w:rsidRPr="00D64819">
              <w:rPr>
                <w:rFonts w:hAnsi="標楷體" w:hint="eastAsia"/>
              </w:rPr>
              <w:t>號</w:t>
            </w:r>
          </w:p>
        </w:tc>
        <w:tc>
          <w:tcPr>
            <w:tcW w:w="758"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885"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996"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3</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臺灣新北地方法院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97</w:t>
            </w:r>
            <w:r w:rsidRPr="00D64819">
              <w:rPr>
                <w:rFonts w:hAnsi="標楷體" w:hint="eastAsia"/>
              </w:rPr>
              <w:t>年度賠字第</w:t>
            </w:r>
            <w:r w:rsidRPr="00D64819">
              <w:rPr>
                <w:rFonts w:hAnsi="標楷體"/>
              </w:rPr>
              <w:t>4</w:t>
            </w:r>
            <w:r w:rsidRPr="00D64819">
              <w:rPr>
                <w:rFonts w:hAnsi="標楷體" w:hint="eastAsia"/>
              </w:rPr>
              <w:t>號</w:t>
            </w:r>
            <w:proofErr w:type="gramEnd"/>
          </w:p>
        </w:tc>
        <w:tc>
          <w:tcPr>
            <w:tcW w:w="758"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885"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996"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4</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臺灣新北地方法院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99</w:t>
            </w:r>
            <w:r w:rsidRPr="00D64819">
              <w:rPr>
                <w:rFonts w:hAnsi="標楷體" w:hint="eastAsia"/>
              </w:rPr>
              <w:t>年度賠字第</w:t>
            </w:r>
            <w:r w:rsidRPr="00D64819">
              <w:rPr>
                <w:rFonts w:hAnsi="標楷體"/>
              </w:rPr>
              <w:t>2</w:t>
            </w:r>
            <w:r w:rsidRPr="00D64819">
              <w:rPr>
                <w:rFonts w:hAnsi="標楷體" w:hint="eastAsia"/>
              </w:rPr>
              <w:t>號</w:t>
            </w:r>
            <w:proofErr w:type="gramEnd"/>
          </w:p>
        </w:tc>
        <w:tc>
          <w:tcPr>
            <w:tcW w:w="758"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885"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996"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b/>
                <w:lang w:eastAsia="zh-HK"/>
              </w:rPr>
              <w:t>是</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5</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rPr>
              <w:t>臺灣新北地</w:t>
            </w:r>
            <w:r w:rsidRPr="00D64819">
              <w:rPr>
                <w:rFonts w:hAnsi="標楷體" w:hint="eastAsia"/>
              </w:rPr>
              <w:lastRenderedPageBreak/>
              <w:t>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lastRenderedPageBreak/>
              <w:t>98</w:t>
            </w:r>
            <w:r w:rsidRPr="00D64819">
              <w:rPr>
                <w:rFonts w:hAnsi="標楷體" w:hint="eastAsia"/>
              </w:rPr>
              <w:t>年度賠字第</w:t>
            </w:r>
            <w:r w:rsidRPr="00D64819">
              <w:rPr>
                <w:rFonts w:hAnsi="標楷體"/>
              </w:rPr>
              <w:t>1</w:t>
            </w:r>
            <w:r w:rsidRPr="00D64819">
              <w:rPr>
                <w:rFonts w:hAnsi="標楷體" w:hint="eastAsia"/>
              </w:rPr>
              <w:t>號</w:t>
            </w:r>
            <w:proofErr w:type="gramEnd"/>
          </w:p>
        </w:tc>
        <w:tc>
          <w:tcPr>
            <w:tcW w:w="758"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否</w:t>
            </w:r>
          </w:p>
        </w:tc>
        <w:tc>
          <w:tcPr>
            <w:tcW w:w="885"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rPr>
              <w:t>是</w:t>
            </w:r>
          </w:p>
        </w:tc>
        <w:tc>
          <w:tcPr>
            <w:tcW w:w="996"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6</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rPr>
              <w:t>臺灣高雄地方法院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105</w:t>
            </w:r>
            <w:r w:rsidRPr="00D64819">
              <w:rPr>
                <w:rFonts w:hAnsi="標楷體" w:hint="eastAsia"/>
              </w:rPr>
              <w:t>年度刑補字</w:t>
            </w:r>
            <w:proofErr w:type="gramEnd"/>
            <w:r w:rsidRPr="00D64819">
              <w:rPr>
                <w:rFonts w:hAnsi="標楷體" w:hint="eastAsia"/>
              </w:rPr>
              <w:t>第</w:t>
            </w:r>
            <w:r w:rsidRPr="00D64819">
              <w:rPr>
                <w:rFonts w:hAnsi="標楷體"/>
              </w:rPr>
              <w:t>11</w:t>
            </w:r>
            <w:r w:rsidRPr="00D64819">
              <w:rPr>
                <w:rFonts w:hAnsi="標楷體" w:hint="eastAsia"/>
              </w:rPr>
              <w:t>號</w:t>
            </w:r>
          </w:p>
        </w:tc>
        <w:tc>
          <w:tcPr>
            <w:tcW w:w="758"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885"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c>
          <w:tcPr>
            <w:tcW w:w="996"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7</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spacing w:val="-20"/>
              </w:rPr>
              <w:t>臺灣宜蘭地方法院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98</w:t>
            </w:r>
            <w:r w:rsidRPr="00D64819">
              <w:rPr>
                <w:rFonts w:hAnsi="標楷體" w:hint="eastAsia"/>
              </w:rPr>
              <w:t>年度賠字第</w:t>
            </w:r>
            <w:r w:rsidRPr="00D64819">
              <w:rPr>
                <w:rFonts w:hAnsi="標楷體"/>
              </w:rPr>
              <w:t>5</w:t>
            </w:r>
            <w:r w:rsidRPr="00D64819">
              <w:rPr>
                <w:rFonts w:hAnsi="標楷體" w:hint="eastAsia"/>
              </w:rPr>
              <w:t>號</w:t>
            </w:r>
            <w:proofErr w:type="gramEnd"/>
          </w:p>
        </w:tc>
        <w:tc>
          <w:tcPr>
            <w:tcW w:w="758"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否</w:t>
            </w:r>
          </w:p>
        </w:tc>
        <w:tc>
          <w:tcPr>
            <w:tcW w:w="885"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b/>
                <w:lang w:eastAsia="zh-HK"/>
              </w:rPr>
              <w:t>是</w:t>
            </w:r>
          </w:p>
        </w:tc>
        <w:tc>
          <w:tcPr>
            <w:tcW w:w="996"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lang w:eastAsia="zh-HK"/>
              </w:rPr>
              <w:t>否</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8</w:t>
            </w:r>
          </w:p>
        </w:tc>
        <w:tc>
          <w:tcPr>
            <w:tcW w:w="750" w:type="pct"/>
            <w:vAlign w:val="center"/>
          </w:tcPr>
          <w:p w:rsidR="00EB5E57" w:rsidRPr="00D64819" w:rsidRDefault="00EB5E57" w:rsidP="007D288F">
            <w:pPr>
              <w:pStyle w:val="121"/>
              <w:snapToGrid/>
              <w:spacing w:line="280" w:lineRule="exact"/>
              <w:rPr>
                <w:rFonts w:hAnsi="標楷體"/>
                <w:spacing w:val="-20"/>
              </w:rPr>
            </w:pPr>
            <w:r w:rsidRPr="00D64819">
              <w:rPr>
                <w:rFonts w:hAnsi="標楷體" w:hint="eastAsia"/>
                <w:spacing w:val="-20"/>
              </w:rPr>
              <w:t>臺灣花蓮地方法院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98</w:t>
            </w:r>
            <w:r w:rsidRPr="00D64819">
              <w:rPr>
                <w:rFonts w:hAnsi="標楷體" w:hint="eastAsia"/>
              </w:rPr>
              <w:t>年度賠字第</w:t>
            </w:r>
            <w:r w:rsidRPr="00D64819">
              <w:rPr>
                <w:rFonts w:hAnsi="標楷體"/>
              </w:rPr>
              <w:t>2</w:t>
            </w:r>
            <w:r w:rsidRPr="00D64819">
              <w:rPr>
                <w:rFonts w:hAnsi="標楷體" w:hint="eastAsia"/>
              </w:rPr>
              <w:t>號</w:t>
            </w:r>
            <w:proofErr w:type="gramEnd"/>
          </w:p>
        </w:tc>
        <w:tc>
          <w:tcPr>
            <w:tcW w:w="758"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c>
          <w:tcPr>
            <w:tcW w:w="885"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否</w:t>
            </w:r>
          </w:p>
        </w:tc>
        <w:tc>
          <w:tcPr>
            <w:tcW w:w="996"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否</w:t>
            </w:r>
          </w:p>
        </w:tc>
      </w:tr>
      <w:tr w:rsidR="00EB5E57" w:rsidRPr="00D64819" w:rsidTr="007D288F">
        <w:trPr>
          <w:trHeight w:val="20"/>
          <w:jc w:val="center"/>
        </w:trPr>
        <w:tc>
          <w:tcPr>
            <w:tcW w:w="330"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rPr>
              <w:t>9</w:t>
            </w:r>
          </w:p>
        </w:tc>
        <w:tc>
          <w:tcPr>
            <w:tcW w:w="750" w:type="pct"/>
            <w:vAlign w:val="center"/>
          </w:tcPr>
          <w:p w:rsidR="00EB5E57" w:rsidRPr="00D64819" w:rsidRDefault="00EB5E57" w:rsidP="007D288F">
            <w:pPr>
              <w:pStyle w:val="121"/>
              <w:snapToGrid/>
              <w:spacing w:line="280" w:lineRule="exact"/>
              <w:rPr>
                <w:rFonts w:hAnsi="標楷體"/>
              </w:rPr>
            </w:pPr>
            <w:r w:rsidRPr="00D64819">
              <w:rPr>
                <w:rFonts w:hAnsi="標楷體" w:hint="eastAsia"/>
                <w:spacing w:val="-20"/>
              </w:rPr>
              <w:t>臺灣花蓮地方法院</w:t>
            </w:r>
          </w:p>
        </w:tc>
        <w:tc>
          <w:tcPr>
            <w:tcW w:w="1281" w:type="pct"/>
            <w:vAlign w:val="center"/>
          </w:tcPr>
          <w:p w:rsidR="00EB5E57" w:rsidRPr="00D64819" w:rsidRDefault="00EB5E57" w:rsidP="007D288F">
            <w:pPr>
              <w:pStyle w:val="121"/>
              <w:snapToGrid/>
              <w:spacing w:line="280" w:lineRule="exact"/>
              <w:rPr>
                <w:rFonts w:hAnsi="標楷體"/>
              </w:rPr>
            </w:pPr>
            <w:proofErr w:type="gramStart"/>
            <w:r w:rsidRPr="00D64819">
              <w:rPr>
                <w:rFonts w:hAnsi="標楷體"/>
              </w:rPr>
              <w:t>100</w:t>
            </w:r>
            <w:r w:rsidRPr="00D64819">
              <w:rPr>
                <w:rFonts w:hAnsi="標楷體" w:hint="eastAsia"/>
              </w:rPr>
              <w:t>年度賠字第</w:t>
            </w:r>
            <w:r w:rsidRPr="00D64819">
              <w:rPr>
                <w:rFonts w:hAnsi="標楷體"/>
              </w:rPr>
              <w:t>5</w:t>
            </w:r>
            <w:r w:rsidRPr="00D64819">
              <w:rPr>
                <w:rFonts w:hAnsi="標楷體" w:hint="eastAsia"/>
              </w:rPr>
              <w:t>號</w:t>
            </w:r>
            <w:proofErr w:type="gramEnd"/>
          </w:p>
        </w:tc>
        <w:tc>
          <w:tcPr>
            <w:tcW w:w="758"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lang w:eastAsia="zh-HK"/>
              </w:rPr>
              <w:t>否</w:t>
            </w:r>
          </w:p>
        </w:tc>
        <w:tc>
          <w:tcPr>
            <w:tcW w:w="885" w:type="pct"/>
            <w:vAlign w:val="center"/>
          </w:tcPr>
          <w:p w:rsidR="00EB5E57" w:rsidRPr="00D64819" w:rsidRDefault="00EB5E57" w:rsidP="007D288F">
            <w:pPr>
              <w:pStyle w:val="121"/>
              <w:snapToGrid/>
              <w:spacing w:line="280" w:lineRule="exact"/>
              <w:jc w:val="center"/>
              <w:rPr>
                <w:rFonts w:hAnsi="標楷體"/>
                <w:lang w:eastAsia="zh-HK"/>
              </w:rPr>
            </w:pPr>
            <w:r w:rsidRPr="00D64819">
              <w:rPr>
                <w:rFonts w:hAnsi="標楷體" w:hint="eastAsia"/>
                <w:b/>
                <w:lang w:eastAsia="zh-HK"/>
              </w:rPr>
              <w:t>是</w:t>
            </w:r>
          </w:p>
        </w:tc>
        <w:tc>
          <w:tcPr>
            <w:tcW w:w="996" w:type="pct"/>
            <w:vAlign w:val="center"/>
          </w:tcPr>
          <w:p w:rsidR="00EB5E57" w:rsidRPr="00D64819" w:rsidRDefault="00EB5E57" w:rsidP="007D288F">
            <w:pPr>
              <w:pStyle w:val="121"/>
              <w:snapToGrid/>
              <w:spacing w:line="280" w:lineRule="exact"/>
              <w:jc w:val="center"/>
              <w:rPr>
                <w:rFonts w:hAnsi="標楷體"/>
              </w:rPr>
            </w:pPr>
            <w:r w:rsidRPr="00D64819">
              <w:rPr>
                <w:rFonts w:hAnsi="標楷體" w:hint="eastAsia"/>
                <w:b/>
                <w:lang w:eastAsia="zh-HK"/>
              </w:rPr>
              <w:t>是</w:t>
            </w:r>
          </w:p>
        </w:tc>
      </w:tr>
    </w:tbl>
    <w:p w:rsidR="00EB5E57" w:rsidRPr="00D64819" w:rsidRDefault="00EB5E57" w:rsidP="00F709B1">
      <w:pPr>
        <w:pStyle w:val="aff1"/>
        <w:spacing w:line="430" w:lineRule="exact"/>
        <w:jc w:val="both"/>
        <w:rPr>
          <w:rFonts w:ascii="標楷體" w:eastAsia="標楷體" w:hAnsi="標楷體"/>
          <w:szCs w:val="24"/>
        </w:rPr>
      </w:pPr>
      <w:r w:rsidRPr="00D64819">
        <w:rPr>
          <w:rFonts w:ascii="標楷體" w:eastAsia="標楷體" w:hAnsi="標楷體" w:hint="eastAsia"/>
          <w:szCs w:val="24"/>
        </w:rPr>
        <w:t>資料來源：本院整理自</w:t>
      </w:r>
      <w:proofErr w:type="gramStart"/>
      <w:r w:rsidRPr="00D64819">
        <w:rPr>
          <w:rFonts w:ascii="標楷體" w:eastAsia="標楷體" w:hAnsi="標楷體" w:hint="eastAsia"/>
          <w:szCs w:val="24"/>
          <w:lang w:eastAsia="zh-HK"/>
        </w:rPr>
        <w:t>審計部函復</w:t>
      </w:r>
      <w:proofErr w:type="gramEnd"/>
      <w:r w:rsidRPr="00D64819">
        <w:rPr>
          <w:rFonts w:ascii="標楷體" w:eastAsia="標楷體" w:hAnsi="標楷體" w:hint="eastAsia"/>
          <w:szCs w:val="24"/>
        </w:rPr>
        <w:t>司法院提供資料。</w:t>
      </w:r>
    </w:p>
    <w:p w:rsidR="00EB5E57" w:rsidRPr="00D64819" w:rsidRDefault="00EB5E57" w:rsidP="00F709B1">
      <w:pPr>
        <w:pStyle w:val="3"/>
        <w:rPr>
          <w:rFonts w:hAnsi="標楷體"/>
          <w:szCs w:val="32"/>
        </w:rPr>
      </w:pPr>
      <w:r w:rsidRPr="00D64819">
        <w:rPr>
          <w:rFonts w:hAnsi="標楷體" w:hint="eastAsia"/>
          <w:szCs w:val="32"/>
          <w:lang w:eastAsia="zh-HK"/>
        </w:rPr>
        <w:t>次查，法務部對檢察機關辦理刑事補償業務之管控情形，據該部提供</w:t>
      </w:r>
      <w:r w:rsidRPr="00D64819">
        <w:rPr>
          <w:rFonts w:hAnsi="標楷體"/>
          <w:szCs w:val="32"/>
          <w:lang w:eastAsia="zh-HK"/>
        </w:rPr>
        <w:t>本院詢問</w:t>
      </w:r>
      <w:r w:rsidRPr="00D64819">
        <w:rPr>
          <w:rFonts w:hAnsi="標楷體" w:hint="eastAsia"/>
          <w:szCs w:val="32"/>
          <w:lang w:eastAsia="zh-HK"/>
        </w:rPr>
        <w:t>時之書面說明：「1、依『</w:t>
      </w:r>
      <w:r w:rsidRPr="00D64819">
        <w:rPr>
          <w:rFonts w:hAnsi="標楷體"/>
          <w:szCs w:val="32"/>
          <w:lang w:eastAsia="zh-HK"/>
        </w:rPr>
        <w:t>檢察案件編號計數分</w:t>
      </w:r>
      <w:proofErr w:type="gramStart"/>
      <w:r w:rsidRPr="00D64819">
        <w:rPr>
          <w:rFonts w:hAnsi="標楷體"/>
          <w:szCs w:val="32"/>
          <w:lang w:eastAsia="zh-HK"/>
        </w:rPr>
        <w:t>案報結實施</w:t>
      </w:r>
      <w:proofErr w:type="gramEnd"/>
      <w:r w:rsidRPr="00D64819">
        <w:rPr>
          <w:rFonts w:hAnsi="標楷體"/>
          <w:szCs w:val="32"/>
          <w:lang w:eastAsia="zh-HK"/>
        </w:rPr>
        <w:t>要點</w:t>
      </w:r>
      <w:r w:rsidRPr="00D64819">
        <w:rPr>
          <w:rFonts w:hAnsi="標楷體" w:hint="eastAsia"/>
          <w:szCs w:val="32"/>
          <w:lang w:eastAsia="zh-HK"/>
        </w:rPr>
        <w:t>』第</w:t>
      </w:r>
      <w:r w:rsidRPr="00D64819">
        <w:rPr>
          <w:rFonts w:hAnsi="標楷體"/>
          <w:szCs w:val="32"/>
          <w:lang w:eastAsia="zh-HK"/>
        </w:rPr>
        <w:t>8</w:t>
      </w:r>
      <w:r w:rsidRPr="00D64819">
        <w:rPr>
          <w:rFonts w:hAnsi="標楷體" w:hint="eastAsia"/>
          <w:szCs w:val="32"/>
          <w:lang w:eastAsia="zh-HK"/>
        </w:rPr>
        <w:t>點規定：</w:t>
      </w:r>
      <w:r w:rsidRPr="00D64819">
        <w:rPr>
          <w:rFonts w:hAnsi="標楷體"/>
          <w:szCs w:val="32"/>
          <w:lang w:eastAsia="zh-HK"/>
        </w:rPr>
        <w:t>刑事補償業務卷宗號數，</w:t>
      </w:r>
      <w:r w:rsidRPr="00D64819">
        <w:rPr>
          <w:rFonts w:hAnsi="標楷體"/>
        </w:rPr>
        <w:t>依事件之種類，於號數上冠以字樣如下：（</w:t>
      </w:r>
      <w:r w:rsidRPr="00D64819">
        <w:rPr>
          <w:rFonts w:hAnsi="標楷體" w:hint="eastAsia"/>
        </w:rPr>
        <w:t>1</w:t>
      </w:r>
      <w:r w:rsidRPr="00D64819">
        <w:rPr>
          <w:rFonts w:hAnsi="標楷體"/>
        </w:rPr>
        <w:t>）依刑事補償法請求賠償之事件：『</w:t>
      </w:r>
      <w:proofErr w:type="gramStart"/>
      <w:r w:rsidRPr="00D64819">
        <w:rPr>
          <w:rFonts w:hAnsi="標楷體"/>
        </w:rPr>
        <w:t>刑補</w:t>
      </w:r>
      <w:proofErr w:type="gramEnd"/>
      <w:r w:rsidRPr="00D64819">
        <w:rPr>
          <w:rFonts w:hAnsi="標楷體"/>
        </w:rPr>
        <w:t>』。（</w:t>
      </w:r>
      <w:r w:rsidRPr="00D64819">
        <w:rPr>
          <w:rFonts w:hAnsi="標楷體" w:hint="eastAsia"/>
        </w:rPr>
        <w:t>2</w:t>
      </w:r>
      <w:r w:rsidRPr="00D64819">
        <w:rPr>
          <w:rFonts w:hAnsi="標楷體"/>
        </w:rPr>
        <w:t>）請求人就刑事補償決定不服或最高檢察署依職權</w:t>
      </w:r>
      <w:proofErr w:type="gramStart"/>
      <w:r w:rsidRPr="00D64819">
        <w:rPr>
          <w:rFonts w:hAnsi="標楷體"/>
        </w:rPr>
        <w:t>聲請覆審</w:t>
      </w:r>
      <w:proofErr w:type="gramEnd"/>
      <w:r w:rsidRPr="00D64819">
        <w:rPr>
          <w:rFonts w:hAnsi="標楷體"/>
        </w:rPr>
        <w:t>之事件：『</w:t>
      </w:r>
      <w:proofErr w:type="gramStart"/>
      <w:r w:rsidRPr="00D64819">
        <w:rPr>
          <w:rFonts w:hAnsi="標楷體"/>
        </w:rPr>
        <w:t>刑補議</w:t>
      </w:r>
      <w:proofErr w:type="gramEnd"/>
      <w:r w:rsidRPr="00D64819">
        <w:rPr>
          <w:rFonts w:hAnsi="標楷體"/>
        </w:rPr>
        <w:t>』。（</w:t>
      </w:r>
      <w:r w:rsidRPr="00D64819">
        <w:rPr>
          <w:rFonts w:hAnsi="標楷體" w:hint="eastAsia"/>
        </w:rPr>
        <w:t>3</w:t>
      </w:r>
      <w:r w:rsidRPr="00D64819">
        <w:rPr>
          <w:rFonts w:hAnsi="標楷體"/>
        </w:rPr>
        <w:t>）請求人、法定代理人或法定繼承人依刑事補償法第</w:t>
      </w:r>
      <w:r w:rsidRPr="00D64819">
        <w:rPr>
          <w:rFonts w:hAnsi="標楷體" w:hint="eastAsia"/>
        </w:rPr>
        <w:t>21</w:t>
      </w:r>
      <w:r w:rsidRPr="00D64819">
        <w:rPr>
          <w:rFonts w:hAnsi="標楷體"/>
        </w:rPr>
        <w:t>條規定聲請重審之事件：『</w:t>
      </w:r>
      <w:proofErr w:type="gramStart"/>
      <w:r w:rsidRPr="00D64819">
        <w:rPr>
          <w:rFonts w:hAnsi="標楷體"/>
        </w:rPr>
        <w:t>刑補重</w:t>
      </w:r>
      <w:proofErr w:type="gramEnd"/>
      <w:r w:rsidRPr="00D64819">
        <w:rPr>
          <w:rFonts w:hAnsi="標楷體"/>
        </w:rPr>
        <w:t>』。（</w:t>
      </w:r>
      <w:r w:rsidRPr="00D64819">
        <w:rPr>
          <w:rFonts w:hAnsi="標楷體" w:hint="eastAsia"/>
        </w:rPr>
        <w:t>4</w:t>
      </w:r>
      <w:r w:rsidRPr="00D64819">
        <w:rPr>
          <w:rFonts w:hAnsi="標楷體"/>
        </w:rPr>
        <w:t>）最高檢察署審核補償決定有無不應補償而補償之案件：『</w:t>
      </w:r>
      <w:proofErr w:type="gramStart"/>
      <w:r w:rsidRPr="00D64819">
        <w:rPr>
          <w:rFonts w:hAnsi="標楷體"/>
        </w:rPr>
        <w:t>刑補審</w:t>
      </w:r>
      <w:proofErr w:type="gramEnd"/>
      <w:r w:rsidRPr="00D64819">
        <w:rPr>
          <w:rFonts w:hAnsi="標楷體"/>
        </w:rPr>
        <w:t>』。（</w:t>
      </w:r>
      <w:r w:rsidRPr="00D64819">
        <w:rPr>
          <w:rFonts w:hAnsi="標楷體" w:hint="eastAsia"/>
        </w:rPr>
        <w:t>5</w:t>
      </w:r>
      <w:r w:rsidRPr="00D64819">
        <w:rPr>
          <w:rFonts w:hAnsi="標楷體"/>
        </w:rPr>
        <w:t>）補償機關依刑事補償法第</w:t>
      </w:r>
      <w:r w:rsidRPr="00D64819">
        <w:rPr>
          <w:rFonts w:hAnsi="標楷體" w:hint="eastAsia"/>
        </w:rPr>
        <w:t>34</w:t>
      </w:r>
      <w:r w:rsidRPr="00D64819">
        <w:rPr>
          <w:rFonts w:hAnsi="標楷體"/>
        </w:rPr>
        <w:t>條第</w:t>
      </w:r>
      <w:r w:rsidRPr="00D64819">
        <w:rPr>
          <w:rFonts w:hAnsi="標楷體" w:hint="eastAsia"/>
        </w:rPr>
        <w:t>2</w:t>
      </w:r>
      <w:r w:rsidRPr="00D64819">
        <w:rPr>
          <w:rFonts w:hAnsi="標楷體"/>
        </w:rPr>
        <w:t>項規定向公務員行使求償權之事件：『刑補償』。</w:t>
      </w:r>
      <w:r w:rsidRPr="00D64819">
        <w:rPr>
          <w:rFonts w:hAnsi="標楷體" w:hint="eastAsia"/>
        </w:rPr>
        <w:t>2、依上開事件之種類分案後，有關</w:t>
      </w:r>
      <w:r w:rsidRPr="00D64819">
        <w:rPr>
          <w:rFonts w:hAnsi="標楷體"/>
        </w:rPr>
        <w:t>案件進行之</w:t>
      </w:r>
      <w:r w:rsidRPr="00D64819">
        <w:rPr>
          <w:rFonts w:hAnsi="標楷體" w:hint="eastAsia"/>
        </w:rPr>
        <w:t>期限、</w:t>
      </w:r>
      <w:proofErr w:type="gramStart"/>
      <w:r w:rsidRPr="00D64819">
        <w:rPr>
          <w:rFonts w:hAnsi="標楷體"/>
        </w:rPr>
        <w:t>稽</w:t>
      </w:r>
      <w:proofErr w:type="gramEnd"/>
      <w:r w:rsidRPr="00D64819">
        <w:rPr>
          <w:rFonts w:hAnsi="標楷體"/>
        </w:rPr>
        <w:t>催</w:t>
      </w:r>
      <w:r w:rsidRPr="00D64819">
        <w:rPr>
          <w:rFonts w:hAnsi="標楷體" w:hint="eastAsia"/>
        </w:rPr>
        <w:t>，依本部頒行之『</w:t>
      </w:r>
      <w:r w:rsidRPr="00D64819">
        <w:rPr>
          <w:rFonts w:hAnsi="標楷體"/>
        </w:rPr>
        <w:t>檢察機關辦案期限及防止</w:t>
      </w:r>
      <w:proofErr w:type="gramStart"/>
      <w:r w:rsidRPr="00D64819">
        <w:rPr>
          <w:rFonts w:hAnsi="標楷體"/>
        </w:rPr>
        <w:t>稽</w:t>
      </w:r>
      <w:proofErr w:type="gramEnd"/>
      <w:r w:rsidRPr="00D64819">
        <w:rPr>
          <w:rFonts w:hAnsi="標楷體"/>
        </w:rPr>
        <w:t>延實施要點</w:t>
      </w:r>
      <w:r w:rsidRPr="00D64819">
        <w:rPr>
          <w:rFonts w:hAnsi="標楷體" w:hint="eastAsia"/>
        </w:rPr>
        <w:t>』規定辦理。」</w:t>
      </w:r>
      <w:r w:rsidRPr="00D64819">
        <w:rPr>
          <w:rFonts w:hAnsi="標楷體" w:hint="eastAsia"/>
          <w:bCs w:val="0"/>
          <w:lang w:eastAsia="zh-HK"/>
        </w:rPr>
        <w:t>又</w:t>
      </w:r>
      <w:proofErr w:type="gramStart"/>
      <w:r w:rsidRPr="00D64819">
        <w:rPr>
          <w:rFonts w:hAnsi="標楷體" w:hint="eastAsia"/>
          <w:bCs w:val="0"/>
          <w:lang w:eastAsia="zh-HK"/>
        </w:rPr>
        <w:t>詢</w:t>
      </w:r>
      <w:proofErr w:type="gramEnd"/>
      <w:r w:rsidRPr="00D64819">
        <w:rPr>
          <w:rFonts w:hAnsi="標楷體" w:hint="eastAsia"/>
          <w:bCs w:val="0"/>
          <w:lang w:eastAsia="zh-HK"/>
        </w:rPr>
        <w:t>據法務部檢察司相關人員表示</w:t>
      </w:r>
      <w:r w:rsidRPr="00D64819">
        <w:rPr>
          <w:rFonts w:hAnsi="標楷體" w:hint="eastAsia"/>
        </w:rPr>
        <w:t>：「本部</w:t>
      </w:r>
      <w:r w:rsidRPr="00D64819">
        <w:rPr>
          <w:rFonts w:hAnsi="標楷體" w:hint="eastAsia"/>
          <w:lang w:eastAsia="zh-HK"/>
        </w:rPr>
        <w:t>有</w:t>
      </w:r>
      <w:proofErr w:type="gramStart"/>
      <w:r w:rsidRPr="00D64819">
        <w:rPr>
          <w:rFonts w:hAnsi="標楷體" w:hint="eastAsia"/>
          <w:szCs w:val="32"/>
        </w:rPr>
        <w:t>逐案管控</w:t>
      </w:r>
      <w:proofErr w:type="gramEnd"/>
      <w:r w:rsidRPr="00D64819">
        <w:rPr>
          <w:rFonts w:hAnsi="標楷體" w:hint="eastAsia"/>
          <w:szCs w:val="32"/>
        </w:rPr>
        <w:t>刑事補償事件</w:t>
      </w:r>
      <w:r w:rsidRPr="00D64819">
        <w:rPr>
          <w:rFonts w:hAnsi="標楷體" w:hint="eastAsia"/>
          <w:lang w:eastAsia="zh-HK"/>
        </w:rPr>
        <w:t>辦理情形</w:t>
      </w:r>
      <w:r w:rsidRPr="00D64819">
        <w:rPr>
          <w:rFonts w:hAnsi="標楷體" w:hint="eastAsia"/>
          <w:szCs w:val="32"/>
        </w:rPr>
        <w:t>，</w:t>
      </w:r>
      <w:r w:rsidRPr="00D64819">
        <w:rPr>
          <w:rFonts w:hAnsi="標楷體" w:hint="eastAsia"/>
          <w:lang w:eastAsia="zh-HK"/>
        </w:rPr>
        <w:t>如</w:t>
      </w:r>
      <w:r w:rsidRPr="00D64819">
        <w:rPr>
          <w:rFonts w:hAnsi="標楷體" w:hint="eastAsia"/>
        </w:rPr>
        <w:t>依『</w:t>
      </w:r>
      <w:r w:rsidRPr="00D64819">
        <w:rPr>
          <w:rFonts w:hAnsi="標楷體"/>
        </w:rPr>
        <w:t>檢察案件編號計數分</w:t>
      </w:r>
      <w:proofErr w:type="gramStart"/>
      <w:r w:rsidRPr="00D64819">
        <w:rPr>
          <w:rFonts w:hAnsi="標楷體"/>
        </w:rPr>
        <w:t>案報結實施</w:t>
      </w:r>
      <w:proofErr w:type="gramEnd"/>
      <w:r w:rsidRPr="00D64819">
        <w:rPr>
          <w:rFonts w:hAnsi="標楷體"/>
        </w:rPr>
        <w:t>要點</w:t>
      </w:r>
      <w:r w:rsidRPr="00D64819">
        <w:rPr>
          <w:rFonts w:hAnsi="標楷體" w:hint="eastAsia"/>
        </w:rPr>
        <w:t>』規定，</w:t>
      </w:r>
      <w:r w:rsidRPr="00D64819">
        <w:rPr>
          <w:rFonts w:hAnsi="標楷體"/>
        </w:rPr>
        <w:t>『</w:t>
      </w:r>
      <w:proofErr w:type="gramStart"/>
      <w:r w:rsidRPr="00D64819">
        <w:rPr>
          <w:rFonts w:hAnsi="標楷體"/>
        </w:rPr>
        <w:t>刑補</w:t>
      </w:r>
      <w:proofErr w:type="gramEnd"/>
      <w:r w:rsidRPr="00D64819">
        <w:rPr>
          <w:rFonts w:hAnsi="標楷體"/>
        </w:rPr>
        <w:t>』案件</w:t>
      </w:r>
      <w:r w:rsidRPr="00D64819">
        <w:rPr>
          <w:rFonts w:hAnsi="標楷體" w:hint="eastAsia"/>
          <w:lang w:eastAsia="zh-HK"/>
        </w:rPr>
        <w:t>須3個月內結案，經統計108年</w:t>
      </w:r>
      <w:r w:rsidRPr="00D64819">
        <w:rPr>
          <w:rFonts w:hAnsi="標楷體"/>
        </w:rPr>
        <w:t>『</w:t>
      </w:r>
      <w:proofErr w:type="gramStart"/>
      <w:r w:rsidRPr="00D64819">
        <w:rPr>
          <w:rFonts w:hAnsi="標楷體"/>
          <w:lang w:eastAsia="zh-HK"/>
        </w:rPr>
        <w:t>刑補</w:t>
      </w:r>
      <w:proofErr w:type="gramEnd"/>
      <w:r w:rsidRPr="00D64819">
        <w:rPr>
          <w:rFonts w:hAnsi="標楷體"/>
          <w:lang w:eastAsia="zh-HK"/>
        </w:rPr>
        <w:t>』案件</w:t>
      </w:r>
      <w:r w:rsidRPr="00D64819">
        <w:rPr>
          <w:rFonts w:hAnsi="標楷體" w:hint="eastAsia"/>
          <w:lang w:eastAsia="zh-HK"/>
        </w:rPr>
        <w:t>平均結案日數約76.84日</w:t>
      </w:r>
      <w:r w:rsidRPr="00D64819">
        <w:rPr>
          <w:rFonts w:hAnsi="標楷體"/>
          <w:lang w:eastAsia="zh-HK"/>
        </w:rPr>
        <w:t>。</w:t>
      </w:r>
      <w:r w:rsidRPr="00D64819">
        <w:rPr>
          <w:rFonts w:hAnsi="標楷體" w:hint="eastAsia"/>
          <w:lang w:eastAsia="zh-HK"/>
        </w:rPr>
        <w:t>」本院為進一步瞭解法務部對檢察機關辦理刑事補償事件業務之掌握情形，參</w:t>
      </w:r>
      <w:proofErr w:type="gramStart"/>
      <w:r w:rsidRPr="00D64819">
        <w:rPr>
          <w:rFonts w:hAnsi="標楷體" w:hint="eastAsia"/>
          <w:lang w:eastAsia="zh-HK"/>
        </w:rPr>
        <w:t>採</w:t>
      </w:r>
      <w:proofErr w:type="gramEnd"/>
      <w:r w:rsidRPr="00D64819">
        <w:rPr>
          <w:rFonts w:hAnsi="標楷體" w:hint="eastAsia"/>
          <w:lang w:eastAsia="zh-HK"/>
        </w:rPr>
        <w:t>司法院相關業務統計資訊，函請法</w:t>
      </w:r>
      <w:r w:rsidRPr="00D64819">
        <w:rPr>
          <w:rFonts w:hAnsi="標楷體" w:hint="eastAsia"/>
          <w:lang w:eastAsia="zh-HK"/>
        </w:rPr>
        <w:lastRenderedPageBreak/>
        <w:t>務部提供地方檢察署准許刑事補償事件之請求補償原因</w:t>
      </w:r>
      <w:proofErr w:type="gramStart"/>
      <w:r w:rsidRPr="00D64819">
        <w:rPr>
          <w:rFonts w:hAnsi="標楷體" w:hint="eastAsia"/>
          <w:lang w:eastAsia="zh-HK"/>
        </w:rPr>
        <w:t>（</w:t>
      </w:r>
      <w:proofErr w:type="gramEnd"/>
      <w:r w:rsidRPr="00D64819">
        <w:rPr>
          <w:rFonts w:hAnsi="標楷體" w:hint="eastAsia"/>
          <w:lang w:eastAsia="zh-HK"/>
        </w:rPr>
        <w:t>包含：屬於</w:t>
      </w:r>
      <w:r w:rsidRPr="00D64819">
        <w:rPr>
          <w:rFonts w:hAnsi="標楷體"/>
          <w:lang w:eastAsia="zh-HK"/>
        </w:rPr>
        <w:t>刑事補償法第1條第1款</w:t>
      </w:r>
      <w:r w:rsidRPr="00D64819">
        <w:rPr>
          <w:rFonts w:hAnsi="標楷體" w:hint="eastAsia"/>
          <w:lang w:eastAsia="zh-HK"/>
        </w:rPr>
        <w:t>所定補償原因之件數、屬於同</w:t>
      </w:r>
      <w:r w:rsidRPr="00D64819">
        <w:rPr>
          <w:rFonts w:hAnsi="標楷體"/>
          <w:lang w:eastAsia="zh-HK"/>
        </w:rPr>
        <w:t>法第2條第1款</w:t>
      </w:r>
      <w:r w:rsidRPr="00D64819">
        <w:rPr>
          <w:rFonts w:hAnsi="標楷體" w:hint="eastAsia"/>
          <w:lang w:eastAsia="zh-HK"/>
        </w:rPr>
        <w:t>所定補償原因之件數等</w:t>
      </w:r>
      <w:proofErr w:type="gramStart"/>
      <w:r w:rsidRPr="00D64819">
        <w:rPr>
          <w:rFonts w:hAnsi="標楷體" w:hint="eastAsia"/>
          <w:lang w:eastAsia="zh-HK"/>
        </w:rPr>
        <w:t>）</w:t>
      </w:r>
      <w:proofErr w:type="gramEnd"/>
      <w:r w:rsidRPr="00D64819">
        <w:rPr>
          <w:rFonts w:hAnsi="標楷體" w:hint="eastAsia"/>
          <w:lang w:eastAsia="zh-HK"/>
        </w:rPr>
        <w:t>、司法院刑事補償法庭受理檢察機關刑事補償事件之終結情形</w:t>
      </w:r>
      <w:proofErr w:type="gramStart"/>
      <w:r w:rsidRPr="00D64819">
        <w:rPr>
          <w:rFonts w:hAnsi="標楷體" w:hint="eastAsia"/>
          <w:lang w:eastAsia="zh-HK"/>
        </w:rPr>
        <w:t>（</w:t>
      </w:r>
      <w:proofErr w:type="gramEnd"/>
      <w:r w:rsidRPr="00D64819">
        <w:rPr>
          <w:rFonts w:hAnsi="標楷體" w:hint="eastAsia"/>
          <w:lang w:eastAsia="zh-HK"/>
        </w:rPr>
        <w:t>包含：</w:t>
      </w:r>
      <w:r w:rsidRPr="00D64819">
        <w:rPr>
          <w:rFonts w:hAnsi="標楷體"/>
          <w:lang w:eastAsia="zh-HK"/>
        </w:rPr>
        <w:t>維持原決定不予補償</w:t>
      </w:r>
      <w:r w:rsidRPr="00D64819">
        <w:rPr>
          <w:rFonts w:hAnsi="標楷體" w:hint="eastAsia"/>
          <w:lang w:eastAsia="zh-HK"/>
        </w:rPr>
        <w:t>之件數、</w:t>
      </w:r>
      <w:r w:rsidRPr="00D64819">
        <w:rPr>
          <w:rFonts w:hAnsi="標楷體"/>
        </w:rPr>
        <w:t>原決定撤銷</w:t>
      </w:r>
      <w:r w:rsidRPr="00D64819">
        <w:rPr>
          <w:rFonts w:hAnsi="標楷體" w:hint="eastAsia"/>
          <w:lang w:eastAsia="zh-HK"/>
        </w:rPr>
        <w:t>之件數等</w:t>
      </w:r>
      <w:proofErr w:type="gramStart"/>
      <w:r w:rsidRPr="00D64819">
        <w:rPr>
          <w:rFonts w:hAnsi="標楷體" w:hint="eastAsia"/>
          <w:szCs w:val="32"/>
          <w:lang w:eastAsia="zh-HK"/>
        </w:rPr>
        <w:t>）</w:t>
      </w:r>
      <w:proofErr w:type="gramEnd"/>
      <w:r w:rsidRPr="00D64819">
        <w:rPr>
          <w:rFonts w:hAnsi="標楷體" w:hint="eastAsia"/>
          <w:szCs w:val="32"/>
          <w:lang w:eastAsia="zh-HK"/>
        </w:rPr>
        <w:t>，</w:t>
      </w:r>
      <w:r w:rsidRPr="00D64819">
        <w:rPr>
          <w:rFonts w:hAnsi="標楷體" w:hint="eastAsia"/>
          <w:szCs w:val="32"/>
        </w:rPr>
        <w:t>以及檢察機關辦理刑事補償事件最終確定件數等統計資料，據該</w:t>
      </w:r>
      <w:proofErr w:type="gramStart"/>
      <w:r w:rsidRPr="00D64819">
        <w:rPr>
          <w:rFonts w:hAnsi="標楷體" w:hint="eastAsia"/>
          <w:szCs w:val="32"/>
        </w:rPr>
        <w:t>部函復</w:t>
      </w:r>
      <w:r w:rsidRPr="00D64819">
        <w:rPr>
          <w:rFonts w:hAnsi="標楷體" w:hint="eastAsia"/>
          <w:szCs w:val="32"/>
          <w:lang w:eastAsia="zh-HK"/>
        </w:rPr>
        <w:t>本</w:t>
      </w:r>
      <w:proofErr w:type="gramEnd"/>
      <w:r w:rsidRPr="00D64819">
        <w:rPr>
          <w:rFonts w:hAnsi="標楷體" w:hint="eastAsia"/>
          <w:szCs w:val="32"/>
          <w:lang w:eastAsia="zh-HK"/>
        </w:rPr>
        <w:t>院</w:t>
      </w:r>
      <w:r w:rsidRPr="00D64819">
        <w:rPr>
          <w:rFonts w:hAnsi="標楷體" w:hint="eastAsia"/>
          <w:szCs w:val="32"/>
        </w:rPr>
        <w:t>略</w:t>
      </w:r>
      <w:proofErr w:type="gramStart"/>
      <w:r w:rsidRPr="00D64819">
        <w:rPr>
          <w:rFonts w:hAnsi="標楷體" w:hint="eastAsia"/>
          <w:szCs w:val="32"/>
        </w:rPr>
        <w:t>以</w:t>
      </w:r>
      <w:proofErr w:type="gramEnd"/>
      <w:r w:rsidRPr="00D64819">
        <w:rPr>
          <w:rFonts w:hAnsi="標楷體" w:hint="eastAsia"/>
          <w:szCs w:val="32"/>
        </w:rPr>
        <w:t>：「</w:t>
      </w:r>
      <w:r w:rsidRPr="00D64819">
        <w:rPr>
          <w:rFonts w:hAnsi="標楷體"/>
          <w:szCs w:val="32"/>
        </w:rPr>
        <w:t>『</w:t>
      </w:r>
      <w:proofErr w:type="gramStart"/>
      <w:r w:rsidRPr="00D64819">
        <w:rPr>
          <w:rFonts w:hAnsi="標楷體" w:hint="eastAsia"/>
          <w:szCs w:val="32"/>
        </w:rPr>
        <w:t>101</w:t>
      </w:r>
      <w:proofErr w:type="gramEnd"/>
      <w:r w:rsidRPr="00D64819">
        <w:rPr>
          <w:rFonts w:hAnsi="標楷體" w:hint="eastAsia"/>
          <w:szCs w:val="32"/>
        </w:rPr>
        <w:t>年度至</w:t>
      </w:r>
      <w:proofErr w:type="gramStart"/>
      <w:r w:rsidRPr="00D64819">
        <w:rPr>
          <w:rFonts w:hAnsi="標楷體" w:hint="eastAsia"/>
          <w:szCs w:val="32"/>
        </w:rPr>
        <w:t>107</w:t>
      </w:r>
      <w:proofErr w:type="gramEnd"/>
      <w:r w:rsidRPr="00D64819">
        <w:rPr>
          <w:rFonts w:hAnsi="標楷體" w:hint="eastAsia"/>
          <w:szCs w:val="32"/>
        </w:rPr>
        <w:t>年度地方檢察署辦理刑事補償</w:t>
      </w:r>
      <w:proofErr w:type="gramStart"/>
      <w:r w:rsidRPr="00D64819">
        <w:rPr>
          <w:rFonts w:hAnsi="標楷體" w:hint="eastAsia"/>
          <w:szCs w:val="32"/>
        </w:rPr>
        <w:t>事件收結情形</w:t>
      </w:r>
      <w:proofErr w:type="gramEnd"/>
      <w:r w:rsidRPr="00D64819">
        <w:rPr>
          <w:rFonts w:hAnsi="標楷體"/>
          <w:szCs w:val="32"/>
        </w:rPr>
        <w:t>』</w:t>
      </w:r>
      <w:r w:rsidRPr="00D64819">
        <w:rPr>
          <w:rFonts w:hAnsi="標楷體" w:hint="eastAsia"/>
          <w:szCs w:val="32"/>
        </w:rPr>
        <w:t>之</w:t>
      </w:r>
      <w:r w:rsidRPr="00D64819">
        <w:rPr>
          <w:rFonts w:hAnsi="標楷體"/>
          <w:szCs w:val="32"/>
        </w:rPr>
        <w:t>『</w:t>
      </w:r>
      <w:r w:rsidRPr="00D64819">
        <w:rPr>
          <w:rFonts w:hAnsi="標楷體" w:hint="eastAsia"/>
          <w:szCs w:val="32"/>
        </w:rPr>
        <w:t>請求補償原因</w:t>
      </w:r>
      <w:r w:rsidRPr="00D64819">
        <w:rPr>
          <w:rFonts w:hAnsi="標楷體"/>
          <w:szCs w:val="32"/>
        </w:rPr>
        <w:t>』</w:t>
      </w:r>
      <w:r w:rsidRPr="00D64819">
        <w:rPr>
          <w:rFonts w:hAnsi="標楷體" w:hint="eastAsia"/>
          <w:szCs w:val="32"/>
        </w:rPr>
        <w:t>，因案件掛結時未列明，故無法提供」、「101至107年度司法院刑事補償法庭受理檢察機關刑事補償事件之終結情形，以及101至108年檢察機關辦理刑事補償事件最終確定件數等統計資料，</w:t>
      </w:r>
      <w:proofErr w:type="gramStart"/>
      <w:r w:rsidRPr="00D64819">
        <w:rPr>
          <w:rFonts w:hAnsi="標楷體" w:hint="eastAsia"/>
          <w:szCs w:val="32"/>
        </w:rPr>
        <w:t>均須向</w:t>
      </w:r>
      <w:proofErr w:type="gramEnd"/>
      <w:r w:rsidRPr="00D64819">
        <w:rPr>
          <w:rFonts w:hAnsi="標楷體" w:hint="eastAsia"/>
          <w:szCs w:val="32"/>
        </w:rPr>
        <w:t>法院調</w:t>
      </w:r>
      <w:proofErr w:type="gramStart"/>
      <w:r w:rsidRPr="00D64819">
        <w:rPr>
          <w:rFonts w:hAnsi="標楷體" w:hint="eastAsia"/>
          <w:szCs w:val="32"/>
        </w:rPr>
        <w:t>閱</w:t>
      </w:r>
      <w:proofErr w:type="gramEnd"/>
      <w:r w:rsidRPr="00D64819">
        <w:rPr>
          <w:rFonts w:hAnsi="標楷體" w:hint="eastAsia"/>
          <w:szCs w:val="32"/>
        </w:rPr>
        <w:t>。」</w:t>
      </w:r>
      <w:r w:rsidRPr="00D64819">
        <w:rPr>
          <w:rFonts w:hAnsi="標楷體" w:hint="eastAsia"/>
          <w:szCs w:val="32"/>
          <w:lang w:eastAsia="zh-HK"/>
        </w:rPr>
        <w:t>又</w:t>
      </w:r>
      <w:r w:rsidRPr="00D64819">
        <w:rPr>
          <w:rFonts w:hAnsi="標楷體" w:hint="eastAsia"/>
          <w:szCs w:val="32"/>
        </w:rPr>
        <w:t>據</w:t>
      </w:r>
      <w:proofErr w:type="gramStart"/>
      <w:r w:rsidRPr="00D64819">
        <w:rPr>
          <w:rFonts w:hAnsi="標楷體" w:hint="eastAsia"/>
          <w:szCs w:val="32"/>
        </w:rPr>
        <w:t>司法院查復</w:t>
      </w:r>
      <w:proofErr w:type="gramEnd"/>
      <w:r w:rsidRPr="00D64819">
        <w:rPr>
          <w:rFonts w:hAnsi="標楷體" w:hint="eastAsia"/>
          <w:szCs w:val="32"/>
        </w:rPr>
        <w:t>表示：「檢察機關收受司法院刑事補償法庭之覆審決定書，其應為如何之統計及考核，應為該管統計單位之權責，尚非本院職掌。」</w:t>
      </w:r>
      <w:r w:rsidRPr="00D64819">
        <w:rPr>
          <w:rFonts w:hAnsi="標楷體" w:hint="eastAsia"/>
          <w:szCs w:val="32"/>
          <w:lang w:eastAsia="zh-HK"/>
        </w:rPr>
        <w:t>足認</w:t>
      </w:r>
      <w:r w:rsidRPr="00D64819">
        <w:rPr>
          <w:rFonts w:hAnsi="標楷體" w:hint="eastAsia"/>
          <w:szCs w:val="32"/>
        </w:rPr>
        <w:t>法務部對檢察機關辦理刑事補償業務</w:t>
      </w:r>
      <w:r w:rsidRPr="00D64819">
        <w:rPr>
          <w:rFonts w:hAnsi="標楷體" w:hint="eastAsia"/>
          <w:szCs w:val="32"/>
          <w:lang w:eastAsia="zh-HK"/>
        </w:rPr>
        <w:t>之管理尚顯不足</w:t>
      </w:r>
      <w:r w:rsidRPr="00D64819">
        <w:rPr>
          <w:rFonts w:hAnsi="標楷體" w:hint="eastAsia"/>
          <w:szCs w:val="32"/>
        </w:rPr>
        <w:t>，實</w:t>
      </w:r>
      <w:proofErr w:type="gramStart"/>
      <w:r w:rsidRPr="00D64819">
        <w:rPr>
          <w:rFonts w:hAnsi="標楷體" w:hint="eastAsia"/>
          <w:szCs w:val="32"/>
        </w:rPr>
        <w:t>難謂周妥</w:t>
      </w:r>
      <w:proofErr w:type="gramEnd"/>
      <w:r w:rsidRPr="00D64819">
        <w:rPr>
          <w:rFonts w:hAnsi="標楷體" w:hint="eastAsia"/>
          <w:szCs w:val="32"/>
        </w:rPr>
        <w:t>。</w:t>
      </w:r>
    </w:p>
    <w:p w:rsidR="00EB5E57" w:rsidRPr="00D64819" w:rsidRDefault="00EB5E57" w:rsidP="00F709B1">
      <w:pPr>
        <w:pStyle w:val="3"/>
        <w:rPr>
          <w:rFonts w:hAnsi="標楷體"/>
          <w:szCs w:val="32"/>
          <w:lang w:eastAsia="zh-HK"/>
        </w:rPr>
      </w:pPr>
      <w:r w:rsidRPr="00D64819">
        <w:rPr>
          <w:rFonts w:hAnsi="標楷體" w:hint="eastAsia"/>
          <w:szCs w:val="32"/>
          <w:lang w:eastAsia="zh-HK"/>
        </w:rPr>
        <w:t>復查，</w:t>
      </w:r>
      <w:r w:rsidRPr="00D64819">
        <w:rPr>
          <w:rFonts w:hAnsi="標楷體" w:hint="eastAsia"/>
          <w:szCs w:val="20"/>
        </w:rPr>
        <w:t>軍事審判機關</w:t>
      </w:r>
      <w:r w:rsidRPr="00D64819">
        <w:rPr>
          <w:rFonts w:hAnsi="標楷體"/>
          <w:szCs w:val="32"/>
          <w:lang w:eastAsia="zh-HK"/>
        </w:rPr>
        <w:t>辦理刑事補償事件</w:t>
      </w:r>
      <w:r w:rsidRPr="00D64819">
        <w:rPr>
          <w:rFonts w:hAnsi="標楷體" w:hint="eastAsia"/>
          <w:szCs w:val="32"/>
          <w:lang w:eastAsia="zh-HK"/>
        </w:rPr>
        <w:t>之</w:t>
      </w:r>
      <w:r w:rsidRPr="00D64819">
        <w:rPr>
          <w:rFonts w:hAnsi="標楷體"/>
          <w:szCs w:val="32"/>
          <w:lang w:eastAsia="zh-HK"/>
        </w:rPr>
        <w:t>作業管制節點，</w:t>
      </w:r>
      <w:r w:rsidRPr="00D64819">
        <w:rPr>
          <w:rFonts w:hAnsi="標楷體" w:hint="eastAsia"/>
          <w:szCs w:val="32"/>
          <w:lang w:eastAsia="zh-HK"/>
        </w:rPr>
        <w:t>係依照</w:t>
      </w:r>
      <w:r w:rsidRPr="00D64819">
        <w:rPr>
          <w:rFonts w:hAnsi="標楷體" w:hint="eastAsia"/>
        </w:rPr>
        <w:t>刑事補償法</w:t>
      </w:r>
      <w:r w:rsidRPr="00D64819">
        <w:rPr>
          <w:rFonts w:hAnsi="標楷體" w:hint="eastAsia"/>
          <w:szCs w:val="32"/>
          <w:lang w:eastAsia="zh-HK"/>
        </w:rPr>
        <w:t>、</w:t>
      </w:r>
      <w:r w:rsidRPr="00D64819">
        <w:rPr>
          <w:rFonts w:hAnsi="標楷體"/>
        </w:rPr>
        <w:t>軍法案件造成刑事補償事件違失檢討作業要點</w:t>
      </w:r>
      <w:r w:rsidRPr="00D64819">
        <w:rPr>
          <w:rFonts w:hAnsi="標楷體" w:hint="eastAsia"/>
          <w:szCs w:val="32"/>
          <w:lang w:eastAsia="zh-HK"/>
        </w:rPr>
        <w:t>、</w:t>
      </w:r>
      <w:r w:rsidRPr="00D64819">
        <w:rPr>
          <w:rFonts w:hAnsi="標楷體"/>
        </w:rPr>
        <w:t>國防部各級軍事法院及檢察署辦理刑事補償事件求償作業要點</w:t>
      </w:r>
      <w:r w:rsidRPr="00D64819">
        <w:rPr>
          <w:rFonts w:hAnsi="標楷體" w:hint="eastAsia"/>
          <w:lang w:eastAsia="zh-HK"/>
        </w:rPr>
        <w:t>等規定辦理，</w:t>
      </w:r>
      <w:r w:rsidRPr="00D64819">
        <w:rPr>
          <w:rFonts w:hAnsi="標楷體" w:hint="eastAsia"/>
          <w:szCs w:val="32"/>
          <w:lang w:eastAsia="zh-HK"/>
        </w:rPr>
        <w:t>惟國防部</w:t>
      </w:r>
      <w:proofErr w:type="gramStart"/>
      <w:r w:rsidRPr="00D64819">
        <w:rPr>
          <w:rFonts w:hAnsi="標楷體" w:hint="eastAsia"/>
          <w:szCs w:val="32"/>
          <w:lang w:eastAsia="zh-HK"/>
        </w:rPr>
        <w:t>迨</w:t>
      </w:r>
      <w:proofErr w:type="gramEnd"/>
      <w:r w:rsidRPr="00D64819">
        <w:rPr>
          <w:rFonts w:hAnsi="標楷體" w:hint="eastAsia"/>
          <w:szCs w:val="32"/>
          <w:lang w:eastAsia="zh-HK"/>
        </w:rPr>
        <w:t>於本院調查後，始全面調卷清查</w:t>
      </w:r>
      <w:r w:rsidRPr="00D64819">
        <w:rPr>
          <w:rFonts w:hAnsi="標楷體"/>
          <w:szCs w:val="32"/>
          <w:lang w:eastAsia="zh-HK"/>
        </w:rPr>
        <w:t>101至108年</w:t>
      </w:r>
      <w:r w:rsidRPr="00D64819">
        <w:rPr>
          <w:rFonts w:hAnsi="標楷體" w:hint="eastAsia"/>
          <w:szCs w:val="32"/>
          <w:lang w:eastAsia="zh-HK"/>
        </w:rPr>
        <w:t>間刑事補償</w:t>
      </w:r>
      <w:r w:rsidRPr="00D64819">
        <w:rPr>
          <w:rFonts w:hAnsi="標楷體"/>
          <w:szCs w:val="32"/>
          <w:lang w:eastAsia="zh-HK"/>
        </w:rPr>
        <w:t>事件</w:t>
      </w:r>
      <w:r w:rsidRPr="00D64819">
        <w:rPr>
          <w:rFonts w:hAnsi="標楷體" w:hint="eastAsia"/>
          <w:szCs w:val="32"/>
          <w:lang w:eastAsia="zh-HK"/>
        </w:rPr>
        <w:t>業務控管之落實情形，相關作業缺失則包括</w:t>
      </w:r>
      <w:r w:rsidRPr="00D64819">
        <w:rPr>
          <w:rFonts w:hAnsi="標楷體" w:hint="eastAsia"/>
          <w:szCs w:val="32"/>
        </w:rPr>
        <w:t>：</w:t>
      </w:r>
      <w:r w:rsidRPr="00D64819">
        <w:rPr>
          <w:rFonts w:hAnsi="標楷體" w:hint="eastAsia"/>
          <w:szCs w:val="32"/>
          <w:lang w:eastAsia="zh-HK"/>
        </w:rPr>
        <w:t>決定書未依限送達補償請求人及最高檢察署、確定補償案件未依限通知召開求償審查會並將審查結果函送最高</w:t>
      </w:r>
      <w:r w:rsidRPr="00D64819">
        <w:rPr>
          <w:rFonts w:hAnsi="標楷體"/>
          <w:szCs w:val="32"/>
          <w:lang w:eastAsia="zh-HK"/>
        </w:rPr>
        <w:t>軍事法院</w:t>
      </w:r>
      <w:r w:rsidRPr="00D64819">
        <w:rPr>
          <w:rFonts w:hAnsi="標楷體" w:hint="eastAsia"/>
          <w:szCs w:val="32"/>
          <w:lang w:eastAsia="zh-HK"/>
        </w:rPr>
        <w:t>及最高</w:t>
      </w:r>
      <w:r w:rsidRPr="00D64819">
        <w:rPr>
          <w:rFonts w:hAnsi="標楷體"/>
          <w:szCs w:val="32"/>
          <w:lang w:eastAsia="zh-HK"/>
        </w:rPr>
        <w:t>軍事法院檢察署</w:t>
      </w:r>
      <w:r w:rsidRPr="00D64819">
        <w:rPr>
          <w:rFonts w:hAnsi="標楷體" w:hint="eastAsia"/>
          <w:szCs w:val="32"/>
          <w:lang w:eastAsia="zh-HK"/>
        </w:rPr>
        <w:t>等，分述如下：</w:t>
      </w:r>
    </w:p>
    <w:p w:rsidR="00EB5E57" w:rsidRPr="00D64819" w:rsidRDefault="00EB5E57" w:rsidP="00F709B1">
      <w:pPr>
        <w:pStyle w:val="4"/>
        <w:rPr>
          <w:rFonts w:hAnsi="標楷體"/>
          <w:sz w:val="36"/>
        </w:rPr>
      </w:pPr>
      <w:r w:rsidRPr="00D64819">
        <w:rPr>
          <w:rFonts w:hAnsi="標楷體" w:hint="eastAsia"/>
          <w:lang w:eastAsia="zh-HK"/>
        </w:rPr>
        <w:t>按</w:t>
      </w:r>
      <w:r w:rsidRPr="00D64819">
        <w:rPr>
          <w:rFonts w:hAnsi="標楷體" w:hint="eastAsia"/>
          <w:szCs w:val="32"/>
        </w:rPr>
        <w:t>刑事補償法第17條</w:t>
      </w:r>
      <w:r w:rsidRPr="00D64819">
        <w:rPr>
          <w:rFonts w:hAnsi="標楷體" w:hint="eastAsia"/>
        </w:rPr>
        <w:t>第2項</w:t>
      </w:r>
      <w:r w:rsidRPr="00D64819">
        <w:rPr>
          <w:rFonts w:hAnsi="標楷體" w:hint="eastAsia"/>
          <w:szCs w:val="32"/>
        </w:rPr>
        <w:t>規定，受理補償事件之機關，應於收到補償請求後3個月內，製作決定</w:t>
      </w:r>
      <w:r w:rsidRPr="00D64819">
        <w:rPr>
          <w:rFonts w:hAnsi="標楷體" w:hint="eastAsia"/>
          <w:szCs w:val="32"/>
        </w:rPr>
        <w:lastRenderedPageBreak/>
        <w:t>書，送達於最高檢察署及補償請求人。</w:t>
      </w:r>
      <w:r w:rsidRPr="00D64819">
        <w:rPr>
          <w:rFonts w:hAnsi="標楷體" w:hint="eastAsia"/>
          <w:szCs w:val="32"/>
          <w:lang w:eastAsia="zh-HK"/>
        </w:rPr>
        <w:t>據復，軍事審判機關101至108年度共受理57件刑事補償事件</w:t>
      </w:r>
      <w:r w:rsidRPr="00D64819">
        <w:rPr>
          <w:rFonts w:hAnsi="標楷體" w:hint="eastAsia"/>
          <w:szCs w:val="32"/>
        </w:rPr>
        <w:t>，</w:t>
      </w:r>
      <w:r w:rsidRPr="00D64819">
        <w:rPr>
          <w:rFonts w:hAnsi="標楷體" w:hint="eastAsia"/>
          <w:lang w:eastAsia="zh-HK"/>
        </w:rPr>
        <w:t>其中，</w:t>
      </w:r>
      <w:r w:rsidRPr="00D64819">
        <w:rPr>
          <w:rFonts w:hAnsi="標楷體" w:hint="eastAsia"/>
        </w:rPr>
        <w:t>最高軍事法院、高等軍事法院、北部地方軍事法院、北部地方軍事法院檢察署、南部地方軍事法院</w:t>
      </w:r>
      <w:r w:rsidRPr="00D64819">
        <w:rPr>
          <w:rFonts w:hAnsi="標楷體" w:hint="eastAsia"/>
          <w:lang w:eastAsia="zh-HK"/>
        </w:rPr>
        <w:t>等5機關逾3個月將決定書送達補償請求人，計8件</w:t>
      </w:r>
      <w:r w:rsidRPr="00D64819">
        <w:rPr>
          <w:rFonts w:hAnsi="標楷體" w:hint="eastAsia"/>
          <w:szCs w:val="32"/>
          <w:lang w:eastAsia="zh-HK"/>
        </w:rPr>
        <w:t>（如表</w:t>
      </w:r>
      <w:r w:rsidRPr="00D64819">
        <w:rPr>
          <w:rFonts w:hAnsi="標楷體" w:hint="eastAsia"/>
          <w:szCs w:val="32"/>
        </w:rPr>
        <w:t>3</w:t>
      </w:r>
      <w:r w:rsidRPr="00D64819">
        <w:rPr>
          <w:rFonts w:hAnsi="標楷體" w:hint="eastAsia"/>
          <w:szCs w:val="32"/>
          <w:lang w:eastAsia="zh-HK"/>
        </w:rPr>
        <w:t>，編號1、3、4、7、9、11、12、13）、</w:t>
      </w:r>
      <w:r w:rsidRPr="00D64819">
        <w:rPr>
          <w:rFonts w:hAnsi="標楷體" w:hint="eastAsia"/>
          <w:szCs w:val="32"/>
        </w:rPr>
        <w:t>送達</w:t>
      </w:r>
      <w:r w:rsidRPr="00D64819">
        <w:rPr>
          <w:rFonts w:hAnsi="標楷體" w:hint="eastAsia"/>
          <w:szCs w:val="32"/>
          <w:lang w:eastAsia="zh-HK"/>
        </w:rPr>
        <w:t>情形</w:t>
      </w:r>
      <w:r w:rsidRPr="00D64819">
        <w:rPr>
          <w:rFonts w:hAnsi="標楷體" w:hint="eastAsia"/>
          <w:lang w:eastAsia="zh-HK"/>
        </w:rPr>
        <w:t>無法判斷者</w:t>
      </w:r>
      <w:proofErr w:type="gramStart"/>
      <w:r w:rsidRPr="00D64819">
        <w:rPr>
          <w:rFonts w:hAnsi="標楷體" w:hint="eastAsia"/>
          <w:lang w:eastAsia="zh-HK"/>
        </w:rPr>
        <w:t>（</w:t>
      </w:r>
      <w:proofErr w:type="gramEnd"/>
      <w:r w:rsidRPr="00D64819">
        <w:rPr>
          <w:rFonts w:hAnsi="標楷體" w:hint="eastAsia"/>
          <w:szCs w:val="32"/>
          <w:lang w:eastAsia="zh-HK"/>
        </w:rPr>
        <w:t>包含</w:t>
      </w:r>
      <w:r w:rsidRPr="00D64819">
        <w:rPr>
          <w:rFonts w:hAnsi="標楷體" w:hint="eastAsia"/>
          <w:lang w:eastAsia="zh-HK"/>
        </w:rPr>
        <w:t>：未</w:t>
      </w:r>
      <w:proofErr w:type="gramStart"/>
      <w:r w:rsidRPr="00D64819">
        <w:rPr>
          <w:rFonts w:hAnsi="標楷體" w:hint="eastAsia"/>
          <w:lang w:eastAsia="zh-HK"/>
        </w:rPr>
        <w:t>附卷或無</w:t>
      </w:r>
      <w:proofErr w:type="gramEnd"/>
      <w:r w:rsidRPr="00D64819">
        <w:rPr>
          <w:rFonts w:hAnsi="標楷體" w:hint="eastAsia"/>
          <w:lang w:eastAsia="zh-HK"/>
        </w:rPr>
        <w:t>公文</w:t>
      </w:r>
      <w:proofErr w:type="gramStart"/>
      <w:r w:rsidRPr="00D64819">
        <w:rPr>
          <w:rFonts w:hAnsi="標楷體" w:hint="eastAsia"/>
          <w:lang w:eastAsia="zh-HK"/>
        </w:rPr>
        <w:t>繕</w:t>
      </w:r>
      <w:proofErr w:type="gramEnd"/>
      <w:r w:rsidRPr="00D64819">
        <w:rPr>
          <w:rFonts w:hAnsi="標楷體" w:hint="eastAsia"/>
          <w:lang w:eastAsia="zh-HK"/>
        </w:rPr>
        <w:t>發紀錄</w:t>
      </w:r>
      <w:r w:rsidRPr="00D64819">
        <w:rPr>
          <w:rFonts w:hAnsi="標楷體" w:hint="eastAsia"/>
        </w:rPr>
        <w:t>，</w:t>
      </w:r>
      <w:r w:rsidRPr="00D64819">
        <w:rPr>
          <w:rFonts w:hAnsi="標楷體" w:hint="eastAsia"/>
          <w:lang w:eastAsia="zh-HK"/>
        </w:rPr>
        <w:t>決定機關已支付請求人補償金，或移請司法院刑事補償法庭覆審，並副知請求人等</w:t>
      </w:r>
      <w:proofErr w:type="gramStart"/>
      <w:r w:rsidRPr="00D64819">
        <w:rPr>
          <w:rFonts w:hAnsi="標楷體" w:hint="eastAsia"/>
          <w:lang w:eastAsia="zh-HK"/>
        </w:rPr>
        <w:t>）</w:t>
      </w:r>
      <w:proofErr w:type="gramEnd"/>
      <w:r w:rsidRPr="00D64819">
        <w:rPr>
          <w:rFonts w:hAnsi="標楷體" w:hint="eastAsia"/>
          <w:lang w:eastAsia="zh-HK"/>
        </w:rPr>
        <w:t>，計</w:t>
      </w:r>
      <w:r w:rsidRPr="00D64819">
        <w:rPr>
          <w:rFonts w:hAnsi="標楷體" w:hint="eastAsia"/>
        </w:rPr>
        <w:t>3</w:t>
      </w:r>
      <w:r w:rsidRPr="00D64819">
        <w:rPr>
          <w:rFonts w:hAnsi="標楷體" w:hint="eastAsia"/>
          <w:lang w:eastAsia="zh-HK"/>
        </w:rPr>
        <w:t>件（同表</w:t>
      </w:r>
      <w:r w:rsidRPr="00D64819">
        <w:rPr>
          <w:rFonts w:hAnsi="標楷體" w:hint="eastAsia"/>
        </w:rPr>
        <w:t>3</w:t>
      </w:r>
      <w:r w:rsidRPr="00D64819">
        <w:rPr>
          <w:rFonts w:hAnsi="標楷體" w:hint="eastAsia"/>
          <w:szCs w:val="32"/>
          <w:lang w:eastAsia="zh-HK"/>
        </w:rPr>
        <w:t>，編號2、6、14</w:t>
      </w:r>
      <w:r w:rsidRPr="00D64819">
        <w:rPr>
          <w:rFonts w:hAnsi="標楷體" w:hint="eastAsia"/>
          <w:lang w:eastAsia="zh-HK"/>
        </w:rPr>
        <w:t>）；</w:t>
      </w:r>
      <w:proofErr w:type="gramStart"/>
      <w:r w:rsidRPr="00D64819">
        <w:rPr>
          <w:rFonts w:hAnsi="標楷體" w:hint="eastAsia"/>
          <w:lang w:eastAsia="zh-HK"/>
        </w:rPr>
        <w:t>另</w:t>
      </w:r>
      <w:proofErr w:type="gramEnd"/>
      <w:r w:rsidRPr="00D64819">
        <w:rPr>
          <w:rFonts w:hAnsi="標楷體" w:hint="eastAsia"/>
          <w:lang w:eastAsia="zh-HK"/>
        </w:rPr>
        <w:t>，</w:t>
      </w:r>
      <w:r w:rsidRPr="00D64819">
        <w:rPr>
          <w:rFonts w:hAnsi="標楷體" w:hint="eastAsia"/>
        </w:rPr>
        <w:t>最高軍事法院、高等軍事法院、高等軍事法院高雄分院、北部地方軍事法院、北部地方軍事法院檢察署、南部地方軍事法院</w:t>
      </w:r>
      <w:r w:rsidRPr="00D64819">
        <w:rPr>
          <w:rFonts w:hAnsi="標楷體" w:hint="eastAsia"/>
          <w:lang w:eastAsia="zh-HK"/>
        </w:rPr>
        <w:t>等</w:t>
      </w:r>
      <w:r w:rsidRPr="00D64819">
        <w:rPr>
          <w:rFonts w:hAnsi="標楷體" w:hint="eastAsia"/>
        </w:rPr>
        <w:t>6</w:t>
      </w:r>
      <w:r w:rsidRPr="00D64819">
        <w:rPr>
          <w:rFonts w:hAnsi="標楷體" w:hint="eastAsia"/>
          <w:lang w:eastAsia="zh-HK"/>
        </w:rPr>
        <w:t>機關將</w:t>
      </w:r>
      <w:proofErr w:type="gramStart"/>
      <w:r w:rsidRPr="00D64819">
        <w:rPr>
          <w:rFonts w:hAnsi="標楷體" w:hint="eastAsia"/>
          <w:lang w:eastAsia="zh-HK"/>
        </w:rPr>
        <w:t>決定書逾3個月</w:t>
      </w:r>
      <w:proofErr w:type="gramEnd"/>
      <w:r w:rsidRPr="00D64819">
        <w:rPr>
          <w:rFonts w:hAnsi="標楷體" w:hint="eastAsia"/>
          <w:lang w:eastAsia="zh-HK"/>
        </w:rPr>
        <w:t>函送最高檢察署，計12件</w:t>
      </w:r>
      <w:r w:rsidRPr="00D64819">
        <w:rPr>
          <w:rFonts w:hAnsi="標楷體" w:hint="eastAsia"/>
          <w:szCs w:val="32"/>
          <w:lang w:eastAsia="zh-HK"/>
        </w:rPr>
        <w:t>（</w:t>
      </w:r>
      <w:r w:rsidRPr="00D64819">
        <w:rPr>
          <w:rFonts w:hAnsi="標楷體" w:hint="eastAsia"/>
          <w:lang w:eastAsia="zh-HK"/>
        </w:rPr>
        <w:t>同</w:t>
      </w:r>
      <w:r w:rsidRPr="00D64819">
        <w:rPr>
          <w:rFonts w:hAnsi="標楷體" w:hint="eastAsia"/>
          <w:szCs w:val="32"/>
          <w:lang w:eastAsia="zh-HK"/>
        </w:rPr>
        <w:t>表</w:t>
      </w:r>
      <w:r w:rsidRPr="00D64819">
        <w:rPr>
          <w:rFonts w:hAnsi="標楷體" w:hint="eastAsia"/>
        </w:rPr>
        <w:t>3</w:t>
      </w:r>
      <w:r w:rsidRPr="00D64819">
        <w:rPr>
          <w:rFonts w:hAnsi="標楷體" w:hint="eastAsia"/>
          <w:szCs w:val="32"/>
          <w:lang w:eastAsia="zh-HK"/>
        </w:rPr>
        <w:t>，編號1、3、4、5、7、9、10、11、12、13、15、16）</w:t>
      </w:r>
      <w:r w:rsidRPr="00D64819">
        <w:rPr>
          <w:rFonts w:hAnsi="標楷體" w:hint="eastAsia"/>
          <w:lang w:eastAsia="zh-HK"/>
        </w:rPr>
        <w:t>、函送情形無法判斷者</w:t>
      </w:r>
      <w:proofErr w:type="gramStart"/>
      <w:r w:rsidRPr="00D64819">
        <w:rPr>
          <w:rFonts w:hAnsi="標楷體" w:hint="eastAsia"/>
          <w:lang w:eastAsia="zh-HK"/>
        </w:rPr>
        <w:t>（</w:t>
      </w:r>
      <w:proofErr w:type="gramEnd"/>
      <w:r w:rsidRPr="00D64819">
        <w:rPr>
          <w:rFonts w:hAnsi="標楷體" w:hint="eastAsia"/>
          <w:szCs w:val="32"/>
          <w:lang w:eastAsia="zh-HK"/>
        </w:rPr>
        <w:t>包含</w:t>
      </w:r>
      <w:r w:rsidRPr="00D64819">
        <w:rPr>
          <w:rFonts w:hAnsi="標楷體" w:hint="eastAsia"/>
          <w:lang w:eastAsia="zh-HK"/>
        </w:rPr>
        <w:t>：未</w:t>
      </w:r>
      <w:proofErr w:type="gramStart"/>
      <w:r w:rsidRPr="00D64819">
        <w:rPr>
          <w:rFonts w:hAnsi="標楷體" w:hint="eastAsia"/>
          <w:lang w:eastAsia="zh-HK"/>
        </w:rPr>
        <w:t>附卷或無</w:t>
      </w:r>
      <w:proofErr w:type="gramEnd"/>
      <w:r w:rsidRPr="00D64819">
        <w:rPr>
          <w:rFonts w:hAnsi="標楷體" w:hint="eastAsia"/>
          <w:lang w:eastAsia="zh-HK"/>
        </w:rPr>
        <w:t>公文</w:t>
      </w:r>
      <w:proofErr w:type="gramStart"/>
      <w:r w:rsidRPr="00D64819">
        <w:rPr>
          <w:rFonts w:hAnsi="標楷體" w:hint="eastAsia"/>
          <w:lang w:eastAsia="zh-HK"/>
        </w:rPr>
        <w:t>繕</w:t>
      </w:r>
      <w:proofErr w:type="gramEnd"/>
      <w:r w:rsidRPr="00D64819">
        <w:rPr>
          <w:rFonts w:hAnsi="標楷體" w:hint="eastAsia"/>
          <w:lang w:eastAsia="zh-HK"/>
        </w:rPr>
        <w:t>發紀錄等</w:t>
      </w:r>
      <w:proofErr w:type="gramStart"/>
      <w:r w:rsidRPr="00D64819">
        <w:rPr>
          <w:rFonts w:hAnsi="標楷體" w:hint="eastAsia"/>
          <w:lang w:eastAsia="zh-HK"/>
        </w:rPr>
        <w:t>）</w:t>
      </w:r>
      <w:proofErr w:type="gramEnd"/>
      <w:r w:rsidRPr="00D64819">
        <w:rPr>
          <w:rFonts w:hAnsi="標楷體" w:hint="eastAsia"/>
          <w:lang w:eastAsia="zh-HK"/>
        </w:rPr>
        <w:t>，計3件（同表</w:t>
      </w:r>
      <w:r w:rsidRPr="00D64819">
        <w:rPr>
          <w:rFonts w:hAnsi="標楷體" w:hint="eastAsia"/>
        </w:rPr>
        <w:t>3</w:t>
      </w:r>
      <w:r w:rsidRPr="00D64819">
        <w:rPr>
          <w:rFonts w:hAnsi="標楷體" w:hint="eastAsia"/>
          <w:szCs w:val="32"/>
          <w:lang w:eastAsia="zh-HK"/>
        </w:rPr>
        <w:t>，編號8、14、17</w:t>
      </w:r>
      <w:r w:rsidRPr="00D64819">
        <w:rPr>
          <w:rFonts w:hAnsi="標楷體" w:hint="eastAsia"/>
          <w:lang w:eastAsia="zh-HK"/>
        </w:rPr>
        <w:t>）。</w:t>
      </w:r>
    </w:p>
    <w:p w:rsidR="00EB5E57" w:rsidRPr="00D64819" w:rsidRDefault="00EB5E57" w:rsidP="00F709B1">
      <w:pPr>
        <w:pStyle w:val="a3"/>
        <w:snapToGrid/>
        <w:rPr>
          <w:rFonts w:hAnsi="標楷體"/>
          <w:sz w:val="36"/>
          <w:szCs w:val="36"/>
        </w:rPr>
      </w:pPr>
      <w:r w:rsidRPr="00D64819">
        <w:rPr>
          <w:rFonts w:hAnsi="標楷體" w:hint="eastAsia"/>
          <w:lang w:eastAsia="zh-HK"/>
        </w:rPr>
        <w:t>國防部</w:t>
      </w:r>
      <w:r w:rsidRPr="00D64819">
        <w:rPr>
          <w:rFonts w:hAnsi="標楷體" w:hint="eastAsia"/>
        </w:rPr>
        <w:t>各</w:t>
      </w:r>
      <w:r w:rsidRPr="00D64819">
        <w:rPr>
          <w:rFonts w:hAnsi="標楷體" w:hint="eastAsia"/>
          <w:lang w:eastAsia="zh-HK"/>
        </w:rPr>
        <w:t>級軍事法</w:t>
      </w:r>
      <w:r w:rsidRPr="00D64819">
        <w:rPr>
          <w:rFonts w:hAnsi="標楷體" w:hint="eastAsia"/>
        </w:rPr>
        <w:t>院</w:t>
      </w:r>
      <w:r w:rsidRPr="00D64819">
        <w:rPr>
          <w:rFonts w:hAnsi="標楷體" w:hint="eastAsia"/>
          <w:lang w:eastAsia="zh-HK"/>
        </w:rPr>
        <w:t>及檢察署逾限辦理</w:t>
      </w:r>
      <w:r w:rsidRPr="00D64819">
        <w:rPr>
          <w:rFonts w:hAnsi="標楷體" w:hint="eastAsia"/>
        </w:rPr>
        <w:t>刑事補償事件</w:t>
      </w:r>
      <w:r w:rsidRPr="00D64819">
        <w:rPr>
          <w:rFonts w:hAnsi="標楷體" w:hint="eastAsia"/>
          <w:lang w:eastAsia="zh-HK"/>
        </w:rPr>
        <w:t>業務情形</w:t>
      </w:r>
    </w:p>
    <w:tbl>
      <w:tblPr>
        <w:tblW w:w="49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37"/>
        <w:gridCol w:w="1584"/>
        <w:gridCol w:w="1983"/>
        <w:gridCol w:w="1287"/>
        <w:gridCol w:w="1690"/>
        <w:gridCol w:w="1592"/>
      </w:tblGrid>
      <w:tr w:rsidR="00EB5E57" w:rsidRPr="00D64819" w:rsidTr="007D288F">
        <w:trPr>
          <w:tblHeader/>
          <w:jc w:val="center"/>
        </w:trPr>
        <w:tc>
          <w:tcPr>
            <w:tcW w:w="310" w:type="pct"/>
            <w:shd w:val="clear" w:color="auto" w:fill="E7E6E6" w:themeFill="background2"/>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編號</w:t>
            </w:r>
          </w:p>
        </w:tc>
        <w:tc>
          <w:tcPr>
            <w:tcW w:w="913" w:type="pct"/>
            <w:shd w:val="clear" w:color="auto" w:fill="E7E6E6" w:themeFill="background2"/>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軍事審判機關</w:t>
            </w:r>
          </w:p>
        </w:tc>
        <w:tc>
          <w:tcPr>
            <w:tcW w:w="1143" w:type="pct"/>
            <w:shd w:val="clear" w:color="auto" w:fill="E7E6E6" w:themeFill="background2"/>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案號</w:t>
            </w:r>
          </w:p>
        </w:tc>
        <w:tc>
          <w:tcPr>
            <w:tcW w:w="742" w:type="pct"/>
            <w:shd w:val="clear" w:color="auto" w:fill="E7E6E6" w:themeFill="background2"/>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刑事補償事件受理日期</w:t>
            </w:r>
          </w:p>
        </w:tc>
        <w:tc>
          <w:tcPr>
            <w:tcW w:w="974" w:type="pct"/>
            <w:shd w:val="clear" w:color="auto" w:fill="E7E6E6" w:themeFill="background2"/>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補償決定書送達請求人日期</w:t>
            </w:r>
          </w:p>
        </w:tc>
        <w:tc>
          <w:tcPr>
            <w:tcW w:w="917" w:type="pct"/>
            <w:shd w:val="clear" w:color="auto" w:fill="E7E6E6" w:themeFill="background2"/>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補償案卷函送最高檢察署日期</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rPr>
              <w:t>1</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最高軍事法院</w:t>
            </w:r>
          </w:p>
        </w:tc>
        <w:tc>
          <w:tcPr>
            <w:tcW w:w="1143" w:type="pct"/>
            <w:vAlign w:val="center"/>
          </w:tcPr>
          <w:p w:rsidR="00EB5E57" w:rsidRPr="00D64819" w:rsidRDefault="00EB5E57" w:rsidP="007D288F">
            <w:pPr>
              <w:pStyle w:val="121"/>
              <w:snapToGrid/>
              <w:spacing w:line="260" w:lineRule="exact"/>
              <w:contextualSpacing/>
              <w:rPr>
                <w:rFonts w:hAnsi="標楷體"/>
              </w:rPr>
            </w:pPr>
            <w:proofErr w:type="gramStart"/>
            <w:r w:rsidRPr="00D64819">
              <w:rPr>
                <w:rFonts w:hAnsi="標楷體" w:hint="eastAsia"/>
              </w:rPr>
              <w:t>101年刑補字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101.12.13</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7.</w:t>
            </w:r>
            <w:r w:rsidRPr="00D64819">
              <w:rPr>
                <w:rFonts w:hAnsi="標楷體"/>
              </w:rPr>
              <w:t>0</w:t>
            </w:r>
            <w:r w:rsidRPr="00D64819">
              <w:rPr>
                <w:rFonts w:hAnsi="標楷體" w:hint="eastAsia"/>
              </w:rPr>
              <w:t>1</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102.07.02</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rPr>
              <w:t>2</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最高軍事法院</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102年</w:t>
            </w:r>
            <w:proofErr w:type="gramStart"/>
            <w:r w:rsidRPr="00D64819">
              <w:rPr>
                <w:rFonts w:hAnsi="標楷體" w:hint="eastAsia"/>
              </w:rPr>
              <w:t>刑補更字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102.12.13</w:t>
            </w:r>
          </w:p>
        </w:tc>
        <w:tc>
          <w:tcPr>
            <w:tcW w:w="974" w:type="pct"/>
            <w:vAlign w:val="center"/>
          </w:tcPr>
          <w:p w:rsidR="00EB5E57" w:rsidRPr="00D64819" w:rsidRDefault="00EB5E57" w:rsidP="007D288F">
            <w:pPr>
              <w:pStyle w:val="121"/>
              <w:snapToGrid/>
              <w:spacing w:line="260" w:lineRule="exact"/>
              <w:contextualSpacing/>
              <w:jc w:val="center"/>
              <w:rPr>
                <w:rFonts w:hAnsi="標楷體"/>
                <w:b/>
                <w:spacing w:val="-24"/>
                <w:sz w:val="22"/>
                <w:szCs w:val="22"/>
              </w:rPr>
            </w:pPr>
            <w:r w:rsidRPr="00D64819">
              <w:rPr>
                <w:rFonts w:hAnsi="標楷體" w:hint="eastAsia"/>
                <w:b/>
                <w:spacing w:val="-24"/>
                <w:sz w:val="22"/>
                <w:szCs w:val="22"/>
              </w:rPr>
              <w:t>（國防部查無</w:t>
            </w:r>
            <w:r w:rsidRPr="00D64819">
              <w:rPr>
                <w:rFonts w:hAnsi="標楷體" w:hint="eastAsia"/>
                <w:b/>
                <w:spacing w:val="-24"/>
                <w:sz w:val="22"/>
                <w:szCs w:val="22"/>
                <w:lang w:eastAsia="zh-HK"/>
              </w:rPr>
              <w:t>公文</w:t>
            </w:r>
            <w:proofErr w:type="gramStart"/>
            <w:r w:rsidRPr="00D64819">
              <w:rPr>
                <w:rFonts w:hAnsi="標楷體" w:hint="eastAsia"/>
                <w:b/>
                <w:spacing w:val="-24"/>
                <w:sz w:val="22"/>
                <w:szCs w:val="22"/>
                <w:lang w:eastAsia="zh-HK"/>
              </w:rPr>
              <w:t>繕</w:t>
            </w:r>
            <w:proofErr w:type="gramEnd"/>
            <w:r w:rsidRPr="00D64819">
              <w:rPr>
                <w:rFonts w:hAnsi="標楷體" w:hint="eastAsia"/>
                <w:b/>
                <w:spacing w:val="-24"/>
                <w:sz w:val="22"/>
                <w:szCs w:val="22"/>
                <w:lang w:eastAsia="zh-HK"/>
              </w:rPr>
              <w:t>發紀錄</w:t>
            </w:r>
            <w:r w:rsidRPr="00D64819">
              <w:rPr>
                <w:rFonts w:hAnsi="標楷體" w:hint="eastAsia"/>
                <w:b/>
                <w:spacing w:val="-24"/>
                <w:sz w:val="22"/>
                <w:szCs w:val="22"/>
              </w:rPr>
              <w:t>，無法判斷）</w:t>
            </w:r>
          </w:p>
          <w:p w:rsidR="00EB5E57" w:rsidRPr="00D64819" w:rsidRDefault="00EB5E57" w:rsidP="007D288F">
            <w:pPr>
              <w:pStyle w:val="121"/>
              <w:snapToGrid/>
              <w:spacing w:line="260" w:lineRule="exact"/>
              <w:contextualSpacing/>
              <w:jc w:val="center"/>
              <w:rPr>
                <w:rFonts w:hAnsi="標楷體"/>
                <w:spacing w:val="-26"/>
                <w:sz w:val="22"/>
                <w:szCs w:val="22"/>
              </w:rPr>
            </w:pPr>
            <w:proofErr w:type="gramStart"/>
            <w:r w:rsidRPr="00D64819">
              <w:rPr>
                <w:rFonts w:hAnsi="標楷體" w:hint="eastAsia"/>
                <w:spacing w:val="-24"/>
                <w:sz w:val="22"/>
                <w:szCs w:val="22"/>
              </w:rPr>
              <w:t>【註</w:t>
            </w:r>
            <w:proofErr w:type="gramEnd"/>
            <w:r w:rsidRPr="00D64819">
              <w:rPr>
                <w:rFonts w:hAnsi="標楷體" w:hint="eastAsia"/>
                <w:spacing w:val="-24"/>
                <w:sz w:val="22"/>
                <w:szCs w:val="22"/>
              </w:rPr>
              <w:t>：補償金已支付在案</w:t>
            </w:r>
            <w:proofErr w:type="gramStart"/>
            <w:r w:rsidRPr="00D64819">
              <w:rPr>
                <w:rFonts w:hAnsi="標楷體" w:hint="eastAsia"/>
                <w:spacing w:val="-24"/>
                <w:sz w:val="22"/>
                <w:szCs w:val="22"/>
              </w:rPr>
              <w:t>】</w:t>
            </w:r>
            <w:proofErr w:type="gramEnd"/>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103.</w:t>
            </w:r>
            <w:r w:rsidRPr="00D64819">
              <w:rPr>
                <w:rFonts w:hAnsi="標楷體"/>
              </w:rPr>
              <w:t>0</w:t>
            </w:r>
            <w:r w:rsidRPr="00D64819">
              <w:rPr>
                <w:rFonts w:hAnsi="標楷體" w:hint="eastAsia"/>
              </w:rPr>
              <w:t>3.12</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3</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高等軍事法院</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102年</w:t>
            </w:r>
            <w:proofErr w:type="gramStart"/>
            <w:r w:rsidRPr="00D64819">
              <w:rPr>
                <w:rFonts w:hAnsi="標楷體" w:hint="eastAsia"/>
              </w:rPr>
              <w:t>刑補更字</w:t>
            </w:r>
            <w:proofErr w:type="gramEnd"/>
            <w:r w:rsidRPr="00D64819">
              <w:rPr>
                <w:rFonts w:hAnsi="標楷體" w:hint="eastAsia"/>
              </w:rPr>
              <w:t>第2號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3.19</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6.28</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7.</w:t>
            </w:r>
            <w:r w:rsidRPr="00D64819">
              <w:rPr>
                <w:rFonts w:hAnsi="標楷體"/>
              </w:rPr>
              <w:t>0</w:t>
            </w:r>
            <w:r w:rsidRPr="00D64819">
              <w:rPr>
                <w:rFonts w:hAnsi="標楷體" w:hint="eastAsia"/>
              </w:rPr>
              <w:t>2</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4</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高等軍事法院</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102年</w:t>
            </w:r>
            <w:proofErr w:type="gramStart"/>
            <w:r w:rsidRPr="00D64819">
              <w:rPr>
                <w:rFonts w:hAnsi="標楷體" w:hint="eastAsia"/>
              </w:rPr>
              <w:t>刑補更字</w:t>
            </w:r>
            <w:proofErr w:type="gramEnd"/>
            <w:r w:rsidRPr="00D64819">
              <w:rPr>
                <w:rFonts w:hAnsi="標楷體" w:hint="eastAsia"/>
              </w:rPr>
              <w:t>第4號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3.19</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103.</w:t>
            </w:r>
            <w:r w:rsidRPr="00D64819">
              <w:rPr>
                <w:rFonts w:hAnsi="標楷體"/>
              </w:rPr>
              <w:t>0</w:t>
            </w:r>
            <w:r w:rsidRPr="00D64819">
              <w:rPr>
                <w:rFonts w:hAnsi="標楷體" w:hint="eastAsia"/>
              </w:rPr>
              <w:t>1.14</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103.</w:t>
            </w:r>
            <w:r w:rsidRPr="00D64819">
              <w:rPr>
                <w:rFonts w:hAnsi="標楷體"/>
              </w:rPr>
              <w:t>0</w:t>
            </w:r>
            <w:r w:rsidRPr="00D64819">
              <w:rPr>
                <w:rFonts w:hAnsi="標楷體" w:hint="eastAsia"/>
              </w:rPr>
              <w:t>1.13</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lastRenderedPageBreak/>
              <w:t>5</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高等軍事法院高雄分院</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100年</w:t>
            </w:r>
            <w:proofErr w:type="gramStart"/>
            <w:r w:rsidRPr="00D64819">
              <w:rPr>
                <w:rFonts w:hAnsi="標楷體" w:hint="eastAsia"/>
              </w:rPr>
              <w:t>刑補重字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100.12.20</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3.</w:t>
            </w:r>
            <w:r w:rsidRPr="00D64819">
              <w:rPr>
                <w:rFonts w:hAnsi="標楷體"/>
              </w:rPr>
              <w:t>0</w:t>
            </w:r>
            <w:r w:rsidRPr="00D64819">
              <w:rPr>
                <w:rFonts w:hAnsi="標楷體" w:hint="eastAsia"/>
              </w:rPr>
              <w:t>1</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5.14</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6</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高等軍事法院檢察署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102年</w:t>
            </w:r>
            <w:proofErr w:type="gramStart"/>
            <w:r w:rsidRPr="00D64819">
              <w:rPr>
                <w:rFonts w:hAnsi="標楷體" w:hint="eastAsia"/>
              </w:rPr>
              <w:t>刑補更字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7.</w:t>
            </w:r>
            <w:r w:rsidRPr="00D64819">
              <w:rPr>
                <w:rFonts w:hAnsi="標楷體"/>
              </w:rPr>
              <w:t>0</w:t>
            </w:r>
            <w:r w:rsidRPr="00D64819">
              <w:rPr>
                <w:rFonts w:hAnsi="標楷體" w:hint="eastAsia"/>
              </w:rPr>
              <w:t>1</w:t>
            </w:r>
          </w:p>
        </w:tc>
        <w:tc>
          <w:tcPr>
            <w:tcW w:w="974" w:type="pct"/>
            <w:vAlign w:val="center"/>
          </w:tcPr>
          <w:p w:rsidR="00EB5E57" w:rsidRPr="00D64819" w:rsidRDefault="00EB5E57" w:rsidP="007D288F">
            <w:pPr>
              <w:pStyle w:val="121"/>
              <w:snapToGrid/>
              <w:spacing w:line="260" w:lineRule="exact"/>
              <w:contextualSpacing/>
              <w:jc w:val="center"/>
              <w:rPr>
                <w:rFonts w:hAnsi="標楷體"/>
                <w:b/>
                <w:spacing w:val="-24"/>
                <w:sz w:val="22"/>
                <w:szCs w:val="22"/>
              </w:rPr>
            </w:pPr>
            <w:r w:rsidRPr="00D64819">
              <w:rPr>
                <w:rFonts w:hAnsi="標楷體" w:hint="eastAsia"/>
                <w:b/>
                <w:spacing w:val="-24"/>
                <w:sz w:val="22"/>
                <w:szCs w:val="22"/>
              </w:rPr>
              <w:t>（國防部查無</w:t>
            </w:r>
            <w:r w:rsidRPr="00D64819">
              <w:rPr>
                <w:rFonts w:hAnsi="標楷體" w:hint="eastAsia"/>
                <w:b/>
                <w:spacing w:val="-24"/>
                <w:sz w:val="22"/>
                <w:szCs w:val="22"/>
                <w:lang w:eastAsia="zh-HK"/>
              </w:rPr>
              <w:t>公文</w:t>
            </w:r>
            <w:proofErr w:type="gramStart"/>
            <w:r w:rsidRPr="00D64819">
              <w:rPr>
                <w:rFonts w:hAnsi="標楷體" w:hint="eastAsia"/>
                <w:b/>
                <w:spacing w:val="-24"/>
                <w:sz w:val="22"/>
                <w:szCs w:val="22"/>
                <w:lang w:eastAsia="zh-HK"/>
              </w:rPr>
              <w:t>繕</w:t>
            </w:r>
            <w:proofErr w:type="gramEnd"/>
            <w:r w:rsidRPr="00D64819">
              <w:rPr>
                <w:rFonts w:hAnsi="標楷體" w:hint="eastAsia"/>
                <w:b/>
                <w:spacing w:val="-24"/>
                <w:sz w:val="22"/>
                <w:szCs w:val="22"/>
                <w:lang w:eastAsia="zh-HK"/>
              </w:rPr>
              <w:t>發紀錄</w:t>
            </w:r>
            <w:r w:rsidRPr="00D64819">
              <w:rPr>
                <w:rFonts w:hAnsi="標楷體" w:hint="eastAsia"/>
                <w:b/>
                <w:spacing w:val="-24"/>
                <w:sz w:val="22"/>
                <w:szCs w:val="22"/>
              </w:rPr>
              <w:t>，無法判斷）</w:t>
            </w:r>
          </w:p>
          <w:p w:rsidR="00EB5E57" w:rsidRPr="00D64819" w:rsidRDefault="00EB5E57" w:rsidP="007D288F">
            <w:pPr>
              <w:pStyle w:val="121"/>
              <w:snapToGrid/>
              <w:spacing w:line="260" w:lineRule="exact"/>
              <w:contextualSpacing/>
              <w:jc w:val="center"/>
              <w:rPr>
                <w:rFonts w:hAnsi="標楷體"/>
                <w:b/>
                <w:spacing w:val="-26"/>
                <w:sz w:val="22"/>
                <w:szCs w:val="22"/>
              </w:rPr>
            </w:pPr>
            <w:proofErr w:type="gramStart"/>
            <w:r w:rsidRPr="00D64819">
              <w:rPr>
                <w:rFonts w:hAnsi="標楷體" w:hint="eastAsia"/>
                <w:spacing w:val="-24"/>
                <w:sz w:val="22"/>
                <w:szCs w:val="22"/>
              </w:rPr>
              <w:t>【註</w:t>
            </w:r>
            <w:proofErr w:type="gramEnd"/>
            <w:r w:rsidRPr="00D64819">
              <w:rPr>
                <w:rFonts w:hAnsi="標楷體" w:hint="eastAsia"/>
                <w:spacing w:val="-24"/>
                <w:sz w:val="22"/>
                <w:szCs w:val="22"/>
              </w:rPr>
              <w:t>：102.11.06卷證資料函移司法院刑事補償法庭覆審，</w:t>
            </w:r>
            <w:r w:rsidRPr="00D64819">
              <w:rPr>
                <w:rFonts w:hAnsi="標楷體" w:hint="eastAsia"/>
                <w:spacing w:val="-24"/>
                <w:sz w:val="22"/>
                <w:szCs w:val="22"/>
                <w:lang w:eastAsia="zh-HK"/>
              </w:rPr>
              <w:t>並副知請求人</w:t>
            </w:r>
            <w:proofErr w:type="gramStart"/>
            <w:r w:rsidRPr="00D64819">
              <w:rPr>
                <w:rFonts w:hAnsi="標楷體" w:hint="eastAsia"/>
                <w:spacing w:val="-24"/>
                <w:sz w:val="22"/>
                <w:szCs w:val="22"/>
              </w:rPr>
              <w:t>】</w:t>
            </w:r>
            <w:proofErr w:type="gramEnd"/>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102.10.31</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7</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北部地方軍事法院</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103年</w:t>
            </w:r>
            <w:proofErr w:type="gramStart"/>
            <w:r w:rsidRPr="00D64819">
              <w:rPr>
                <w:rFonts w:hAnsi="標楷體" w:hint="eastAsia"/>
              </w:rPr>
              <w:t>刑補更字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103.</w:t>
            </w:r>
            <w:r w:rsidRPr="00D64819">
              <w:rPr>
                <w:rFonts w:hAnsi="標楷體"/>
              </w:rPr>
              <w:t>0</w:t>
            </w:r>
            <w:r w:rsidRPr="00D64819">
              <w:rPr>
                <w:rFonts w:hAnsi="標楷體" w:hint="eastAsia"/>
              </w:rPr>
              <w:t>7.21</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103.11.24</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103.11.26</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shd w:val="clear" w:color="auto" w:fill="auto"/>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8</w:t>
            </w:r>
          </w:p>
        </w:tc>
        <w:tc>
          <w:tcPr>
            <w:tcW w:w="913" w:type="pct"/>
            <w:shd w:val="clear" w:color="auto" w:fill="auto"/>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北部地方軍事法院</w:t>
            </w:r>
          </w:p>
        </w:tc>
        <w:tc>
          <w:tcPr>
            <w:tcW w:w="1143" w:type="pct"/>
            <w:shd w:val="clear" w:color="auto" w:fill="auto"/>
            <w:vAlign w:val="center"/>
          </w:tcPr>
          <w:p w:rsidR="00EB5E57" w:rsidRPr="00D64819" w:rsidRDefault="00EB5E57" w:rsidP="007D288F">
            <w:pPr>
              <w:pStyle w:val="121"/>
              <w:snapToGrid/>
              <w:spacing w:line="260" w:lineRule="exact"/>
              <w:contextualSpacing/>
              <w:rPr>
                <w:rFonts w:hAnsi="標楷體"/>
              </w:rPr>
            </w:pPr>
            <w:proofErr w:type="gramStart"/>
            <w:r w:rsidRPr="00D64819">
              <w:rPr>
                <w:rFonts w:hAnsi="標楷體" w:hint="eastAsia"/>
              </w:rPr>
              <w:t>108年刑補字</w:t>
            </w:r>
            <w:proofErr w:type="gramEnd"/>
            <w:r w:rsidRPr="00D64819">
              <w:rPr>
                <w:rFonts w:hAnsi="標楷體" w:hint="eastAsia"/>
              </w:rPr>
              <w:t>第1號</w:t>
            </w:r>
          </w:p>
        </w:tc>
        <w:tc>
          <w:tcPr>
            <w:tcW w:w="742" w:type="pct"/>
            <w:shd w:val="clear" w:color="auto" w:fill="auto"/>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108.03.29</w:t>
            </w:r>
          </w:p>
        </w:tc>
        <w:tc>
          <w:tcPr>
            <w:tcW w:w="974" w:type="pct"/>
            <w:shd w:val="clear" w:color="auto" w:fill="auto"/>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108.05.27</w:t>
            </w:r>
          </w:p>
        </w:tc>
        <w:tc>
          <w:tcPr>
            <w:tcW w:w="917" w:type="pct"/>
            <w:shd w:val="clear" w:color="auto" w:fill="auto"/>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b/>
                <w:spacing w:val="-24"/>
                <w:sz w:val="22"/>
                <w:szCs w:val="22"/>
              </w:rPr>
              <w:t>（國防部查無</w:t>
            </w:r>
            <w:r w:rsidRPr="00D64819">
              <w:rPr>
                <w:rFonts w:hAnsi="標楷體" w:hint="eastAsia"/>
                <w:b/>
                <w:spacing w:val="-24"/>
                <w:sz w:val="22"/>
                <w:szCs w:val="22"/>
                <w:lang w:eastAsia="zh-HK"/>
              </w:rPr>
              <w:t>公文</w:t>
            </w:r>
            <w:proofErr w:type="gramStart"/>
            <w:r w:rsidRPr="00D64819">
              <w:rPr>
                <w:rFonts w:hAnsi="標楷體" w:hint="eastAsia"/>
                <w:b/>
                <w:spacing w:val="-24"/>
                <w:sz w:val="22"/>
                <w:szCs w:val="22"/>
                <w:lang w:eastAsia="zh-HK"/>
              </w:rPr>
              <w:t>繕</w:t>
            </w:r>
            <w:proofErr w:type="gramEnd"/>
            <w:r w:rsidRPr="00D64819">
              <w:rPr>
                <w:rFonts w:hAnsi="標楷體" w:hint="eastAsia"/>
                <w:b/>
                <w:spacing w:val="-24"/>
                <w:sz w:val="22"/>
                <w:szCs w:val="22"/>
                <w:lang w:eastAsia="zh-HK"/>
              </w:rPr>
              <w:t>發紀錄</w:t>
            </w:r>
            <w:r w:rsidRPr="00D64819">
              <w:rPr>
                <w:rFonts w:hAnsi="標楷體" w:hint="eastAsia"/>
                <w:b/>
                <w:spacing w:val="-24"/>
                <w:sz w:val="22"/>
                <w:szCs w:val="22"/>
              </w:rPr>
              <w:t>，無法判斷）</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9</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北部地方軍事法院檢察署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proofErr w:type="gramStart"/>
            <w:r w:rsidRPr="00D64819">
              <w:rPr>
                <w:rFonts w:hAnsi="標楷體" w:hint="eastAsia"/>
              </w:rPr>
              <w:t>101年刑補字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6.14</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9.20</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9.21</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北部地方軍事法院檢察署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106年重覆字第1號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106.</w:t>
            </w:r>
            <w:r w:rsidRPr="00D64819">
              <w:rPr>
                <w:rFonts w:hAnsi="標楷體"/>
              </w:rPr>
              <w:t>0</w:t>
            </w:r>
            <w:r w:rsidRPr="00D64819">
              <w:rPr>
                <w:rFonts w:hAnsi="標楷體" w:hint="eastAsia"/>
              </w:rPr>
              <w:t>3.14</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106.</w:t>
            </w:r>
            <w:r w:rsidRPr="00D64819">
              <w:rPr>
                <w:rFonts w:hAnsi="標楷體"/>
              </w:rPr>
              <w:t>0</w:t>
            </w:r>
            <w:r w:rsidRPr="00D64819">
              <w:rPr>
                <w:rFonts w:hAnsi="標楷體" w:hint="eastAsia"/>
              </w:rPr>
              <w:t>6.12</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106.</w:t>
            </w:r>
            <w:r w:rsidRPr="00D64819">
              <w:rPr>
                <w:rFonts w:hAnsi="標楷體"/>
              </w:rPr>
              <w:t>0</w:t>
            </w:r>
            <w:r w:rsidRPr="00D64819">
              <w:rPr>
                <w:rFonts w:hAnsi="標楷體" w:hint="eastAsia"/>
              </w:rPr>
              <w:t>6.19</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11</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北部地方軍事法院檢察署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106年重覆字第3號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106.10.12</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107.</w:t>
            </w:r>
            <w:r w:rsidRPr="00D64819">
              <w:rPr>
                <w:rFonts w:hAnsi="標楷體"/>
              </w:rPr>
              <w:t>0</w:t>
            </w:r>
            <w:r w:rsidRPr="00D64819">
              <w:rPr>
                <w:rFonts w:hAnsi="標楷體" w:hint="eastAsia"/>
              </w:rPr>
              <w:t>1.30</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107.</w:t>
            </w:r>
            <w:r w:rsidRPr="00D64819">
              <w:rPr>
                <w:rFonts w:hAnsi="標楷體"/>
              </w:rPr>
              <w:t>0</w:t>
            </w:r>
            <w:r w:rsidRPr="00D64819">
              <w:rPr>
                <w:rFonts w:hAnsi="標楷體" w:hint="eastAsia"/>
              </w:rPr>
              <w:t>1.26</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12</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北部地方軍事法院檢察署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107年重覆字第2號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107.</w:t>
            </w:r>
            <w:r w:rsidRPr="00D64819">
              <w:rPr>
                <w:rFonts w:hAnsi="標楷體"/>
              </w:rPr>
              <w:t>0</w:t>
            </w:r>
            <w:r w:rsidRPr="00D64819">
              <w:rPr>
                <w:rFonts w:hAnsi="標楷體" w:hint="eastAsia"/>
              </w:rPr>
              <w:t>5.30</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107.10.16</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107.10.17</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13</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南部地方軍事法院</w:t>
            </w:r>
          </w:p>
        </w:tc>
        <w:tc>
          <w:tcPr>
            <w:tcW w:w="114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101年</w:t>
            </w:r>
            <w:proofErr w:type="gramStart"/>
            <w:r w:rsidRPr="00D64819">
              <w:rPr>
                <w:rFonts w:hAnsi="標楷體" w:hint="eastAsia"/>
              </w:rPr>
              <w:t>刑補重字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2.10</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5.21</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w:t>
            </w:r>
            <w:r w:rsidRPr="00D64819">
              <w:rPr>
                <w:rFonts w:hAnsi="標楷體"/>
              </w:rPr>
              <w:t>0</w:t>
            </w:r>
            <w:r w:rsidRPr="00D64819">
              <w:rPr>
                <w:rFonts w:hAnsi="標楷體" w:hint="eastAsia"/>
              </w:rPr>
              <w:t>5.22</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14</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南部地方軍事法院</w:t>
            </w:r>
          </w:p>
        </w:tc>
        <w:tc>
          <w:tcPr>
            <w:tcW w:w="1143" w:type="pct"/>
            <w:vAlign w:val="center"/>
          </w:tcPr>
          <w:p w:rsidR="00EB5E57" w:rsidRPr="00D64819" w:rsidRDefault="00EB5E57" w:rsidP="007D288F">
            <w:pPr>
              <w:pStyle w:val="121"/>
              <w:snapToGrid/>
              <w:spacing w:line="260" w:lineRule="exact"/>
              <w:contextualSpacing/>
              <w:rPr>
                <w:rFonts w:hAnsi="標楷體"/>
              </w:rPr>
            </w:pPr>
            <w:proofErr w:type="gramStart"/>
            <w:r w:rsidRPr="00D64819">
              <w:rPr>
                <w:rFonts w:hAnsi="標楷體" w:hint="eastAsia"/>
              </w:rPr>
              <w:t>101年刑補字</w:t>
            </w:r>
            <w:proofErr w:type="gramEnd"/>
            <w:r w:rsidRPr="00D64819">
              <w:rPr>
                <w:rFonts w:hAnsi="標楷體" w:hint="eastAsia"/>
              </w:rPr>
              <w:t>第1號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101.09.13</w:t>
            </w:r>
          </w:p>
        </w:tc>
        <w:tc>
          <w:tcPr>
            <w:tcW w:w="1892" w:type="pct"/>
            <w:gridSpan w:val="2"/>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未附卷</w:t>
            </w:r>
            <w:r w:rsidRPr="00D64819">
              <w:rPr>
                <w:rFonts w:hAnsi="標楷體" w:hint="eastAsia"/>
              </w:rPr>
              <w:t>（速達呈閱單101.10.30審判官先發後補呈庭長）</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15</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南部地方軍事法院檢察署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proofErr w:type="gramStart"/>
            <w:r w:rsidRPr="00D64819">
              <w:rPr>
                <w:rFonts w:hAnsi="標楷體" w:hint="eastAsia"/>
              </w:rPr>
              <w:t>102年刑補字</w:t>
            </w:r>
            <w:proofErr w:type="gramEnd"/>
            <w:r w:rsidRPr="00D64819">
              <w:rPr>
                <w:rFonts w:hAnsi="標楷體" w:hint="eastAsia"/>
              </w:rPr>
              <w:t>第3號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rPr>
              <w:t>102</w:t>
            </w:r>
            <w:r w:rsidRPr="00D64819">
              <w:rPr>
                <w:rFonts w:hAnsi="標楷體" w:hint="eastAsia"/>
              </w:rPr>
              <w:t>.</w:t>
            </w:r>
            <w:r w:rsidRPr="00D64819">
              <w:rPr>
                <w:rFonts w:hAnsi="標楷體"/>
              </w:rPr>
              <w:t>0</w:t>
            </w:r>
            <w:r w:rsidRPr="00D64819">
              <w:rPr>
                <w:rFonts w:hAnsi="標楷體" w:hint="eastAsia"/>
              </w:rPr>
              <w:t>3.21</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6.21</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7.22</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16</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南部地方軍事法院檢察署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proofErr w:type="gramStart"/>
            <w:r w:rsidRPr="00D64819">
              <w:rPr>
                <w:rFonts w:hAnsi="標楷體" w:hint="eastAsia"/>
              </w:rPr>
              <w:t>102年刑補字</w:t>
            </w:r>
            <w:proofErr w:type="gramEnd"/>
            <w:r w:rsidRPr="00D64819">
              <w:rPr>
                <w:rFonts w:hAnsi="標楷體" w:hint="eastAsia"/>
              </w:rPr>
              <w:t>第4號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rPr>
              <w:t>102</w:t>
            </w:r>
            <w:r w:rsidRPr="00D64819">
              <w:rPr>
                <w:rFonts w:hAnsi="標楷體" w:hint="eastAsia"/>
              </w:rPr>
              <w:t>.</w:t>
            </w:r>
            <w:r w:rsidRPr="00D64819">
              <w:rPr>
                <w:rFonts w:hAnsi="標楷體"/>
              </w:rPr>
              <w:t>0</w:t>
            </w:r>
            <w:r w:rsidRPr="00D64819">
              <w:rPr>
                <w:rFonts w:hAnsi="標楷體" w:hint="eastAsia"/>
              </w:rPr>
              <w:t>4.</w:t>
            </w:r>
            <w:r w:rsidRPr="00D64819">
              <w:rPr>
                <w:rFonts w:hAnsi="標楷體"/>
              </w:rPr>
              <w:t>0</w:t>
            </w:r>
            <w:r w:rsidRPr="00D64819">
              <w:rPr>
                <w:rFonts w:hAnsi="標楷體" w:hint="eastAsia"/>
              </w:rPr>
              <w:t>1</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7.</w:t>
            </w:r>
            <w:r w:rsidRPr="00D64819">
              <w:rPr>
                <w:rFonts w:hAnsi="標楷體"/>
              </w:rPr>
              <w:t>0</w:t>
            </w:r>
            <w:r w:rsidRPr="00D64819">
              <w:rPr>
                <w:rFonts w:hAnsi="標楷體" w:hint="eastAsia"/>
              </w:rPr>
              <w:t>3</w:t>
            </w:r>
          </w:p>
        </w:tc>
        <w:tc>
          <w:tcPr>
            <w:tcW w:w="917"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7.</w:t>
            </w:r>
            <w:r w:rsidRPr="00D64819">
              <w:rPr>
                <w:rFonts w:hAnsi="標楷體"/>
              </w:rPr>
              <w:t>0</w:t>
            </w:r>
            <w:r w:rsidRPr="00D64819">
              <w:rPr>
                <w:rFonts w:hAnsi="標楷體" w:hint="eastAsia"/>
              </w:rPr>
              <w:t>4</w:t>
            </w:r>
          </w:p>
          <w:p w:rsidR="00EB5E57" w:rsidRPr="00D64819" w:rsidRDefault="00EB5E57" w:rsidP="007D288F">
            <w:pPr>
              <w:pStyle w:val="121"/>
              <w:snapToGrid/>
              <w:spacing w:line="260" w:lineRule="exact"/>
              <w:contextualSpacing/>
              <w:jc w:val="center"/>
              <w:rPr>
                <w:rFonts w:hAnsi="標楷體"/>
              </w:rPr>
            </w:pPr>
            <w:r w:rsidRPr="00D64819">
              <w:rPr>
                <w:rFonts w:hAnsi="標楷體" w:hint="eastAsia"/>
                <w:b/>
              </w:rPr>
              <w:t>（逾3個月）</w:t>
            </w:r>
          </w:p>
        </w:tc>
      </w:tr>
      <w:tr w:rsidR="00EB5E57" w:rsidRPr="00D64819" w:rsidTr="007D288F">
        <w:trPr>
          <w:trHeight w:val="1021"/>
          <w:jc w:val="center"/>
        </w:trPr>
        <w:tc>
          <w:tcPr>
            <w:tcW w:w="310"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lastRenderedPageBreak/>
              <w:t>17</w:t>
            </w:r>
          </w:p>
        </w:tc>
        <w:tc>
          <w:tcPr>
            <w:tcW w:w="913" w:type="pct"/>
            <w:vAlign w:val="center"/>
          </w:tcPr>
          <w:p w:rsidR="00EB5E57" w:rsidRPr="00D64819" w:rsidRDefault="00EB5E57" w:rsidP="007D288F">
            <w:pPr>
              <w:pStyle w:val="121"/>
              <w:snapToGrid/>
              <w:spacing w:line="260" w:lineRule="exact"/>
              <w:contextualSpacing/>
              <w:rPr>
                <w:rFonts w:hAnsi="標楷體"/>
              </w:rPr>
            </w:pPr>
            <w:r w:rsidRPr="00D64819">
              <w:rPr>
                <w:rFonts w:hAnsi="標楷體" w:hint="eastAsia"/>
              </w:rPr>
              <w:t>南部地方軍事法院檢察署</w:t>
            </w:r>
          </w:p>
        </w:tc>
        <w:tc>
          <w:tcPr>
            <w:tcW w:w="1143" w:type="pct"/>
            <w:vAlign w:val="center"/>
          </w:tcPr>
          <w:p w:rsidR="00EB5E57" w:rsidRPr="00D64819" w:rsidRDefault="00EB5E57" w:rsidP="007D288F">
            <w:pPr>
              <w:pStyle w:val="121"/>
              <w:snapToGrid/>
              <w:spacing w:line="260" w:lineRule="exact"/>
              <w:contextualSpacing/>
              <w:rPr>
                <w:rFonts w:hAnsi="標楷體"/>
              </w:rPr>
            </w:pPr>
            <w:proofErr w:type="gramStart"/>
            <w:r w:rsidRPr="00D64819">
              <w:rPr>
                <w:rFonts w:hAnsi="標楷體" w:hint="eastAsia"/>
              </w:rPr>
              <w:t>102年刑補字</w:t>
            </w:r>
            <w:proofErr w:type="gramEnd"/>
            <w:r w:rsidRPr="00D64819">
              <w:rPr>
                <w:rFonts w:hAnsi="標楷體" w:hint="eastAsia"/>
              </w:rPr>
              <w:t>第5號</w:t>
            </w:r>
          </w:p>
        </w:tc>
        <w:tc>
          <w:tcPr>
            <w:tcW w:w="742"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rPr>
              <w:t>10</w:t>
            </w:r>
            <w:r w:rsidRPr="00D64819">
              <w:rPr>
                <w:rFonts w:hAnsi="標楷體" w:hint="eastAsia"/>
              </w:rPr>
              <w:t>2.</w:t>
            </w:r>
            <w:r w:rsidRPr="00D64819">
              <w:rPr>
                <w:rFonts w:hAnsi="標楷體"/>
              </w:rPr>
              <w:t>04</w:t>
            </w:r>
            <w:r w:rsidRPr="00D64819">
              <w:rPr>
                <w:rFonts w:hAnsi="標楷體" w:hint="eastAsia"/>
              </w:rPr>
              <w:t>.</w:t>
            </w:r>
            <w:r w:rsidRPr="00D64819">
              <w:rPr>
                <w:rFonts w:hAnsi="標楷體"/>
              </w:rPr>
              <w:t>01</w:t>
            </w:r>
          </w:p>
        </w:tc>
        <w:tc>
          <w:tcPr>
            <w:tcW w:w="974" w:type="pct"/>
            <w:vAlign w:val="center"/>
          </w:tcPr>
          <w:p w:rsidR="00EB5E57" w:rsidRPr="00D64819" w:rsidRDefault="00EB5E57" w:rsidP="007D288F">
            <w:pPr>
              <w:pStyle w:val="121"/>
              <w:snapToGrid/>
              <w:spacing w:line="260" w:lineRule="exact"/>
              <w:contextualSpacing/>
              <w:jc w:val="center"/>
              <w:rPr>
                <w:rFonts w:hAnsi="標楷體"/>
              </w:rPr>
            </w:pPr>
            <w:r w:rsidRPr="00D64819">
              <w:rPr>
                <w:rFonts w:hAnsi="標楷體" w:hint="eastAsia"/>
              </w:rPr>
              <w:t>102.</w:t>
            </w:r>
            <w:r w:rsidRPr="00D64819">
              <w:rPr>
                <w:rFonts w:hAnsi="標楷體"/>
              </w:rPr>
              <w:t>0</w:t>
            </w:r>
            <w:r w:rsidRPr="00D64819">
              <w:rPr>
                <w:rFonts w:hAnsi="標楷體" w:hint="eastAsia"/>
              </w:rPr>
              <w:t>6.13</w:t>
            </w:r>
          </w:p>
        </w:tc>
        <w:tc>
          <w:tcPr>
            <w:tcW w:w="917" w:type="pct"/>
            <w:vAlign w:val="center"/>
          </w:tcPr>
          <w:p w:rsidR="00EB5E57" w:rsidRPr="00D64819" w:rsidRDefault="00EB5E57" w:rsidP="007D288F">
            <w:pPr>
              <w:pStyle w:val="121"/>
              <w:snapToGrid/>
              <w:spacing w:line="260" w:lineRule="exact"/>
              <w:contextualSpacing/>
              <w:jc w:val="center"/>
              <w:rPr>
                <w:rFonts w:hAnsi="標楷體"/>
                <w:spacing w:val="-24"/>
              </w:rPr>
            </w:pPr>
            <w:r w:rsidRPr="00D64819">
              <w:rPr>
                <w:rFonts w:hAnsi="標楷體" w:hint="eastAsia"/>
                <w:b/>
                <w:spacing w:val="-24"/>
                <w:sz w:val="22"/>
                <w:szCs w:val="22"/>
              </w:rPr>
              <w:t>（國防部查無</w:t>
            </w:r>
            <w:r w:rsidRPr="00D64819">
              <w:rPr>
                <w:rFonts w:hAnsi="標楷體" w:hint="eastAsia"/>
                <w:b/>
                <w:spacing w:val="-24"/>
                <w:sz w:val="22"/>
                <w:szCs w:val="22"/>
                <w:lang w:eastAsia="zh-HK"/>
              </w:rPr>
              <w:t>公文</w:t>
            </w:r>
            <w:proofErr w:type="gramStart"/>
            <w:r w:rsidRPr="00D64819">
              <w:rPr>
                <w:rFonts w:hAnsi="標楷體" w:hint="eastAsia"/>
                <w:b/>
                <w:spacing w:val="-24"/>
                <w:sz w:val="22"/>
                <w:szCs w:val="22"/>
                <w:lang w:eastAsia="zh-HK"/>
              </w:rPr>
              <w:t>繕</w:t>
            </w:r>
            <w:proofErr w:type="gramEnd"/>
            <w:r w:rsidRPr="00D64819">
              <w:rPr>
                <w:rFonts w:hAnsi="標楷體" w:hint="eastAsia"/>
                <w:b/>
                <w:spacing w:val="-24"/>
                <w:sz w:val="22"/>
                <w:szCs w:val="22"/>
                <w:lang w:eastAsia="zh-HK"/>
              </w:rPr>
              <w:t>發紀錄</w:t>
            </w:r>
            <w:r w:rsidRPr="00D64819">
              <w:rPr>
                <w:rFonts w:hAnsi="標楷體" w:hint="eastAsia"/>
                <w:b/>
                <w:spacing w:val="-24"/>
                <w:sz w:val="22"/>
                <w:szCs w:val="22"/>
              </w:rPr>
              <w:t>，無法判斷）</w:t>
            </w:r>
          </w:p>
        </w:tc>
      </w:tr>
    </w:tbl>
    <w:p w:rsidR="00EB5E57" w:rsidRDefault="00EB5E57" w:rsidP="00F709B1">
      <w:pPr>
        <w:pStyle w:val="afa"/>
        <w:snapToGrid/>
        <w:rPr>
          <w:rFonts w:hAnsi="標楷體"/>
          <w:sz w:val="24"/>
          <w:szCs w:val="24"/>
        </w:rPr>
      </w:pPr>
      <w:r w:rsidRPr="00D64819">
        <w:rPr>
          <w:rFonts w:hAnsi="標楷體" w:hint="eastAsia"/>
          <w:sz w:val="24"/>
          <w:szCs w:val="24"/>
        </w:rPr>
        <w:t>資料來源：</w:t>
      </w:r>
      <w:r w:rsidRPr="00D64819">
        <w:rPr>
          <w:rFonts w:hAnsi="標楷體" w:hint="eastAsia"/>
          <w:sz w:val="24"/>
          <w:szCs w:val="24"/>
          <w:lang w:eastAsia="zh-HK"/>
        </w:rPr>
        <w:t>本院</w:t>
      </w:r>
      <w:r w:rsidRPr="00D64819">
        <w:rPr>
          <w:rFonts w:hAnsi="標楷體" w:hint="eastAsia"/>
          <w:sz w:val="24"/>
          <w:szCs w:val="24"/>
        </w:rPr>
        <w:t>整理自</w:t>
      </w:r>
      <w:r w:rsidRPr="00D64819">
        <w:rPr>
          <w:rFonts w:hAnsi="標楷體" w:hint="eastAsia"/>
          <w:sz w:val="24"/>
          <w:szCs w:val="24"/>
          <w:lang w:eastAsia="zh-HK"/>
        </w:rPr>
        <w:t>國防部</w:t>
      </w:r>
      <w:r w:rsidRPr="00D64819">
        <w:rPr>
          <w:rFonts w:hAnsi="標楷體" w:hint="eastAsia"/>
          <w:sz w:val="24"/>
          <w:szCs w:val="24"/>
        </w:rPr>
        <w:t>提供資料。</w:t>
      </w:r>
    </w:p>
    <w:p w:rsidR="00EB5E57" w:rsidRPr="00D64819" w:rsidRDefault="00EB5E57" w:rsidP="00F709B1"/>
    <w:p w:rsidR="00EB5E57" w:rsidRPr="00D64819" w:rsidRDefault="00EB5E57" w:rsidP="00F709B1">
      <w:pPr>
        <w:pStyle w:val="4"/>
        <w:rPr>
          <w:rFonts w:hAnsi="標楷體"/>
        </w:rPr>
      </w:pPr>
      <w:r w:rsidRPr="00D64819">
        <w:rPr>
          <w:rFonts w:hAnsi="標楷體" w:hint="eastAsia"/>
          <w:szCs w:val="32"/>
          <w:lang w:eastAsia="zh-HK"/>
        </w:rPr>
        <w:t>次按</w:t>
      </w:r>
      <w:r w:rsidRPr="00D64819">
        <w:rPr>
          <w:rFonts w:hAnsi="標楷體"/>
        </w:rPr>
        <w:t>國防部各級軍事法院及檢察署辦理刑事補償事件求償作業要點</w:t>
      </w:r>
      <w:r w:rsidRPr="00D64819">
        <w:rPr>
          <w:rFonts w:hAnsi="標楷體" w:hint="eastAsia"/>
          <w:lang w:eastAsia="zh-HK"/>
        </w:rPr>
        <w:t>第</w:t>
      </w:r>
      <w:r w:rsidRPr="00D64819">
        <w:rPr>
          <w:rFonts w:hAnsi="標楷體" w:hint="eastAsia"/>
        </w:rPr>
        <w:t>5</w:t>
      </w:r>
      <w:r w:rsidRPr="00D64819">
        <w:rPr>
          <w:rFonts w:hAnsi="標楷體" w:hint="eastAsia"/>
          <w:lang w:eastAsia="zh-HK"/>
        </w:rPr>
        <w:t>點規定</w:t>
      </w:r>
      <w:r w:rsidRPr="00D64819">
        <w:rPr>
          <w:rFonts w:hAnsi="標楷體" w:hint="eastAsia"/>
        </w:rPr>
        <w:t>，</w:t>
      </w:r>
      <w:r w:rsidRPr="00D64819">
        <w:rPr>
          <w:rFonts w:hAnsi="標楷體"/>
          <w:lang w:eastAsia="zh-HK"/>
        </w:rPr>
        <w:t>軍事法院或軍事檢察署於支付刑事補償金額後，應於15日內通知召開求償審查會，審查相關執行職務之人員，有無因故意或重大過失應予求償之情事</w:t>
      </w:r>
      <w:r w:rsidRPr="00D64819">
        <w:rPr>
          <w:rFonts w:hAnsi="標楷體" w:hint="eastAsia"/>
          <w:lang w:eastAsia="zh-HK"/>
        </w:rPr>
        <w:t>。據復，</w:t>
      </w:r>
      <w:r w:rsidRPr="00D64819">
        <w:rPr>
          <w:rFonts w:hAnsi="標楷體"/>
          <w:lang w:eastAsia="zh-HK"/>
        </w:rPr>
        <w:t>101至108年</w:t>
      </w:r>
      <w:r w:rsidRPr="00D64819">
        <w:rPr>
          <w:rFonts w:hAnsi="標楷體" w:hint="eastAsia"/>
          <w:lang w:eastAsia="zh-HK"/>
        </w:rPr>
        <w:t>度軍法案件最終確定刑事補償共</w:t>
      </w:r>
      <w:r w:rsidRPr="00D64819">
        <w:rPr>
          <w:rFonts w:hAnsi="標楷體"/>
          <w:lang w:eastAsia="zh-HK"/>
        </w:rPr>
        <w:t>16件</w:t>
      </w:r>
      <w:r w:rsidRPr="00D64819">
        <w:rPr>
          <w:rFonts w:hAnsi="標楷體" w:hint="eastAsia"/>
          <w:szCs w:val="32"/>
        </w:rPr>
        <w:t>，</w:t>
      </w:r>
      <w:r w:rsidRPr="00D64819">
        <w:rPr>
          <w:rFonts w:hAnsi="標楷體" w:hint="eastAsia"/>
          <w:szCs w:val="32"/>
          <w:lang w:eastAsia="zh-HK"/>
        </w:rPr>
        <w:t>其中，</w:t>
      </w:r>
      <w:r w:rsidRPr="00D64819">
        <w:rPr>
          <w:rFonts w:hAnsi="標楷體"/>
          <w:lang w:eastAsia="zh-HK"/>
        </w:rPr>
        <w:t>1件逾</w:t>
      </w:r>
      <w:r w:rsidRPr="00D64819">
        <w:rPr>
          <w:rFonts w:hAnsi="標楷體" w:hint="eastAsia"/>
          <w:lang w:eastAsia="zh-HK"/>
        </w:rPr>
        <w:t>15日</w:t>
      </w:r>
      <w:r w:rsidRPr="00D64819">
        <w:rPr>
          <w:rFonts w:hAnsi="標楷體"/>
          <w:lang w:eastAsia="zh-HK"/>
        </w:rPr>
        <w:t>通知召開求償審查會</w:t>
      </w:r>
      <w:r w:rsidRPr="00D64819">
        <w:rPr>
          <w:rFonts w:hAnsi="標楷體" w:hint="eastAsia"/>
          <w:lang w:eastAsia="zh-HK"/>
        </w:rPr>
        <w:t>，</w:t>
      </w:r>
      <w:r w:rsidRPr="00D64819">
        <w:rPr>
          <w:rFonts w:hAnsi="標楷體"/>
          <w:lang w:eastAsia="zh-HK"/>
        </w:rPr>
        <w:t>1件</w:t>
      </w:r>
      <w:r w:rsidRPr="00D64819">
        <w:rPr>
          <w:rFonts w:hAnsi="標楷體" w:hint="eastAsia"/>
          <w:lang w:eastAsia="zh-HK"/>
        </w:rPr>
        <w:t>則</w:t>
      </w:r>
      <w:r w:rsidRPr="00D64819">
        <w:rPr>
          <w:rFonts w:hAnsi="標楷體"/>
          <w:lang w:eastAsia="zh-HK"/>
        </w:rPr>
        <w:t>無法判斷（請求人請領補償金佐證未附卷，國防部確實撥款</w:t>
      </w:r>
      <w:r w:rsidRPr="00D64819">
        <w:rPr>
          <w:rFonts w:hAnsi="標楷體" w:hint="eastAsia"/>
          <w:lang w:eastAsia="zh-HK"/>
        </w:rPr>
        <w:t>，</w:t>
      </w:r>
      <w:r w:rsidRPr="00D64819">
        <w:rPr>
          <w:rFonts w:hAnsi="標楷體"/>
          <w:lang w:eastAsia="zh-HK"/>
        </w:rPr>
        <w:t>由高等軍事法院支付請求人在</w:t>
      </w:r>
      <w:r w:rsidRPr="00D64819">
        <w:rPr>
          <w:rFonts w:hAnsi="標楷體"/>
          <w:szCs w:val="32"/>
          <w:lang w:eastAsia="zh-HK"/>
        </w:rPr>
        <w:t>案）</w:t>
      </w:r>
      <w:r w:rsidRPr="00D64819">
        <w:rPr>
          <w:rFonts w:hAnsi="標楷體" w:hint="eastAsia"/>
          <w:szCs w:val="32"/>
        </w:rPr>
        <w:t>，</w:t>
      </w:r>
      <w:r w:rsidRPr="00D64819">
        <w:rPr>
          <w:rFonts w:hAnsi="標楷體" w:hint="eastAsia"/>
          <w:szCs w:val="32"/>
          <w:lang w:eastAsia="zh-HK"/>
        </w:rPr>
        <w:t>對此，據國防部</w:t>
      </w:r>
      <w:r w:rsidRPr="00D64819">
        <w:rPr>
          <w:rFonts w:hAnsi="標楷體" w:hint="eastAsia"/>
          <w:lang w:eastAsia="zh-HK"/>
        </w:rPr>
        <w:t>提供</w:t>
      </w:r>
      <w:r w:rsidRPr="00D64819">
        <w:rPr>
          <w:rFonts w:hAnsi="標楷體"/>
          <w:lang w:eastAsia="zh-HK"/>
        </w:rPr>
        <w:t>本院詢問</w:t>
      </w:r>
      <w:r w:rsidRPr="00D64819">
        <w:rPr>
          <w:rFonts w:hAnsi="標楷體" w:hint="eastAsia"/>
          <w:lang w:eastAsia="zh-HK"/>
        </w:rPr>
        <w:t>時之書面說明</w:t>
      </w:r>
      <w:r w:rsidRPr="00D64819">
        <w:rPr>
          <w:rFonts w:hAnsi="標楷體" w:hint="eastAsia"/>
          <w:szCs w:val="32"/>
        </w:rPr>
        <w:t>，</w:t>
      </w:r>
      <w:proofErr w:type="gramStart"/>
      <w:r w:rsidRPr="00D64819">
        <w:rPr>
          <w:rFonts w:hAnsi="標楷體" w:hint="eastAsia"/>
          <w:szCs w:val="32"/>
          <w:lang w:eastAsia="zh-HK"/>
        </w:rPr>
        <w:t>該部</w:t>
      </w:r>
      <w:r w:rsidRPr="00D64819">
        <w:rPr>
          <w:rFonts w:hAnsi="標楷體"/>
        </w:rPr>
        <w:t>除持續</w:t>
      </w:r>
      <w:proofErr w:type="gramEnd"/>
      <w:r w:rsidRPr="00D64819">
        <w:rPr>
          <w:rFonts w:hAnsi="標楷體"/>
        </w:rPr>
        <w:t>要求各級軍事</w:t>
      </w:r>
      <w:proofErr w:type="gramStart"/>
      <w:r w:rsidRPr="00D64819">
        <w:rPr>
          <w:rFonts w:hAnsi="標楷體"/>
        </w:rPr>
        <w:t>院確依</w:t>
      </w:r>
      <w:r w:rsidRPr="00D64819">
        <w:rPr>
          <w:rFonts w:hAnsi="標楷體" w:hint="eastAsia"/>
          <w:lang w:eastAsia="zh-HK"/>
        </w:rPr>
        <w:t>上</w:t>
      </w:r>
      <w:proofErr w:type="gramEnd"/>
      <w:r w:rsidRPr="00D64819">
        <w:rPr>
          <w:rFonts w:hAnsi="標楷體" w:hint="eastAsia"/>
          <w:lang w:eastAsia="zh-HK"/>
        </w:rPr>
        <w:t>開要點</w:t>
      </w:r>
      <w:r w:rsidRPr="00D64819">
        <w:rPr>
          <w:rFonts w:hAnsi="標楷體"/>
        </w:rPr>
        <w:t>依限通知召開審查會，將審查結果報</w:t>
      </w:r>
      <w:proofErr w:type="gramStart"/>
      <w:r w:rsidRPr="00D64819">
        <w:rPr>
          <w:rFonts w:hAnsi="標楷體"/>
        </w:rPr>
        <w:t>部核備外</w:t>
      </w:r>
      <w:proofErr w:type="gramEnd"/>
      <w:r w:rsidRPr="00D64819">
        <w:rPr>
          <w:rFonts w:hAnsi="標楷體"/>
        </w:rPr>
        <w:t>，相關程序執行實況將於年度</w:t>
      </w:r>
      <w:proofErr w:type="gramStart"/>
      <w:r w:rsidRPr="00D64819">
        <w:rPr>
          <w:rFonts w:hAnsi="標楷體"/>
        </w:rPr>
        <w:t>業務輔訪驗證</w:t>
      </w:r>
      <w:proofErr w:type="gramEnd"/>
      <w:r w:rsidRPr="00D64819">
        <w:rPr>
          <w:rFonts w:hAnsi="標楷體"/>
        </w:rPr>
        <w:t>，</w:t>
      </w:r>
      <w:proofErr w:type="gramStart"/>
      <w:r w:rsidRPr="00D64819">
        <w:rPr>
          <w:rFonts w:hAnsi="標楷體"/>
        </w:rPr>
        <w:t>避免類案再</w:t>
      </w:r>
      <w:proofErr w:type="gramEnd"/>
      <w:r w:rsidRPr="00D64819">
        <w:rPr>
          <w:rFonts w:hAnsi="標楷體"/>
        </w:rPr>
        <w:t>犯。</w:t>
      </w:r>
    </w:p>
    <w:p w:rsidR="00EB5E57" w:rsidRPr="00D64819" w:rsidRDefault="00EB5E57" w:rsidP="00F709B1">
      <w:pPr>
        <w:pStyle w:val="4"/>
        <w:rPr>
          <w:rFonts w:hAnsi="標楷體"/>
          <w:szCs w:val="32"/>
          <w:lang w:eastAsia="zh-HK"/>
        </w:rPr>
      </w:pPr>
      <w:proofErr w:type="gramStart"/>
      <w:r w:rsidRPr="00D64819">
        <w:rPr>
          <w:rFonts w:hAnsi="標楷體" w:hint="eastAsia"/>
          <w:lang w:eastAsia="zh-HK"/>
        </w:rPr>
        <w:t>復按</w:t>
      </w:r>
      <w:r w:rsidRPr="00D64819">
        <w:rPr>
          <w:rFonts w:hAnsi="標楷體"/>
        </w:rPr>
        <w:t>軍法</w:t>
      </w:r>
      <w:proofErr w:type="gramEnd"/>
      <w:r w:rsidRPr="00D64819">
        <w:rPr>
          <w:rFonts w:hAnsi="標楷體"/>
        </w:rPr>
        <w:t>案件造成刑事補償事件違失檢討作業要點</w:t>
      </w:r>
      <w:r w:rsidRPr="00D64819">
        <w:rPr>
          <w:rFonts w:hAnsi="標楷體" w:hint="eastAsia"/>
          <w:lang w:eastAsia="zh-HK"/>
        </w:rPr>
        <w:t>第</w:t>
      </w:r>
      <w:r w:rsidRPr="00D64819">
        <w:rPr>
          <w:rFonts w:hAnsi="標楷體"/>
          <w:lang w:eastAsia="zh-HK"/>
        </w:rPr>
        <w:t>2</w:t>
      </w:r>
      <w:r w:rsidRPr="00D64819">
        <w:rPr>
          <w:rFonts w:hAnsi="標楷體" w:hint="eastAsia"/>
          <w:lang w:eastAsia="zh-HK"/>
        </w:rPr>
        <w:t>點規定</w:t>
      </w:r>
      <w:r w:rsidRPr="00D64819">
        <w:rPr>
          <w:rFonts w:hAnsi="標楷體" w:hint="eastAsia"/>
        </w:rPr>
        <w:t>，</w:t>
      </w:r>
      <w:r w:rsidRPr="00D64819">
        <w:rPr>
          <w:rFonts w:hAnsi="標楷體" w:hint="eastAsia"/>
          <w:lang w:eastAsia="zh-HK"/>
        </w:rPr>
        <w:t>軍事法院或軍事法院檢察署受理刑事補償事件，應於補償決定確定後</w:t>
      </w:r>
      <w:r w:rsidRPr="00D64819">
        <w:rPr>
          <w:rFonts w:hAnsi="標楷體" w:hint="eastAsia"/>
        </w:rPr>
        <w:t>1</w:t>
      </w:r>
      <w:r w:rsidRPr="00D64819">
        <w:rPr>
          <w:rFonts w:hAnsi="標楷體"/>
        </w:rPr>
        <w:t>5</w:t>
      </w:r>
      <w:r w:rsidRPr="00D64819">
        <w:rPr>
          <w:rFonts w:hAnsi="標楷體" w:hint="eastAsia"/>
          <w:lang w:eastAsia="zh-HK"/>
        </w:rPr>
        <w:t>日內，將刑事補償決定及相關卷證，函送最高軍事法院、最高軍事法院檢察署，分別召集評議會議，審查軍事審判官、軍事檢察官有無</w:t>
      </w:r>
      <w:proofErr w:type="gramStart"/>
      <w:r w:rsidRPr="00D64819">
        <w:rPr>
          <w:rFonts w:hAnsi="標楷體" w:hint="eastAsia"/>
          <w:lang w:eastAsia="zh-HK"/>
        </w:rPr>
        <w:t>偵審違</w:t>
      </w:r>
      <w:proofErr w:type="gramEnd"/>
      <w:r w:rsidRPr="00D64819">
        <w:rPr>
          <w:rFonts w:hAnsi="標楷體" w:hint="eastAsia"/>
          <w:lang w:eastAsia="zh-HK"/>
        </w:rPr>
        <w:t>失責任。據復，</w:t>
      </w:r>
      <w:r w:rsidRPr="00D64819">
        <w:rPr>
          <w:rFonts w:hAnsi="標楷體"/>
          <w:lang w:eastAsia="zh-HK"/>
        </w:rPr>
        <w:t>101年至</w:t>
      </w:r>
      <w:proofErr w:type="gramStart"/>
      <w:r w:rsidRPr="00D64819">
        <w:rPr>
          <w:rFonts w:hAnsi="標楷體"/>
          <w:lang w:eastAsia="zh-HK"/>
        </w:rPr>
        <w:t>108</w:t>
      </w:r>
      <w:proofErr w:type="gramEnd"/>
      <w:r w:rsidRPr="00D64819">
        <w:rPr>
          <w:rFonts w:hAnsi="標楷體"/>
          <w:lang w:eastAsia="zh-HK"/>
        </w:rPr>
        <w:t>年度各級軍事院檢辦理確定補償案件共14件</w:t>
      </w:r>
      <w:r w:rsidRPr="00D64819">
        <w:rPr>
          <w:rFonts w:hAnsi="標楷體" w:hint="eastAsia"/>
          <w:lang w:eastAsia="zh-HK"/>
        </w:rPr>
        <w:t>，其中，</w:t>
      </w:r>
      <w:r w:rsidRPr="00D64819">
        <w:rPr>
          <w:rFonts w:hAnsi="標楷體"/>
          <w:lang w:eastAsia="zh-HK"/>
        </w:rPr>
        <w:t>補償決定後</w:t>
      </w:r>
      <w:r w:rsidRPr="00D64819">
        <w:rPr>
          <w:rFonts w:hAnsi="標楷體" w:hint="eastAsia"/>
          <w:lang w:eastAsia="zh-HK"/>
        </w:rPr>
        <w:t>逾</w:t>
      </w:r>
      <w:r w:rsidRPr="00D64819">
        <w:rPr>
          <w:rFonts w:hAnsi="標楷體"/>
          <w:lang w:eastAsia="zh-HK"/>
        </w:rPr>
        <w:t>15日函送</w:t>
      </w:r>
      <w:r w:rsidRPr="00D64819">
        <w:rPr>
          <w:rFonts w:hAnsi="標楷體" w:hint="eastAsia"/>
          <w:lang w:eastAsia="zh-HK"/>
        </w:rPr>
        <w:t>最高軍事法院、最高軍事法院檢察署</w:t>
      </w:r>
      <w:r w:rsidRPr="00D64819">
        <w:rPr>
          <w:rFonts w:hAnsi="標楷體"/>
          <w:lang w:eastAsia="zh-HK"/>
        </w:rPr>
        <w:t>審查相關人員</w:t>
      </w:r>
      <w:proofErr w:type="gramStart"/>
      <w:r w:rsidRPr="00D64819">
        <w:rPr>
          <w:rFonts w:hAnsi="標楷體"/>
          <w:lang w:eastAsia="zh-HK"/>
        </w:rPr>
        <w:t>違失計8件</w:t>
      </w:r>
      <w:proofErr w:type="gramEnd"/>
      <w:r w:rsidRPr="00D64819">
        <w:rPr>
          <w:rFonts w:hAnsi="標楷體"/>
          <w:lang w:eastAsia="zh-HK"/>
        </w:rPr>
        <w:t>（占57%）</w:t>
      </w:r>
      <w:r w:rsidRPr="00D64819">
        <w:rPr>
          <w:rFonts w:hAnsi="標楷體" w:hint="eastAsia"/>
          <w:szCs w:val="32"/>
        </w:rPr>
        <w:t>。</w:t>
      </w:r>
      <w:r w:rsidRPr="00D64819">
        <w:rPr>
          <w:rFonts w:hAnsi="標楷體" w:hint="eastAsia"/>
          <w:szCs w:val="32"/>
          <w:lang w:eastAsia="zh-HK"/>
        </w:rPr>
        <w:t>對此，據國防部</w:t>
      </w:r>
      <w:r w:rsidRPr="00D64819">
        <w:rPr>
          <w:rFonts w:hAnsi="標楷體" w:hint="eastAsia"/>
          <w:lang w:eastAsia="zh-HK"/>
        </w:rPr>
        <w:t>提供</w:t>
      </w:r>
      <w:r w:rsidRPr="00D64819">
        <w:rPr>
          <w:rFonts w:hAnsi="標楷體"/>
          <w:lang w:eastAsia="zh-HK"/>
        </w:rPr>
        <w:t>本</w:t>
      </w:r>
      <w:r w:rsidRPr="00D64819">
        <w:rPr>
          <w:rFonts w:hAnsi="標楷體"/>
          <w:lang w:eastAsia="zh-HK"/>
        </w:rPr>
        <w:lastRenderedPageBreak/>
        <w:t>院詢問</w:t>
      </w:r>
      <w:r w:rsidRPr="00D64819">
        <w:rPr>
          <w:rFonts w:hAnsi="標楷體" w:hint="eastAsia"/>
          <w:lang w:eastAsia="zh-HK"/>
        </w:rPr>
        <w:t>時之書面說明</w:t>
      </w:r>
      <w:r w:rsidRPr="00D64819">
        <w:rPr>
          <w:rFonts w:hAnsi="標楷體" w:hint="eastAsia"/>
          <w:szCs w:val="32"/>
        </w:rPr>
        <w:t>，</w:t>
      </w:r>
      <w:r w:rsidRPr="00D64819">
        <w:rPr>
          <w:rFonts w:hAnsi="標楷體" w:hint="eastAsia"/>
          <w:szCs w:val="32"/>
          <w:lang w:eastAsia="zh-HK"/>
        </w:rPr>
        <w:t>該部</w:t>
      </w:r>
      <w:r w:rsidRPr="00D64819">
        <w:rPr>
          <w:rFonts w:hAnsi="標楷體"/>
        </w:rPr>
        <w:t>要求各級軍事院</w:t>
      </w:r>
      <w:proofErr w:type="gramStart"/>
      <w:r w:rsidRPr="00D64819">
        <w:rPr>
          <w:rFonts w:hAnsi="標楷體"/>
        </w:rPr>
        <w:t>檢確依</w:t>
      </w:r>
      <w:proofErr w:type="gramEnd"/>
      <w:r w:rsidRPr="00D64819">
        <w:rPr>
          <w:rFonts w:hAnsi="標楷體" w:hint="eastAsia"/>
          <w:lang w:eastAsia="zh-HK"/>
        </w:rPr>
        <w:t>規定</w:t>
      </w:r>
      <w:r w:rsidRPr="00D64819">
        <w:rPr>
          <w:rFonts w:hAnsi="標楷體"/>
          <w:szCs w:val="32"/>
          <w:lang w:eastAsia="zh-HK"/>
        </w:rPr>
        <w:t>時限</w:t>
      </w:r>
      <w:r w:rsidRPr="00D64819">
        <w:rPr>
          <w:rFonts w:hAnsi="標楷體"/>
        </w:rPr>
        <w:t>檢附卷證函送</w:t>
      </w:r>
      <w:r w:rsidRPr="00D64819">
        <w:rPr>
          <w:rFonts w:hAnsi="標楷體" w:hint="eastAsia"/>
          <w:lang w:eastAsia="zh-HK"/>
        </w:rPr>
        <w:t>最高軍事法院、最高軍事法院檢察署</w:t>
      </w:r>
      <w:r w:rsidRPr="00D64819">
        <w:rPr>
          <w:rFonts w:hAnsi="標楷體"/>
        </w:rPr>
        <w:t>辦理違失審查作業，並利用年終</w:t>
      </w:r>
      <w:proofErr w:type="gramStart"/>
      <w:r w:rsidRPr="00D64819">
        <w:rPr>
          <w:rFonts w:hAnsi="標楷體"/>
        </w:rPr>
        <w:t>業務輔訪時機</w:t>
      </w:r>
      <w:proofErr w:type="gramEnd"/>
      <w:r w:rsidRPr="00D64819">
        <w:rPr>
          <w:rFonts w:hAnsi="標楷體"/>
        </w:rPr>
        <w:t>，查考各級軍事院檢辦理情形，嚴禁所屬人員</w:t>
      </w:r>
      <w:proofErr w:type="gramStart"/>
      <w:r w:rsidRPr="00D64819">
        <w:rPr>
          <w:rFonts w:hAnsi="標楷體"/>
        </w:rPr>
        <w:t>再犯未依</w:t>
      </w:r>
      <w:proofErr w:type="gramEnd"/>
      <w:r w:rsidRPr="00D64819">
        <w:rPr>
          <w:rFonts w:hAnsi="標楷體"/>
        </w:rPr>
        <w:t>規定函送審查作業疏失。</w:t>
      </w:r>
    </w:p>
    <w:p w:rsidR="00EB5E57" w:rsidRPr="00D64819" w:rsidRDefault="00EB5E57" w:rsidP="00F709B1">
      <w:pPr>
        <w:pStyle w:val="3"/>
        <w:rPr>
          <w:rFonts w:hAnsi="標楷體"/>
          <w:szCs w:val="32"/>
          <w:lang w:eastAsia="zh-HK"/>
        </w:rPr>
      </w:pPr>
      <w:r w:rsidRPr="00D64819">
        <w:rPr>
          <w:rFonts w:hAnsi="標楷體" w:hint="eastAsia"/>
          <w:szCs w:val="32"/>
          <w:lang w:eastAsia="zh-HK"/>
        </w:rPr>
        <w:t>另查，有關司法院</w:t>
      </w:r>
      <w:r w:rsidRPr="00D64819">
        <w:rPr>
          <w:rFonts w:hAnsi="標楷體" w:hint="eastAsia"/>
          <w:szCs w:val="32"/>
        </w:rPr>
        <w:t>、</w:t>
      </w:r>
      <w:r w:rsidRPr="00D64819">
        <w:rPr>
          <w:rFonts w:hAnsi="標楷體" w:hint="eastAsia"/>
          <w:szCs w:val="32"/>
          <w:lang w:eastAsia="zh-HK"/>
        </w:rPr>
        <w:t>法務部</w:t>
      </w:r>
      <w:r w:rsidRPr="00D64819">
        <w:rPr>
          <w:rFonts w:hAnsi="標楷體" w:hint="eastAsia"/>
          <w:szCs w:val="32"/>
        </w:rPr>
        <w:t>、</w:t>
      </w:r>
      <w:r w:rsidRPr="00D64819">
        <w:rPr>
          <w:rFonts w:hAnsi="標楷體" w:hint="eastAsia"/>
          <w:szCs w:val="32"/>
          <w:lang w:eastAsia="zh-HK"/>
        </w:rPr>
        <w:t>國防部對於</w:t>
      </w:r>
      <w:r w:rsidRPr="00D64819">
        <w:rPr>
          <w:rFonts w:hAnsi="標楷體" w:hint="eastAsia"/>
          <w:szCs w:val="32"/>
        </w:rPr>
        <w:t>刑事補償</w:t>
      </w:r>
      <w:r w:rsidRPr="00D64819">
        <w:rPr>
          <w:rFonts w:hAnsi="標楷體" w:hint="eastAsia"/>
          <w:szCs w:val="32"/>
          <w:lang w:eastAsia="zh-HK"/>
        </w:rPr>
        <w:t>事件業務管理之橫向聯繫機制部分，按</w:t>
      </w:r>
      <w:r w:rsidRPr="00D64819">
        <w:rPr>
          <w:rFonts w:hAnsi="標楷體" w:hint="eastAsia"/>
          <w:szCs w:val="32"/>
        </w:rPr>
        <w:t>刑事補償法第17條</w:t>
      </w:r>
      <w:r w:rsidRPr="00D64819">
        <w:rPr>
          <w:rFonts w:hAnsi="標楷體" w:hint="eastAsia"/>
        </w:rPr>
        <w:t>第2項</w:t>
      </w:r>
      <w:r w:rsidRPr="00D64819">
        <w:rPr>
          <w:rFonts w:hAnsi="標楷體" w:hint="eastAsia"/>
          <w:szCs w:val="32"/>
        </w:rPr>
        <w:t>規定，受理補償事件之機關，應於收到補償請求後3個月內，製作決定書，送達於最高檢察署。</w:t>
      </w:r>
      <w:proofErr w:type="gramStart"/>
      <w:r w:rsidRPr="00D64819">
        <w:rPr>
          <w:rFonts w:hAnsi="標楷體" w:hint="eastAsia"/>
          <w:szCs w:val="32"/>
          <w:lang w:eastAsia="zh-HK"/>
        </w:rPr>
        <w:t>次</w:t>
      </w:r>
      <w:r w:rsidRPr="00D64819">
        <w:rPr>
          <w:rFonts w:hAnsi="標楷體" w:hint="eastAsia"/>
          <w:szCs w:val="32"/>
        </w:rPr>
        <w:t>按</w:t>
      </w:r>
      <w:r w:rsidRPr="00D64819">
        <w:rPr>
          <w:rFonts w:hAnsi="標楷體" w:hint="eastAsia"/>
          <w:szCs w:val="32"/>
          <w:lang w:eastAsia="zh-HK"/>
        </w:rPr>
        <w:t>同</w:t>
      </w:r>
      <w:r w:rsidRPr="00D64819">
        <w:rPr>
          <w:rFonts w:hAnsi="標楷體" w:hint="eastAsia"/>
          <w:szCs w:val="32"/>
        </w:rPr>
        <w:t>法</w:t>
      </w:r>
      <w:proofErr w:type="gramEnd"/>
      <w:r w:rsidRPr="00D64819">
        <w:rPr>
          <w:rFonts w:hAnsi="標楷體" w:hint="eastAsia"/>
          <w:szCs w:val="32"/>
          <w:lang w:eastAsia="zh-HK"/>
        </w:rPr>
        <w:t>第</w:t>
      </w:r>
      <w:r w:rsidRPr="00D64819">
        <w:rPr>
          <w:rFonts w:hAnsi="標楷體" w:hint="eastAsia"/>
          <w:szCs w:val="32"/>
        </w:rPr>
        <w:t>18條</w:t>
      </w:r>
      <w:r w:rsidRPr="00D64819">
        <w:rPr>
          <w:rFonts w:hAnsi="標楷體" w:hint="eastAsia"/>
          <w:szCs w:val="32"/>
          <w:lang w:eastAsia="zh-HK"/>
        </w:rPr>
        <w:t>第</w:t>
      </w:r>
      <w:r w:rsidRPr="00D64819">
        <w:rPr>
          <w:rFonts w:hAnsi="標楷體" w:hint="eastAsia"/>
          <w:szCs w:val="32"/>
        </w:rPr>
        <w:t>2</w:t>
      </w:r>
      <w:r w:rsidRPr="00D64819">
        <w:rPr>
          <w:rFonts w:hAnsi="標楷體" w:hint="eastAsia"/>
          <w:szCs w:val="32"/>
          <w:lang w:eastAsia="zh-HK"/>
        </w:rPr>
        <w:t>項</w:t>
      </w:r>
      <w:r w:rsidRPr="00D64819">
        <w:rPr>
          <w:rFonts w:hAnsi="標楷體" w:hint="eastAsia"/>
          <w:szCs w:val="32"/>
        </w:rPr>
        <w:t>規定，</w:t>
      </w:r>
      <w:r w:rsidRPr="00D64819">
        <w:rPr>
          <w:rFonts w:hAnsi="標楷體" w:hint="eastAsia"/>
        </w:rPr>
        <w:t>補償</w:t>
      </w:r>
      <w:r w:rsidRPr="00D64819">
        <w:rPr>
          <w:rFonts w:hAnsi="標楷體" w:hint="eastAsia"/>
          <w:szCs w:val="32"/>
        </w:rPr>
        <w:t>決定違反</w:t>
      </w:r>
      <w:r w:rsidRPr="00D64819">
        <w:rPr>
          <w:rFonts w:hAnsi="標楷體" w:hint="eastAsia"/>
          <w:szCs w:val="32"/>
          <w:lang w:eastAsia="zh-HK"/>
        </w:rPr>
        <w:t>同法</w:t>
      </w:r>
      <w:r w:rsidRPr="00D64819">
        <w:rPr>
          <w:rFonts w:hAnsi="標楷體" w:hint="eastAsia"/>
          <w:szCs w:val="32"/>
        </w:rPr>
        <w:t>第1條、第2條規定，或有其他依法不應</w:t>
      </w:r>
      <w:r w:rsidRPr="00D64819">
        <w:rPr>
          <w:rFonts w:hAnsi="標楷體" w:hint="eastAsia"/>
        </w:rPr>
        <w:t>補償</w:t>
      </w:r>
      <w:r w:rsidRPr="00D64819">
        <w:rPr>
          <w:rFonts w:hAnsi="標楷體" w:hint="eastAsia"/>
          <w:szCs w:val="32"/>
        </w:rPr>
        <w:t>而</w:t>
      </w:r>
      <w:r w:rsidRPr="00D64819">
        <w:rPr>
          <w:rFonts w:hAnsi="標楷體" w:hint="eastAsia"/>
        </w:rPr>
        <w:t>補償</w:t>
      </w:r>
      <w:r w:rsidRPr="00D64819">
        <w:rPr>
          <w:rFonts w:hAnsi="標楷體" w:hint="eastAsia"/>
          <w:szCs w:val="32"/>
        </w:rPr>
        <w:t>之情形者，最高檢察署亦得</w:t>
      </w:r>
      <w:proofErr w:type="gramStart"/>
      <w:r w:rsidRPr="00D64819">
        <w:rPr>
          <w:rFonts w:hAnsi="標楷體" w:hint="eastAsia"/>
          <w:szCs w:val="32"/>
        </w:rPr>
        <w:t>聲請覆審</w:t>
      </w:r>
      <w:proofErr w:type="gramEnd"/>
      <w:r w:rsidRPr="00D64819">
        <w:rPr>
          <w:rFonts w:hAnsi="標楷體" w:hint="eastAsia"/>
          <w:szCs w:val="32"/>
        </w:rPr>
        <w:t>。</w:t>
      </w:r>
      <w:r w:rsidRPr="00D64819">
        <w:rPr>
          <w:rFonts w:hAnsi="標楷體" w:hint="eastAsia"/>
          <w:szCs w:val="32"/>
          <w:lang w:eastAsia="zh-HK"/>
        </w:rPr>
        <w:t>至於</w:t>
      </w:r>
      <w:r w:rsidRPr="00D64819">
        <w:rPr>
          <w:rFonts w:hAnsi="標楷體" w:hint="eastAsia"/>
          <w:szCs w:val="32"/>
        </w:rPr>
        <w:t>刑事補償法</w:t>
      </w:r>
      <w:r w:rsidRPr="00D64819">
        <w:rPr>
          <w:rFonts w:hAnsi="標楷體" w:hint="eastAsia"/>
          <w:szCs w:val="32"/>
          <w:lang w:eastAsia="zh-HK"/>
        </w:rPr>
        <w:t>第</w:t>
      </w:r>
      <w:r w:rsidRPr="00D64819">
        <w:rPr>
          <w:rFonts w:hAnsi="標楷體" w:hint="eastAsia"/>
          <w:szCs w:val="32"/>
        </w:rPr>
        <w:t>18條</w:t>
      </w:r>
      <w:r w:rsidRPr="00D64819">
        <w:rPr>
          <w:rFonts w:hAnsi="標楷體" w:hint="eastAsia"/>
          <w:szCs w:val="32"/>
          <w:lang w:eastAsia="zh-HK"/>
        </w:rPr>
        <w:t>第</w:t>
      </w:r>
      <w:r w:rsidRPr="00D64819">
        <w:rPr>
          <w:rFonts w:hAnsi="標楷體" w:hint="eastAsia"/>
          <w:szCs w:val="32"/>
        </w:rPr>
        <w:t>2</w:t>
      </w:r>
      <w:r w:rsidRPr="00D64819">
        <w:rPr>
          <w:rFonts w:hAnsi="標楷體" w:hint="eastAsia"/>
          <w:szCs w:val="32"/>
          <w:lang w:eastAsia="zh-HK"/>
        </w:rPr>
        <w:t>項規定修</w:t>
      </w:r>
      <w:r w:rsidRPr="00D64819">
        <w:rPr>
          <w:rFonts w:hAnsi="標楷體" w:hint="eastAsia"/>
          <w:szCs w:val="32"/>
        </w:rPr>
        <w:t>法</w:t>
      </w:r>
      <w:r w:rsidRPr="00D64819">
        <w:rPr>
          <w:rFonts w:hAnsi="標楷體" w:hint="eastAsia"/>
          <w:szCs w:val="32"/>
          <w:lang w:eastAsia="zh-HK"/>
        </w:rPr>
        <w:t>理</w:t>
      </w:r>
      <w:proofErr w:type="gramStart"/>
      <w:r w:rsidRPr="00D64819">
        <w:rPr>
          <w:rFonts w:hAnsi="標楷體" w:hint="eastAsia"/>
          <w:szCs w:val="32"/>
          <w:lang w:eastAsia="zh-HK"/>
        </w:rPr>
        <w:t>由</w:t>
      </w:r>
      <w:r w:rsidRPr="00D64819">
        <w:rPr>
          <w:rFonts w:hAnsi="標楷體" w:hint="eastAsia"/>
        </w:rPr>
        <w:t>敘載</w:t>
      </w:r>
      <w:proofErr w:type="gramEnd"/>
      <w:r w:rsidRPr="00D64819">
        <w:rPr>
          <w:rFonts w:hAnsi="標楷體" w:hint="eastAsia"/>
          <w:szCs w:val="32"/>
        </w:rPr>
        <w:t>，對於補償之決定，得由最高檢察署</w:t>
      </w:r>
      <w:proofErr w:type="gramStart"/>
      <w:r w:rsidRPr="00D64819">
        <w:rPr>
          <w:rFonts w:hAnsi="標楷體" w:hint="eastAsia"/>
          <w:szCs w:val="32"/>
        </w:rPr>
        <w:t>聲請覆審</w:t>
      </w:r>
      <w:proofErr w:type="gramEnd"/>
      <w:r w:rsidRPr="00D64819">
        <w:rPr>
          <w:rFonts w:hAnsi="標楷體" w:hint="eastAsia"/>
          <w:szCs w:val="32"/>
        </w:rPr>
        <w:t>，其目的無非藉由此覆審，對違法之決定有所救濟，以求公允，並避免國庫不當負擔。</w:t>
      </w:r>
      <w:r w:rsidRPr="00D64819">
        <w:rPr>
          <w:rFonts w:hAnsi="標楷體" w:hint="eastAsia"/>
          <w:szCs w:val="32"/>
          <w:lang w:eastAsia="zh-HK"/>
        </w:rPr>
        <w:t>據</w:t>
      </w:r>
      <w:r w:rsidRPr="00D64819">
        <w:rPr>
          <w:rFonts w:hAnsi="標楷體" w:hint="eastAsia"/>
          <w:szCs w:val="32"/>
        </w:rPr>
        <w:t>法務部</w:t>
      </w:r>
      <w:proofErr w:type="gramStart"/>
      <w:r w:rsidRPr="00D64819">
        <w:rPr>
          <w:rFonts w:hAnsi="標楷體" w:hint="eastAsia"/>
          <w:szCs w:val="32"/>
          <w:lang w:eastAsia="zh-HK"/>
        </w:rPr>
        <w:t>函</w:t>
      </w:r>
      <w:r w:rsidRPr="00D64819">
        <w:rPr>
          <w:rFonts w:hAnsi="標楷體" w:hint="eastAsia"/>
          <w:szCs w:val="32"/>
        </w:rPr>
        <w:t>復本院</w:t>
      </w:r>
      <w:proofErr w:type="gramEnd"/>
      <w:r w:rsidRPr="00D64819">
        <w:rPr>
          <w:rFonts w:hAnsi="標楷體" w:hint="eastAsia"/>
          <w:szCs w:val="32"/>
        </w:rPr>
        <w:t>，101至107年最高檢察署收受決定書共2,068件，惟</w:t>
      </w:r>
      <w:r w:rsidRPr="00D64819">
        <w:rPr>
          <w:rFonts w:hAnsi="標楷體" w:hint="eastAsia"/>
          <w:szCs w:val="32"/>
          <w:lang w:eastAsia="zh-HK"/>
        </w:rPr>
        <w:t>對於一二審法院</w:t>
      </w:r>
      <w:r w:rsidRPr="00D64819">
        <w:rPr>
          <w:rFonts w:hAnsi="標楷體" w:hint="eastAsia"/>
          <w:szCs w:val="32"/>
        </w:rPr>
        <w:t>、</w:t>
      </w:r>
      <w:r w:rsidRPr="00D64819">
        <w:rPr>
          <w:rFonts w:hAnsi="標楷體" w:hint="eastAsia"/>
          <w:szCs w:val="32"/>
          <w:lang w:eastAsia="zh-HK"/>
        </w:rPr>
        <w:t>檢察機關</w:t>
      </w:r>
      <w:r w:rsidRPr="00D64819">
        <w:rPr>
          <w:rFonts w:hAnsi="標楷體" w:hint="eastAsia"/>
          <w:szCs w:val="32"/>
        </w:rPr>
        <w:t>、軍事</w:t>
      </w:r>
      <w:r w:rsidRPr="00D64819">
        <w:rPr>
          <w:rFonts w:hAnsi="標楷體" w:hint="eastAsia"/>
          <w:szCs w:val="32"/>
          <w:lang w:eastAsia="zh-HK"/>
        </w:rPr>
        <w:t>審判機關</w:t>
      </w:r>
      <w:r w:rsidRPr="00D64819">
        <w:rPr>
          <w:rFonts w:hAnsi="標楷體" w:hint="eastAsia"/>
          <w:szCs w:val="32"/>
        </w:rPr>
        <w:t>是否如數</w:t>
      </w:r>
      <w:r w:rsidRPr="00D64819">
        <w:rPr>
          <w:rFonts w:hAnsi="標楷體" w:hint="eastAsia"/>
          <w:szCs w:val="32"/>
          <w:lang w:eastAsia="zh-HK"/>
        </w:rPr>
        <w:t>將</w:t>
      </w:r>
      <w:r w:rsidRPr="00D64819">
        <w:rPr>
          <w:rFonts w:hAnsi="標楷體" w:hint="eastAsia"/>
          <w:szCs w:val="32"/>
        </w:rPr>
        <w:t>補償</w:t>
      </w:r>
      <w:r w:rsidRPr="00D64819">
        <w:rPr>
          <w:rFonts w:hAnsi="標楷體"/>
          <w:szCs w:val="32"/>
        </w:rPr>
        <w:t>決定書</w:t>
      </w:r>
      <w:r w:rsidRPr="00D64819">
        <w:rPr>
          <w:rFonts w:hAnsi="標楷體" w:hint="eastAsia"/>
          <w:szCs w:val="32"/>
        </w:rPr>
        <w:t>送達</w:t>
      </w:r>
      <w:r w:rsidRPr="00D64819">
        <w:rPr>
          <w:rFonts w:hAnsi="標楷體" w:hint="eastAsia"/>
          <w:szCs w:val="32"/>
          <w:lang w:eastAsia="zh-HK"/>
        </w:rPr>
        <w:t>該</w:t>
      </w:r>
      <w:r w:rsidRPr="00D64819">
        <w:rPr>
          <w:rFonts w:hAnsi="標楷體" w:hint="eastAsia"/>
          <w:szCs w:val="32"/>
        </w:rPr>
        <w:t>署之</w:t>
      </w:r>
      <w:r w:rsidRPr="00D64819">
        <w:rPr>
          <w:rFonts w:hAnsi="標楷體" w:hint="eastAsia"/>
          <w:szCs w:val="32"/>
          <w:lang w:eastAsia="zh-HK"/>
        </w:rPr>
        <w:t>勾</w:t>
      </w:r>
      <w:proofErr w:type="gramStart"/>
      <w:r w:rsidRPr="00D64819">
        <w:rPr>
          <w:rFonts w:hAnsi="標楷體" w:hint="eastAsia"/>
          <w:szCs w:val="32"/>
          <w:lang w:eastAsia="zh-HK"/>
        </w:rPr>
        <w:t>稽</w:t>
      </w:r>
      <w:proofErr w:type="gramEnd"/>
      <w:r w:rsidRPr="00D64819">
        <w:rPr>
          <w:rFonts w:hAnsi="標楷體" w:hint="eastAsia"/>
          <w:szCs w:val="32"/>
        </w:rPr>
        <w:t>機制，</w:t>
      </w:r>
      <w:r w:rsidRPr="00D64819">
        <w:rPr>
          <w:rFonts w:hAnsi="標楷體" w:hint="eastAsia"/>
          <w:szCs w:val="32"/>
          <w:lang w:eastAsia="zh-HK"/>
        </w:rPr>
        <w:t>盡付闕如</w:t>
      </w:r>
      <w:r>
        <w:rPr>
          <w:rFonts w:hAnsi="標楷體" w:hint="eastAsia"/>
          <w:szCs w:val="32"/>
          <w:lang w:eastAsia="zh-HK"/>
        </w:rPr>
        <w:t>，要難謂</w:t>
      </w:r>
      <w:r w:rsidRPr="00282259">
        <w:rPr>
          <w:rFonts w:hAnsi="標楷體" w:hint="eastAsia"/>
          <w:color w:val="FF0000"/>
          <w:szCs w:val="32"/>
          <w:lang w:eastAsia="zh-HK"/>
        </w:rPr>
        <w:t>無</w:t>
      </w:r>
      <w:r w:rsidRPr="00D64819">
        <w:rPr>
          <w:rFonts w:hAnsi="標楷體" w:hint="eastAsia"/>
          <w:szCs w:val="32"/>
        </w:rPr>
        <w:t>不應</w:t>
      </w:r>
      <w:r w:rsidRPr="00D64819">
        <w:rPr>
          <w:rFonts w:hAnsi="標楷體" w:hint="eastAsia"/>
        </w:rPr>
        <w:t>補償</w:t>
      </w:r>
      <w:r w:rsidRPr="00D64819">
        <w:rPr>
          <w:rFonts w:hAnsi="標楷體" w:hint="eastAsia"/>
          <w:szCs w:val="32"/>
        </w:rPr>
        <w:t>而</w:t>
      </w:r>
      <w:r w:rsidRPr="00D64819">
        <w:rPr>
          <w:rFonts w:hAnsi="標楷體" w:hint="eastAsia"/>
        </w:rPr>
        <w:t>補償</w:t>
      </w:r>
      <w:r w:rsidRPr="00D64819">
        <w:rPr>
          <w:rFonts w:hAnsi="標楷體" w:hint="eastAsia"/>
          <w:szCs w:val="32"/>
          <w:lang w:eastAsia="zh-HK"/>
        </w:rPr>
        <w:t>事件漏未救濟之情事發生</w:t>
      </w:r>
      <w:r w:rsidRPr="00D64819">
        <w:rPr>
          <w:rFonts w:hAnsi="標楷體" w:hint="eastAsia"/>
          <w:szCs w:val="32"/>
        </w:rPr>
        <w:t>。經參酌司法院、法務部、國防部分別</w:t>
      </w:r>
      <w:proofErr w:type="gramStart"/>
      <w:r w:rsidRPr="00D64819">
        <w:rPr>
          <w:rFonts w:hAnsi="標楷體" w:hint="eastAsia"/>
          <w:szCs w:val="32"/>
        </w:rPr>
        <w:t>查復本院</w:t>
      </w:r>
      <w:proofErr w:type="gramEnd"/>
      <w:r w:rsidRPr="00D64819">
        <w:rPr>
          <w:rFonts w:hAnsi="標楷體" w:hint="eastAsia"/>
          <w:szCs w:val="32"/>
        </w:rPr>
        <w:t>之書面說明，101至107年</w:t>
      </w:r>
      <w:r w:rsidRPr="00D64819">
        <w:rPr>
          <w:rFonts w:hAnsi="標楷體" w:hint="eastAsia"/>
          <w:szCs w:val="32"/>
          <w:lang w:eastAsia="zh-HK"/>
        </w:rPr>
        <w:t>一二審法院</w:t>
      </w:r>
      <w:r w:rsidRPr="00D64819">
        <w:rPr>
          <w:rFonts w:hAnsi="標楷體"/>
          <w:szCs w:val="32"/>
        </w:rPr>
        <w:t>辦理刑事補償事件</w:t>
      </w:r>
      <w:r w:rsidRPr="00D64819">
        <w:rPr>
          <w:rFonts w:hAnsi="標楷體" w:hint="eastAsia"/>
          <w:szCs w:val="32"/>
        </w:rPr>
        <w:t>終結件數</w:t>
      </w:r>
      <w:r w:rsidRPr="00D64819">
        <w:rPr>
          <w:rFonts w:hAnsi="標楷體" w:hint="eastAsia"/>
          <w:szCs w:val="32"/>
          <w:lang w:eastAsia="zh-HK"/>
        </w:rPr>
        <w:t>共</w:t>
      </w:r>
      <w:r w:rsidRPr="00D64819">
        <w:rPr>
          <w:rFonts w:hAnsi="標楷體" w:hint="eastAsia"/>
          <w:szCs w:val="32"/>
        </w:rPr>
        <w:t>1,589件，</w:t>
      </w:r>
      <w:r w:rsidRPr="00D64819">
        <w:rPr>
          <w:rFonts w:hAnsi="標楷體" w:hint="eastAsia"/>
          <w:szCs w:val="32"/>
          <w:lang w:eastAsia="zh-HK"/>
        </w:rPr>
        <w:t>檢察機關</w:t>
      </w:r>
      <w:r w:rsidRPr="00D64819">
        <w:rPr>
          <w:rFonts w:hAnsi="標楷體" w:hint="eastAsia"/>
          <w:szCs w:val="32"/>
        </w:rPr>
        <w:t>終結</w:t>
      </w:r>
      <w:r w:rsidRPr="00D64819">
        <w:rPr>
          <w:rFonts w:hAnsi="標楷體" w:hint="eastAsia"/>
          <w:szCs w:val="32"/>
          <w:lang w:eastAsia="zh-HK"/>
        </w:rPr>
        <w:t>共</w:t>
      </w:r>
      <w:r w:rsidRPr="00D64819">
        <w:rPr>
          <w:rFonts w:hAnsi="標楷體"/>
        </w:rPr>
        <w:t>29</w:t>
      </w:r>
      <w:r w:rsidRPr="00D64819">
        <w:rPr>
          <w:rFonts w:hAnsi="標楷體" w:hint="eastAsia"/>
        </w:rPr>
        <w:t>5</w:t>
      </w:r>
      <w:r w:rsidRPr="00D64819">
        <w:rPr>
          <w:rFonts w:hAnsi="標楷體" w:hint="eastAsia"/>
          <w:szCs w:val="32"/>
          <w:lang w:eastAsia="zh-HK"/>
        </w:rPr>
        <w:t>件，</w:t>
      </w:r>
      <w:r w:rsidRPr="00D64819">
        <w:rPr>
          <w:rFonts w:hAnsi="標楷體" w:hint="eastAsia"/>
          <w:szCs w:val="32"/>
        </w:rPr>
        <w:t>軍事</w:t>
      </w:r>
      <w:r w:rsidRPr="00D64819">
        <w:rPr>
          <w:rFonts w:hAnsi="標楷體" w:hint="eastAsia"/>
          <w:szCs w:val="32"/>
          <w:lang w:eastAsia="zh-HK"/>
        </w:rPr>
        <w:t>審判機關</w:t>
      </w:r>
      <w:r w:rsidRPr="00D64819">
        <w:rPr>
          <w:rFonts w:hAnsi="標楷體" w:hint="eastAsia"/>
          <w:szCs w:val="32"/>
        </w:rPr>
        <w:t>將補償決定書送達最高檢察署計</w:t>
      </w:r>
      <w:r w:rsidRPr="00D64819">
        <w:rPr>
          <w:rFonts w:hAnsi="標楷體" w:hint="eastAsia"/>
          <w:szCs w:val="32"/>
          <w:lang w:eastAsia="zh-HK"/>
        </w:rPr>
        <w:t>50件</w:t>
      </w:r>
      <w:r w:rsidRPr="00D64819">
        <w:rPr>
          <w:rFonts w:hAnsi="標楷體" w:hint="eastAsia"/>
          <w:szCs w:val="32"/>
        </w:rPr>
        <w:t>，</w:t>
      </w:r>
      <w:r w:rsidRPr="00D64819">
        <w:rPr>
          <w:rFonts w:hAnsi="標楷體" w:hint="eastAsia"/>
          <w:szCs w:val="32"/>
          <w:lang w:eastAsia="zh-HK"/>
        </w:rPr>
        <w:t>另有3件無法判斷（未附卷或查無公文</w:t>
      </w:r>
      <w:proofErr w:type="gramStart"/>
      <w:r w:rsidRPr="00D64819">
        <w:rPr>
          <w:rFonts w:hAnsi="標楷體" w:hint="eastAsia"/>
          <w:szCs w:val="32"/>
          <w:lang w:eastAsia="zh-HK"/>
        </w:rPr>
        <w:t>繕</w:t>
      </w:r>
      <w:proofErr w:type="gramEnd"/>
      <w:r w:rsidRPr="00D64819">
        <w:rPr>
          <w:rFonts w:hAnsi="標楷體" w:hint="eastAsia"/>
          <w:szCs w:val="32"/>
          <w:lang w:eastAsia="zh-HK"/>
        </w:rPr>
        <w:t>發紀錄），可見最高檢察署收受件數（2,068件）與有關</w:t>
      </w:r>
      <w:proofErr w:type="gramStart"/>
      <w:r w:rsidRPr="00D64819">
        <w:rPr>
          <w:rFonts w:hAnsi="標楷體" w:hint="eastAsia"/>
          <w:szCs w:val="32"/>
          <w:lang w:eastAsia="zh-HK"/>
        </w:rPr>
        <w:t>機關應函送</w:t>
      </w:r>
      <w:proofErr w:type="gramEnd"/>
      <w:r w:rsidRPr="00D64819">
        <w:rPr>
          <w:rFonts w:hAnsi="標楷體" w:hint="eastAsia"/>
          <w:szCs w:val="32"/>
          <w:lang w:eastAsia="zh-HK"/>
        </w:rPr>
        <w:t>件數（1,93</w:t>
      </w:r>
      <w:r>
        <w:rPr>
          <w:rFonts w:hAnsi="標楷體" w:hint="eastAsia"/>
          <w:szCs w:val="32"/>
        </w:rPr>
        <w:t>7</w:t>
      </w:r>
      <w:r w:rsidRPr="00D64819">
        <w:rPr>
          <w:rFonts w:hAnsi="標楷體" w:hint="eastAsia"/>
          <w:szCs w:val="32"/>
          <w:lang w:eastAsia="zh-HK"/>
        </w:rPr>
        <w:t>件）顯有差距，</w:t>
      </w:r>
      <w:proofErr w:type="gramStart"/>
      <w:r w:rsidRPr="00D64819">
        <w:rPr>
          <w:rFonts w:hAnsi="標楷體" w:hint="eastAsia"/>
          <w:szCs w:val="32"/>
          <w:lang w:eastAsia="zh-HK"/>
        </w:rPr>
        <w:t>凸</w:t>
      </w:r>
      <w:proofErr w:type="gramEnd"/>
      <w:r w:rsidRPr="00D64819">
        <w:rPr>
          <w:rFonts w:hAnsi="標楷體" w:hint="eastAsia"/>
          <w:szCs w:val="32"/>
          <w:lang w:eastAsia="zh-HK"/>
        </w:rPr>
        <w:t>顯司法院、法務部、國防部對於刑事</w:t>
      </w:r>
      <w:r w:rsidRPr="00D64819">
        <w:rPr>
          <w:rFonts w:hAnsi="標楷體" w:hint="eastAsia"/>
          <w:szCs w:val="32"/>
        </w:rPr>
        <w:t>補償</w:t>
      </w:r>
      <w:r w:rsidRPr="00D64819">
        <w:rPr>
          <w:rFonts w:hAnsi="標楷體" w:hint="eastAsia"/>
          <w:szCs w:val="32"/>
          <w:lang w:eastAsia="zh-HK"/>
        </w:rPr>
        <w:t>事件業務管理之橫向聯繫機制有待提升。</w:t>
      </w:r>
    </w:p>
    <w:p w:rsidR="00EB5E57" w:rsidRPr="00D64819" w:rsidRDefault="00EB5E57" w:rsidP="00F709B1">
      <w:pPr>
        <w:pStyle w:val="3"/>
        <w:rPr>
          <w:rFonts w:hAnsi="標楷體"/>
          <w:szCs w:val="32"/>
        </w:rPr>
      </w:pPr>
      <w:r w:rsidRPr="00D64819">
        <w:rPr>
          <w:rFonts w:hAnsi="標楷體" w:hint="eastAsia"/>
          <w:lang w:eastAsia="zh-HK"/>
        </w:rPr>
        <w:t>又查，按</w:t>
      </w:r>
      <w:r w:rsidRPr="00D64819">
        <w:rPr>
          <w:rFonts w:hAnsi="標楷體" w:hint="eastAsia"/>
          <w:szCs w:val="32"/>
        </w:rPr>
        <w:t>刑事補償法</w:t>
      </w:r>
      <w:r w:rsidRPr="00D64819">
        <w:rPr>
          <w:rFonts w:hAnsi="標楷體" w:hint="eastAsia"/>
          <w:szCs w:val="32"/>
          <w:lang w:eastAsia="zh-HK"/>
        </w:rPr>
        <w:t>第</w:t>
      </w:r>
      <w:r w:rsidRPr="00D64819">
        <w:rPr>
          <w:rFonts w:hAnsi="標楷體" w:hint="eastAsia"/>
          <w:szCs w:val="32"/>
        </w:rPr>
        <w:t>20</w:t>
      </w:r>
      <w:r w:rsidRPr="00D64819">
        <w:rPr>
          <w:rFonts w:hAnsi="標楷體" w:hint="eastAsia"/>
          <w:szCs w:val="32"/>
          <w:lang w:eastAsia="zh-HK"/>
        </w:rPr>
        <w:t>條規定</w:t>
      </w:r>
      <w:r w:rsidRPr="00D64819">
        <w:rPr>
          <w:rFonts w:hAnsi="標楷體" w:hint="eastAsia"/>
          <w:szCs w:val="32"/>
        </w:rPr>
        <w:t>，</w:t>
      </w:r>
      <w:proofErr w:type="gramStart"/>
      <w:r w:rsidRPr="00D64819">
        <w:rPr>
          <w:rFonts w:hAnsi="標楷體" w:hint="eastAsia"/>
          <w:szCs w:val="32"/>
        </w:rPr>
        <w:t>聲請覆審</w:t>
      </w:r>
      <w:proofErr w:type="gramEnd"/>
      <w:r w:rsidRPr="00D64819">
        <w:rPr>
          <w:rFonts w:hAnsi="標楷體" w:hint="eastAsia"/>
          <w:szCs w:val="32"/>
        </w:rPr>
        <w:t>，應於</w:t>
      </w:r>
      <w:r w:rsidRPr="00D64819">
        <w:rPr>
          <w:rFonts w:hAnsi="標楷體" w:hint="eastAsia"/>
          <w:szCs w:val="32"/>
        </w:rPr>
        <w:lastRenderedPageBreak/>
        <w:t>決定書送達後20日內，以書狀敘述理由，經原決定機關，向司法院刑事補償法庭為之。</w:t>
      </w:r>
      <w:r w:rsidRPr="00D64819">
        <w:rPr>
          <w:rFonts w:hAnsi="標楷體" w:hint="eastAsia"/>
          <w:szCs w:val="32"/>
          <w:lang w:eastAsia="zh-HK"/>
        </w:rPr>
        <w:t>據</w:t>
      </w:r>
      <w:r w:rsidRPr="00D64819">
        <w:rPr>
          <w:rFonts w:hAnsi="標楷體" w:hint="eastAsia"/>
          <w:szCs w:val="32"/>
        </w:rPr>
        <w:t>司法</w:t>
      </w:r>
      <w:r w:rsidRPr="00D64819">
        <w:rPr>
          <w:rFonts w:hAnsi="標楷體" w:hint="eastAsia"/>
          <w:szCs w:val="32"/>
          <w:lang w:eastAsia="zh-HK"/>
        </w:rPr>
        <w:t>院</w:t>
      </w:r>
      <w:proofErr w:type="gramStart"/>
      <w:r w:rsidRPr="00D64819">
        <w:rPr>
          <w:rFonts w:hAnsi="標楷體" w:hint="eastAsia"/>
          <w:szCs w:val="32"/>
          <w:lang w:eastAsia="zh-HK"/>
        </w:rPr>
        <w:t>函復本院</w:t>
      </w:r>
      <w:proofErr w:type="gramEnd"/>
      <w:r w:rsidRPr="00D64819">
        <w:rPr>
          <w:rFonts w:hAnsi="標楷體" w:hint="eastAsia"/>
          <w:szCs w:val="32"/>
        </w:rPr>
        <w:t>，101至107年</w:t>
      </w:r>
      <w:r w:rsidRPr="00D64819">
        <w:rPr>
          <w:rFonts w:hAnsi="標楷體" w:hint="eastAsia"/>
          <w:szCs w:val="32"/>
          <w:lang w:eastAsia="zh-HK"/>
        </w:rPr>
        <w:t>該院</w:t>
      </w:r>
      <w:r w:rsidRPr="00D64819">
        <w:rPr>
          <w:rFonts w:hAnsi="標楷體" w:hint="eastAsia"/>
          <w:szCs w:val="32"/>
        </w:rPr>
        <w:t>刑事補償法庭受理檢察機關、軍</w:t>
      </w:r>
      <w:r w:rsidRPr="00D64819">
        <w:rPr>
          <w:rFonts w:hAnsi="標楷體" w:hint="eastAsia"/>
          <w:szCs w:val="32"/>
          <w:lang w:eastAsia="zh-HK"/>
        </w:rPr>
        <w:t>審判</w:t>
      </w:r>
      <w:r w:rsidRPr="00D64819">
        <w:rPr>
          <w:rFonts w:hAnsi="標楷體" w:hint="eastAsia"/>
          <w:szCs w:val="32"/>
        </w:rPr>
        <w:t>機關</w:t>
      </w:r>
      <w:r w:rsidRPr="00D64819">
        <w:rPr>
          <w:rFonts w:hAnsi="標楷體" w:hint="eastAsia"/>
          <w:szCs w:val="32"/>
          <w:lang w:eastAsia="zh-HK"/>
        </w:rPr>
        <w:t>等</w:t>
      </w:r>
      <w:r w:rsidRPr="00D64819">
        <w:rPr>
          <w:rFonts w:hAnsi="標楷體" w:hint="eastAsia"/>
          <w:szCs w:val="32"/>
        </w:rPr>
        <w:t>法院以外刑事補償事件共346件（含舊受13件、新受333件），終結件數340件，</w:t>
      </w:r>
      <w:proofErr w:type="gramStart"/>
      <w:r w:rsidRPr="00D64819">
        <w:rPr>
          <w:rFonts w:hAnsi="標楷體" w:hint="eastAsia"/>
          <w:szCs w:val="32"/>
        </w:rPr>
        <w:t>未結件數</w:t>
      </w:r>
      <w:proofErr w:type="gramEnd"/>
      <w:r w:rsidRPr="00D64819">
        <w:rPr>
          <w:rFonts w:hAnsi="標楷體" w:hint="eastAsia"/>
          <w:szCs w:val="32"/>
        </w:rPr>
        <w:t>5件。</w:t>
      </w:r>
      <w:proofErr w:type="gramStart"/>
      <w:r w:rsidRPr="00D64819">
        <w:rPr>
          <w:rFonts w:hAnsi="標楷體" w:hint="eastAsia"/>
          <w:szCs w:val="32"/>
          <w:lang w:eastAsia="zh-HK"/>
        </w:rPr>
        <w:t>惟</w:t>
      </w:r>
      <w:proofErr w:type="gramEnd"/>
      <w:r w:rsidRPr="00D64819">
        <w:rPr>
          <w:rFonts w:hAnsi="標楷體" w:hint="eastAsia"/>
          <w:szCs w:val="32"/>
        </w:rPr>
        <w:t>根據法務部、國防部分別</w:t>
      </w:r>
      <w:proofErr w:type="gramStart"/>
      <w:r w:rsidRPr="00D64819">
        <w:rPr>
          <w:rFonts w:hAnsi="標楷體" w:hint="eastAsia"/>
          <w:szCs w:val="32"/>
        </w:rPr>
        <w:t>查復本院</w:t>
      </w:r>
      <w:proofErr w:type="gramEnd"/>
      <w:r w:rsidRPr="00D64819">
        <w:rPr>
          <w:rFonts w:hAnsi="標楷體" w:hint="eastAsia"/>
          <w:szCs w:val="32"/>
        </w:rPr>
        <w:t>之書面說明，101至107年</w:t>
      </w:r>
      <w:r w:rsidRPr="00D64819">
        <w:rPr>
          <w:rFonts w:hAnsi="標楷體" w:hint="eastAsia"/>
          <w:szCs w:val="32"/>
          <w:lang w:eastAsia="zh-HK"/>
        </w:rPr>
        <w:t>檢察機關辦理刑事補償覆審事件共</w:t>
      </w:r>
      <w:r w:rsidRPr="00D64819">
        <w:rPr>
          <w:rFonts w:hAnsi="標楷體" w:hint="eastAsia"/>
          <w:szCs w:val="32"/>
        </w:rPr>
        <w:t>62件（含舊受60件、新受2件），終結58件，未結4件；</w:t>
      </w:r>
      <w:r w:rsidRPr="00D64819">
        <w:rPr>
          <w:rFonts w:hAnsi="標楷體" w:hint="eastAsia"/>
          <w:szCs w:val="32"/>
          <w:lang w:eastAsia="zh-HK"/>
        </w:rPr>
        <w:t>同期間軍事審判機關</w:t>
      </w:r>
      <w:r w:rsidRPr="00D64819">
        <w:rPr>
          <w:rFonts w:hAnsi="標楷體" w:hint="eastAsia"/>
          <w:szCs w:val="32"/>
        </w:rPr>
        <w:t>聲請司法院刑事補償法庭覆審之刑事補償事件共16件（均覆審確定），</w:t>
      </w:r>
      <w:r w:rsidRPr="00D64819">
        <w:rPr>
          <w:rFonts w:hAnsi="標楷體" w:hint="eastAsia"/>
          <w:szCs w:val="32"/>
          <w:lang w:eastAsia="zh-HK"/>
        </w:rPr>
        <w:t>顯示</w:t>
      </w:r>
      <w:proofErr w:type="gramStart"/>
      <w:r w:rsidRPr="00D64819">
        <w:rPr>
          <w:rFonts w:hAnsi="標楷體" w:hint="eastAsia"/>
          <w:szCs w:val="32"/>
          <w:lang w:eastAsia="zh-HK"/>
        </w:rPr>
        <w:t>囿</w:t>
      </w:r>
      <w:proofErr w:type="gramEnd"/>
      <w:r w:rsidRPr="00D64819">
        <w:rPr>
          <w:rFonts w:hAnsi="標楷體" w:hint="eastAsia"/>
          <w:szCs w:val="32"/>
          <w:lang w:eastAsia="zh-HK"/>
        </w:rPr>
        <w:t>於</w:t>
      </w:r>
      <w:r w:rsidRPr="00D64819">
        <w:rPr>
          <w:rFonts w:hAnsi="標楷體" w:hint="eastAsia"/>
          <w:lang w:eastAsia="zh-HK"/>
        </w:rPr>
        <w:t>司法院、法務部、國防部就</w:t>
      </w:r>
      <w:r w:rsidRPr="00D64819">
        <w:rPr>
          <w:rFonts w:hAnsi="標楷體" w:hint="eastAsia"/>
          <w:szCs w:val="32"/>
        </w:rPr>
        <w:t>刑事補償事件</w:t>
      </w:r>
      <w:r w:rsidRPr="00D64819">
        <w:rPr>
          <w:rFonts w:hAnsi="標楷體" w:hint="eastAsia"/>
          <w:szCs w:val="32"/>
          <w:lang w:eastAsia="zh-HK"/>
        </w:rPr>
        <w:t>業務管理之橫向聯繫機制不足</w:t>
      </w:r>
      <w:r w:rsidRPr="00D64819">
        <w:rPr>
          <w:rFonts w:hAnsi="標楷體" w:hint="eastAsia"/>
          <w:szCs w:val="32"/>
        </w:rPr>
        <w:t>，</w:t>
      </w:r>
      <w:r w:rsidRPr="00D64819">
        <w:rPr>
          <w:rFonts w:hAnsi="標楷體" w:hint="eastAsia"/>
          <w:szCs w:val="32"/>
          <w:lang w:eastAsia="zh-HK"/>
        </w:rPr>
        <w:t>肇致</w:t>
      </w:r>
      <w:r w:rsidRPr="00D64819">
        <w:rPr>
          <w:rFonts w:hAnsi="標楷體" w:hint="eastAsia"/>
          <w:szCs w:val="32"/>
        </w:rPr>
        <w:t>101至107年</w:t>
      </w:r>
      <w:r w:rsidRPr="00D64819">
        <w:rPr>
          <w:rFonts w:hAnsi="標楷體" w:hint="eastAsia"/>
          <w:szCs w:val="32"/>
          <w:lang w:eastAsia="zh-HK"/>
        </w:rPr>
        <w:t>各機關</w:t>
      </w:r>
      <w:proofErr w:type="gramStart"/>
      <w:r w:rsidRPr="00D64819">
        <w:rPr>
          <w:rFonts w:hAnsi="標楷體" w:hint="eastAsia"/>
          <w:szCs w:val="32"/>
        </w:rPr>
        <w:t>覆</w:t>
      </w:r>
      <w:proofErr w:type="gramEnd"/>
      <w:r w:rsidRPr="00D64819">
        <w:rPr>
          <w:rFonts w:hAnsi="標楷體" w:hint="eastAsia"/>
          <w:szCs w:val="32"/>
        </w:rPr>
        <w:t>審</w:t>
      </w:r>
      <w:r w:rsidRPr="00D64819">
        <w:rPr>
          <w:rFonts w:hAnsi="標楷體" w:hint="eastAsia"/>
          <w:szCs w:val="32"/>
          <w:lang w:eastAsia="zh-HK"/>
        </w:rPr>
        <w:t>案件</w:t>
      </w:r>
      <w:proofErr w:type="gramStart"/>
      <w:r w:rsidRPr="00D64819">
        <w:rPr>
          <w:rFonts w:hAnsi="標楷體" w:hint="eastAsia"/>
          <w:szCs w:val="32"/>
        </w:rPr>
        <w:t>收結件</w:t>
      </w:r>
      <w:proofErr w:type="gramEnd"/>
      <w:r w:rsidRPr="00D64819">
        <w:rPr>
          <w:rFonts w:hAnsi="標楷體" w:hint="eastAsia"/>
          <w:szCs w:val="32"/>
        </w:rPr>
        <w:t>數之統計</w:t>
      </w:r>
      <w:r w:rsidRPr="00D64819">
        <w:rPr>
          <w:rFonts w:hAnsi="標楷體" w:hint="eastAsia"/>
          <w:szCs w:val="32"/>
          <w:lang w:eastAsia="zh-HK"/>
        </w:rPr>
        <w:t>數據</w:t>
      </w:r>
      <w:r w:rsidRPr="00D64819">
        <w:rPr>
          <w:rFonts w:hAnsi="標楷體" w:hint="eastAsia"/>
          <w:szCs w:val="32"/>
        </w:rPr>
        <w:t>歧異甚大</w:t>
      </w:r>
      <w:proofErr w:type="gramStart"/>
      <w:r w:rsidRPr="00D64819">
        <w:rPr>
          <w:rFonts w:hAnsi="標楷體" w:hint="eastAsia"/>
          <w:szCs w:val="32"/>
        </w:rPr>
        <w:t>（</w:t>
      </w:r>
      <w:proofErr w:type="gramEnd"/>
      <w:r w:rsidRPr="00D64819">
        <w:rPr>
          <w:rFonts w:hAnsi="標楷體" w:hint="eastAsia"/>
          <w:szCs w:val="32"/>
          <w:lang w:eastAsia="zh-HK"/>
        </w:rPr>
        <w:t>即司法院</w:t>
      </w:r>
      <w:r w:rsidRPr="00D64819">
        <w:rPr>
          <w:rFonts w:hAnsi="標楷體" w:hint="eastAsia"/>
          <w:szCs w:val="32"/>
        </w:rPr>
        <w:t>刑事補償法庭受理346件、終結340件，未結5件；</w:t>
      </w:r>
      <w:r w:rsidRPr="00D64819">
        <w:rPr>
          <w:rFonts w:hAnsi="標楷體" w:hint="eastAsia"/>
          <w:szCs w:val="32"/>
          <w:lang w:eastAsia="zh-HK"/>
        </w:rPr>
        <w:t>檢察機關、軍事審判機關</w:t>
      </w:r>
      <w:r w:rsidRPr="00D64819">
        <w:rPr>
          <w:rFonts w:hAnsi="標楷體" w:hint="eastAsia"/>
          <w:szCs w:val="32"/>
        </w:rPr>
        <w:t>聲請78件、終結74件，未結4件</w:t>
      </w:r>
      <w:proofErr w:type="gramStart"/>
      <w:r w:rsidRPr="00D64819">
        <w:rPr>
          <w:rFonts w:hAnsi="標楷體" w:hint="eastAsia"/>
          <w:szCs w:val="32"/>
        </w:rPr>
        <w:t>）</w:t>
      </w:r>
      <w:proofErr w:type="gramEnd"/>
      <w:r w:rsidRPr="00D64819">
        <w:rPr>
          <w:rFonts w:hAnsi="標楷體" w:hint="eastAsia"/>
          <w:szCs w:val="32"/>
        </w:rPr>
        <w:t>，</w:t>
      </w:r>
      <w:r w:rsidRPr="00D64819">
        <w:rPr>
          <w:rFonts w:hAnsi="標楷體" w:hint="eastAsia"/>
          <w:szCs w:val="32"/>
          <w:lang w:eastAsia="zh-HK"/>
        </w:rPr>
        <w:t>亦</w:t>
      </w:r>
      <w:r w:rsidRPr="00D64819">
        <w:rPr>
          <w:rFonts w:hAnsi="標楷體" w:hint="eastAsia"/>
          <w:szCs w:val="32"/>
        </w:rPr>
        <w:t>造成相關管考之困難，</w:t>
      </w:r>
      <w:r w:rsidRPr="00D64819">
        <w:rPr>
          <w:rFonts w:hAnsi="標楷體" w:hint="eastAsia"/>
          <w:szCs w:val="32"/>
          <w:lang w:eastAsia="zh-HK"/>
        </w:rPr>
        <w:t>實</w:t>
      </w:r>
      <w:r w:rsidRPr="00D64819">
        <w:rPr>
          <w:rFonts w:hAnsi="標楷體" w:hint="eastAsia"/>
          <w:szCs w:val="32"/>
        </w:rPr>
        <w:t>應檢討改善。</w:t>
      </w:r>
    </w:p>
    <w:p w:rsidR="00EB5E57" w:rsidRPr="00D64819" w:rsidRDefault="00EB5E57" w:rsidP="00F709B1">
      <w:pPr>
        <w:pStyle w:val="3"/>
        <w:rPr>
          <w:lang w:eastAsia="zh-HK"/>
        </w:rPr>
      </w:pPr>
      <w:r w:rsidRPr="00D64819">
        <w:rPr>
          <w:rFonts w:hAnsi="標楷體" w:hint="eastAsia"/>
          <w:lang w:eastAsia="zh-HK"/>
        </w:rPr>
        <w:t>綜上，</w:t>
      </w:r>
      <w:r w:rsidRPr="00D64819">
        <w:rPr>
          <w:rFonts w:hint="eastAsia"/>
          <w:lang w:eastAsia="zh-HK"/>
        </w:rPr>
        <w:t>部分法院、檢察機關、軍事審判機關未確實依限辦理刑事</w:t>
      </w:r>
      <w:r w:rsidRPr="00D64819">
        <w:rPr>
          <w:rFonts w:hint="eastAsia"/>
        </w:rPr>
        <w:t>補償</w:t>
      </w:r>
      <w:r w:rsidRPr="00D64819">
        <w:rPr>
          <w:rFonts w:hint="eastAsia"/>
          <w:lang w:eastAsia="zh-HK"/>
        </w:rPr>
        <w:t>事件，復以</w:t>
      </w:r>
      <w:proofErr w:type="gramStart"/>
      <w:r w:rsidRPr="00D64819">
        <w:rPr>
          <w:rFonts w:hint="eastAsia"/>
          <w:lang w:eastAsia="zh-HK"/>
        </w:rPr>
        <w:t>警示控管</w:t>
      </w:r>
      <w:proofErr w:type="gramEnd"/>
      <w:r w:rsidRPr="00D64819">
        <w:rPr>
          <w:rFonts w:hint="eastAsia"/>
          <w:lang w:eastAsia="zh-HK"/>
        </w:rPr>
        <w:t>、橫向聯繫機制顯有不足，司法院、法務部、</w:t>
      </w:r>
      <w:proofErr w:type="gramStart"/>
      <w:r w:rsidRPr="00D64819">
        <w:rPr>
          <w:rFonts w:hint="eastAsia"/>
          <w:lang w:eastAsia="zh-HK"/>
        </w:rPr>
        <w:t>國防部應督同</w:t>
      </w:r>
      <w:proofErr w:type="gramEnd"/>
      <w:r w:rsidRPr="00D64819">
        <w:rPr>
          <w:rFonts w:hint="eastAsia"/>
          <w:lang w:eastAsia="zh-HK"/>
        </w:rPr>
        <w:t>所屬機關檢討改善，防範不應補償而補償事件漏未救濟等情事發生。</w:t>
      </w:r>
    </w:p>
    <w:p w:rsidR="00EB5E57" w:rsidRPr="00D64819" w:rsidRDefault="00EB5E57" w:rsidP="00F709B1">
      <w:pPr>
        <w:pStyle w:val="2"/>
        <w:rPr>
          <w:rFonts w:hAnsi="標楷體"/>
          <w:b/>
        </w:rPr>
      </w:pPr>
      <w:r w:rsidRPr="00D64819">
        <w:rPr>
          <w:rFonts w:hAnsi="標楷體" w:hint="eastAsia"/>
          <w:b/>
          <w:lang w:eastAsia="zh-HK"/>
        </w:rPr>
        <w:t>鑒於外界對於現行刑事補償事件內部求償</w:t>
      </w:r>
      <w:r w:rsidRPr="00D64819">
        <w:rPr>
          <w:rFonts w:hAnsi="標楷體" w:hint="eastAsia"/>
          <w:b/>
        </w:rPr>
        <w:t>、</w:t>
      </w:r>
      <w:r w:rsidRPr="00D64819">
        <w:rPr>
          <w:rFonts w:hAnsi="標楷體" w:hint="eastAsia"/>
          <w:b/>
          <w:lang w:eastAsia="zh-HK"/>
        </w:rPr>
        <w:t>懲處機制尚有疑慮，司法院</w:t>
      </w:r>
      <w:r w:rsidRPr="00D64819">
        <w:rPr>
          <w:rFonts w:hAnsi="標楷體" w:hint="eastAsia"/>
          <w:b/>
        </w:rPr>
        <w:t>、</w:t>
      </w:r>
      <w:r w:rsidRPr="00D64819">
        <w:rPr>
          <w:rFonts w:hAnsi="標楷體" w:hint="eastAsia"/>
          <w:b/>
          <w:lang w:eastAsia="zh-HK"/>
        </w:rPr>
        <w:t>法務部、國防部允應檢討評估引進外部監督機制，將</w:t>
      </w:r>
      <w:r w:rsidRPr="00D64819">
        <w:rPr>
          <w:rFonts w:hAnsi="標楷體"/>
          <w:b/>
          <w:lang w:eastAsia="zh-HK"/>
        </w:rPr>
        <w:t>所屬人員</w:t>
      </w:r>
      <w:r w:rsidRPr="00D64819">
        <w:rPr>
          <w:rFonts w:hAnsi="標楷體" w:hint="eastAsia"/>
          <w:b/>
          <w:lang w:eastAsia="zh-HK"/>
        </w:rPr>
        <w:t>造成刑事補償事件之違失責任調查報告、求償審查會會議紀錄以及相關卷證函送本院參酌，</w:t>
      </w:r>
      <w:proofErr w:type="gramStart"/>
      <w:r w:rsidRPr="00D64819">
        <w:rPr>
          <w:rFonts w:hAnsi="標楷體" w:hint="eastAsia"/>
          <w:b/>
          <w:lang w:eastAsia="zh-HK"/>
        </w:rPr>
        <w:t>俾</w:t>
      </w:r>
      <w:proofErr w:type="gramEnd"/>
      <w:r w:rsidRPr="00D64819">
        <w:rPr>
          <w:rFonts w:hAnsi="標楷體" w:hint="eastAsia"/>
          <w:b/>
          <w:lang w:eastAsia="zh-HK"/>
        </w:rPr>
        <w:t>減少外界訾議，提升人民對於司法之信賴。</w:t>
      </w:r>
    </w:p>
    <w:p w:rsidR="00EB5E57" w:rsidRPr="00D64819" w:rsidRDefault="00EB5E57" w:rsidP="00F709B1">
      <w:pPr>
        <w:pStyle w:val="3"/>
        <w:rPr>
          <w:rFonts w:hAnsi="標楷體"/>
        </w:rPr>
      </w:pPr>
      <w:r w:rsidRPr="00D64819">
        <w:rPr>
          <w:rFonts w:hAnsi="標楷體" w:hint="eastAsia"/>
          <w:szCs w:val="32"/>
          <w:lang w:eastAsia="zh-HK"/>
        </w:rPr>
        <w:t>按</w:t>
      </w:r>
      <w:r w:rsidRPr="00D64819">
        <w:rPr>
          <w:rFonts w:hAnsi="標楷體" w:hint="eastAsia"/>
          <w:szCs w:val="32"/>
        </w:rPr>
        <w:t>100年7月6日修正公布之</w:t>
      </w:r>
      <w:r w:rsidRPr="00D64819">
        <w:rPr>
          <w:rFonts w:hAnsi="標楷體"/>
          <w:szCs w:val="32"/>
        </w:rPr>
        <w:t>刑事補償法第1條規定：「</w:t>
      </w:r>
      <w:r w:rsidRPr="00D64819">
        <w:rPr>
          <w:rFonts w:hAnsi="標楷體" w:hint="eastAsia"/>
        </w:rPr>
        <w:t>依刑事訴訟法、軍事審判法或少年事件處理法受理之案件，具有下列情形之</w:t>
      </w:r>
      <w:proofErr w:type="gramStart"/>
      <w:r w:rsidRPr="00D64819">
        <w:rPr>
          <w:rFonts w:hAnsi="標楷體" w:hint="eastAsia"/>
        </w:rPr>
        <w:t>一</w:t>
      </w:r>
      <w:proofErr w:type="gramEnd"/>
      <w:r w:rsidRPr="00D64819">
        <w:rPr>
          <w:rFonts w:hAnsi="標楷體" w:hint="eastAsia"/>
        </w:rPr>
        <w:t>者，受害人得依本法</w:t>
      </w:r>
      <w:r w:rsidRPr="00D64819">
        <w:rPr>
          <w:rFonts w:hAnsi="標楷體" w:hint="eastAsia"/>
        </w:rPr>
        <w:lastRenderedPageBreak/>
        <w:t>請求國家補償：一、因行為不罰或犯罪嫌疑不足而經不起訴處分或撤回起訴、受駁回起訴裁定或無罪之判決確定前，曾受</w:t>
      </w:r>
      <w:r w:rsidRPr="00D64819">
        <w:rPr>
          <w:rFonts w:hAnsi="標楷體" w:hint="eastAsia"/>
          <w:szCs w:val="32"/>
        </w:rPr>
        <w:t>羈押</w:t>
      </w:r>
      <w:r w:rsidRPr="00D64819">
        <w:rPr>
          <w:rFonts w:hAnsi="標楷體" w:hint="eastAsia"/>
        </w:rPr>
        <w:t>、鑑定留置或收容。二、依再審、非常上訴或重新審理程序裁判無罪、撤銷保安處分或駁回保安處分聲請確定前，曾受羈押、鑑定留置、收容、刑罰或拘束人身自由保安處分之執行。三、</w:t>
      </w:r>
      <w:proofErr w:type="gramStart"/>
      <w:r w:rsidRPr="00D64819">
        <w:rPr>
          <w:rFonts w:hAnsi="標楷體" w:hint="eastAsia"/>
        </w:rPr>
        <w:t>因無付保護</w:t>
      </w:r>
      <w:proofErr w:type="gramEnd"/>
      <w:r w:rsidRPr="00D64819">
        <w:rPr>
          <w:rFonts w:hAnsi="標楷體" w:hint="eastAsia"/>
        </w:rPr>
        <w:t>處分之原因而經不付審理或不付保護處分之裁定確定前，曾受鑑定留置或收容。四、</w:t>
      </w:r>
      <w:proofErr w:type="gramStart"/>
      <w:r w:rsidRPr="00D64819">
        <w:rPr>
          <w:rFonts w:hAnsi="標楷體" w:hint="eastAsia"/>
        </w:rPr>
        <w:t>因無付保護</w:t>
      </w:r>
      <w:proofErr w:type="gramEnd"/>
      <w:r w:rsidRPr="00D64819">
        <w:rPr>
          <w:rFonts w:hAnsi="標楷體" w:hint="eastAsia"/>
        </w:rPr>
        <w:t>處分之原因而依重新審理程序裁定不付保護處分確定前，曾受鑑定留置、收容或感化教育之執行。五、羈押、鑑定留置或收容</w:t>
      </w:r>
      <w:proofErr w:type="gramStart"/>
      <w:r w:rsidRPr="00D64819">
        <w:rPr>
          <w:rFonts w:hAnsi="標楷體" w:hint="eastAsia"/>
        </w:rPr>
        <w:t>期間，</w:t>
      </w:r>
      <w:proofErr w:type="gramEnd"/>
      <w:r w:rsidRPr="00D64819">
        <w:rPr>
          <w:rFonts w:hAnsi="標楷體" w:hint="eastAsia"/>
        </w:rPr>
        <w:t>或刑罰之</w:t>
      </w:r>
      <w:proofErr w:type="gramStart"/>
      <w:r w:rsidRPr="00D64819">
        <w:rPr>
          <w:rFonts w:hAnsi="標楷體" w:hint="eastAsia"/>
        </w:rPr>
        <w:t>執行逾有罪</w:t>
      </w:r>
      <w:proofErr w:type="gramEnd"/>
      <w:r w:rsidRPr="00D64819">
        <w:rPr>
          <w:rFonts w:hAnsi="標楷體" w:hint="eastAsia"/>
        </w:rPr>
        <w:t>確定裁判所定之刑。六、羈押、鑑定留置或收容</w:t>
      </w:r>
      <w:proofErr w:type="gramStart"/>
      <w:r w:rsidRPr="00D64819">
        <w:rPr>
          <w:rFonts w:hAnsi="標楷體" w:hint="eastAsia"/>
        </w:rPr>
        <w:t>期間、</w:t>
      </w:r>
      <w:proofErr w:type="gramEnd"/>
      <w:r w:rsidRPr="00D64819">
        <w:rPr>
          <w:rFonts w:hAnsi="標楷體" w:hint="eastAsia"/>
        </w:rPr>
        <w:t>刑罰或拘束人身自由保安處分之</w:t>
      </w:r>
      <w:proofErr w:type="gramStart"/>
      <w:r w:rsidRPr="00D64819">
        <w:rPr>
          <w:rFonts w:hAnsi="標楷體" w:hint="eastAsia"/>
        </w:rPr>
        <w:t>執行逾依再審</w:t>
      </w:r>
      <w:proofErr w:type="gramEnd"/>
      <w:r w:rsidRPr="00D64819">
        <w:rPr>
          <w:rFonts w:hAnsi="標楷體" w:hint="eastAsia"/>
        </w:rPr>
        <w:t>或非常上訴程序確定判決所定之刑罰或保安處分期間。七、非依法律受羈押、鑑定留置、收容、刑罰或拘束人身自由保安處分之執行。</w:t>
      </w:r>
      <w:r w:rsidRPr="00D64819">
        <w:rPr>
          <w:rFonts w:hAnsi="標楷體"/>
          <w:szCs w:val="32"/>
        </w:rPr>
        <w:t>」</w:t>
      </w:r>
      <w:r w:rsidRPr="00D64819">
        <w:rPr>
          <w:rFonts w:hAnsi="標楷體" w:hint="eastAsia"/>
          <w:lang w:eastAsia="zh-HK"/>
        </w:rPr>
        <w:t>同</w:t>
      </w:r>
      <w:r w:rsidRPr="00D64819">
        <w:rPr>
          <w:rFonts w:hAnsi="標楷體"/>
          <w:szCs w:val="32"/>
        </w:rPr>
        <w:t>法第34條第2項規定：「依第1條所列法律執行職務之</w:t>
      </w:r>
      <w:r w:rsidRPr="00D64819">
        <w:rPr>
          <w:rFonts w:hAnsi="標楷體"/>
        </w:rPr>
        <w:t>公務員，因故意或重大過失而違法，致生補償事件者，補</w:t>
      </w:r>
      <w:r w:rsidRPr="00D64819">
        <w:rPr>
          <w:rFonts w:hAnsi="標楷體"/>
          <w:szCs w:val="32"/>
          <w:lang w:eastAsia="zh-HK"/>
        </w:rPr>
        <w:t>償機關於補償後，應依國家賠償法規定，對該公務員求償。」</w:t>
      </w:r>
      <w:r w:rsidRPr="00D64819">
        <w:rPr>
          <w:rFonts w:hAnsi="標楷體" w:hint="eastAsia"/>
          <w:szCs w:val="32"/>
          <w:lang w:eastAsia="zh-HK"/>
        </w:rPr>
        <w:t>經查，</w:t>
      </w:r>
      <w:r w:rsidRPr="00D64819">
        <w:rPr>
          <w:rFonts w:hAnsi="標楷體"/>
          <w:szCs w:val="32"/>
          <w:lang w:eastAsia="zh-HK"/>
        </w:rPr>
        <w:t>刑事補償法第34條第2項規定</w:t>
      </w:r>
      <w:r w:rsidRPr="00D64819">
        <w:rPr>
          <w:rFonts w:hAnsi="標楷體" w:hint="eastAsia"/>
          <w:szCs w:val="32"/>
          <w:lang w:eastAsia="zh-HK"/>
        </w:rPr>
        <w:t>修法理由略</w:t>
      </w:r>
      <w:proofErr w:type="gramStart"/>
      <w:r w:rsidRPr="00D64819">
        <w:rPr>
          <w:rFonts w:hAnsi="標楷體" w:hint="eastAsia"/>
          <w:szCs w:val="32"/>
          <w:lang w:eastAsia="zh-HK"/>
        </w:rPr>
        <w:t>以</w:t>
      </w:r>
      <w:proofErr w:type="gramEnd"/>
      <w:r w:rsidRPr="00D64819">
        <w:rPr>
          <w:rFonts w:hAnsi="標楷體" w:hint="eastAsia"/>
          <w:szCs w:val="32"/>
          <w:lang w:eastAsia="zh-HK"/>
        </w:rPr>
        <w:t>：「求償義務機關是否</w:t>
      </w:r>
      <w:proofErr w:type="gramStart"/>
      <w:r w:rsidRPr="00D64819">
        <w:rPr>
          <w:rFonts w:hAnsi="標楷體" w:hint="eastAsia"/>
          <w:szCs w:val="32"/>
          <w:lang w:eastAsia="zh-HK"/>
        </w:rPr>
        <w:t>怠</w:t>
      </w:r>
      <w:proofErr w:type="gramEnd"/>
      <w:r w:rsidRPr="00D64819">
        <w:rPr>
          <w:rFonts w:hAnsi="標楷體" w:hint="eastAsia"/>
          <w:szCs w:val="32"/>
          <w:lang w:eastAsia="zh-HK"/>
        </w:rPr>
        <w:t>於行使求償權，則應透過內部行政監督機制促其依法行之。</w:t>
      </w:r>
      <w:r w:rsidRPr="00D64819">
        <w:rPr>
          <w:rFonts w:hAnsi="標楷體"/>
          <w:szCs w:val="32"/>
          <w:lang w:eastAsia="zh-HK"/>
        </w:rPr>
        <w:t>」</w:t>
      </w:r>
      <w:proofErr w:type="gramStart"/>
      <w:r w:rsidRPr="00D64819">
        <w:rPr>
          <w:rFonts w:hAnsi="標楷體" w:hint="eastAsia"/>
          <w:szCs w:val="32"/>
          <w:lang w:eastAsia="zh-HK"/>
        </w:rPr>
        <w:t>合先敘</w:t>
      </w:r>
      <w:proofErr w:type="gramEnd"/>
      <w:r w:rsidRPr="00D64819">
        <w:rPr>
          <w:rFonts w:hAnsi="標楷體" w:hint="eastAsia"/>
          <w:szCs w:val="32"/>
          <w:lang w:eastAsia="zh-HK"/>
        </w:rPr>
        <w:t>明。</w:t>
      </w:r>
    </w:p>
    <w:p w:rsidR="00EB5E57" w:rsidRPr="00D64819" w:rsidRDefault="00EB5E57" w:rsidP="00F709B1">
      <w:pPr>
        <w:pStyle w:val="3"/>
        <w:rPr>
          <w:rFonts w:hAnsi="標楷體"/>
          <w:kern w:val="0"/>
          <w:szCs w:val="32"/>
        </w:rPr>
      </w:pPr>
      <w:r w:rsidRPr="00D64819">
        <w:rPr>
          <w:rFonts w:hAnsi="標楷體" w:hint="eastAsia"/>
          <w:kern w:val="0"/>
          <w:szCs w:val="32"/>
        </w:rPr>
        <w:t>有關</w:t>
      </w:r>
      <w:r w:rsidRPr="00D64819">
        <w:rPr>
          <w:rFonts w:hAnsi="標楷體" w:hint="eastAsia"/>
          <w:kern w:val="0"/>
          <w:szCs w:val="32"/>
          <w:lang w:eastAsia="zh-HK"/>
        </w:rPr>
        <w:t>司法院對各法院</w:t>
      </w:r>
      <w:r w:rsidRPr="00D64819">
        <w:rPr>
          <w:rFonts w:hAnsi="標楷體" w:hint="eastAsia"/>
          <w:kern w:val="0"/>
          <w:szCs w:val="32"/>
        </w:rPr>
        <w:t>內部行使刑事補償求償權之監督機制，按刑事補償事件求償作業要點第5點第1、2項規定：「（第1項）補償法院於補償後，認執行職務之公務員，因故意或重大過失而違法，致生補償事件者，應依國家賠償法規定，對該公務員求償。（第2項）司法院審核臺灣高等法院、福建高等法院金門分院就刑事補償事件原承辦人員有無違失之</w:t>
      </w:r>
      <w:r w:rsidRPr="00D64819">
        <w:rPr>
          <w:rFonts w:hAnsi="標楷體" w:hint="eastAsia"/>
          <w:kern w:val="0"/>
          <w:szCs w:val="32"/>
        </w:rPr>
        <w:lastRenderedPageBreak/>
        <w:t>審查結果，認造成刑事補償之人員有本法第34條第2項之情形者，</w:t>
      </w:r>
      <w:proofErr w:type="gramStart"/>
      <w:r w:rsidRPr="00D64819">
        <w:rPr>
          <w:rFonts w:hAnsi="標楷體" w:hint="eastAsia"/>
          <w:kern w:val="0"/>
          <w:szCs w:val="32"/>
        </w:rPr>
        <w:t>應函送</w:t>
      </w:r>
      <w:proofErr w:type="gramEnd"/>
      <w:r w:rsidRPr="00D64819">
        <w:rPr>
          <w:rFonts w:hAnsi="標楷體" w:hint="eastAsia"/>
          <w:kern w:val="0"/>
          <w:szCs w:val="32"/>
        </w:rPr>
        <w:t>補償法院審查是否行使求償權及其求償之範圍。</w:t>
      </w:r>
      <w:r w:rsidRPr="00D64819">
        <w:rPr>
          <w:rFonts w:hAnsi="標楷體"/>
          <w:kern w:val="0"/>
          <w:szCs w:val="32"/>
        </w:rPr>
        <w:t>」</w:t>
      </w:r>
      <w:r w:rsidRPr="00D64819">
        <w:rPr>
          <w:rFonts w:hAnsi="標楷體" w:hint="eastAsia"/>
          <w:kern w:val="0"/>
          <w:szCs w:val="32"/>
        </w:rPr>
        <w:t>據司法院提供</w:t>
      </w:r>
      <w:r w:rsidRPr="00D64819">
        <w:rPr>
          <w:rFonts w:hAnsi="標楷體"/>
          <w:kern w:val="0"/>
          <w:szCs w:val="32"/>
        </w:rPr>
        <w:t>本院詢問</w:t>
      </w:r>
      <w:r w:rsidRPr="00D64819">
        <w:rPr>
          <w:rFonts w:hAnsi="標楷體" w:hint="eastAsia"/>
          <w:kern w:val="0"/>
          <w:szCs w:val="32"/>
        </w:rPr>
        <w:t>時之書面說明：</w:t>
      </w:r>
      <w:r w:rsidRPr="00D64819">
        <w:rPr>
          <w:rFonts w:hAnsi="標楷體"/>
          <w:kern w:val="0"/>
          <w:szCs w:val="32"/>
        </w:rPr>
        <w:t>「</w:t>
      </w:r>
      <w:r w:rsidRPr="00D64819">
        <w:rPr>
          <w:rFonts w:hAnsi="標楷體" w:hint="eastAsia"/>
          <w:kern w:val="0"/>
          <w:szCs w:val="32"/>
        </w:rPr>
        <w:t>本院就內部行政監督機制已制定刑事補償事件求償作業要點及第一二審法院所屬人員違失造成刑事補償懲處要點等規定，</w:t>
      </w:r>
      <w:r w:rsidRPr="00D64819">
        <w:rPr>
          <w:rFonts w:hAnsi="標楷體" w:hint="eastAsia"/>
        </w:rPr>
        <w:t>依刑事補償法准予刑事補償之決定，係由原補償決定法院檢附全案卷證送交臺灣高等法院及福建高等法院金門分院，審核造成刑事補償事件之原案件之相關承辦人員有無違失，並將前開審查結果函報本院，經本院審核後分別予以准予核備、再行補正、或函</w:t>
      </w:r>
      <w:r w:rsidRPr="00D64819">
        <w:rPr>
          <w:rFonts w:hAnsi="標楷體" w:hint="eastAsia"/>
          <w:szCs w:val="32"/>
        </w:rPr>
        <w:t>請原補償決定法院是否召開求償審查委員會，以決定</w:t>
      </w:r>
      <w:proofErr w:type="gramStart"/>
      <w:r w:rsidRPr="00D64819">
        <w:rPr>
          <w:rFonts w:hAnsi="標楷體" w:hint="eastAsia"/>
          <w:szCs w:val="32"/>
        </w:rPr>
        <w:t>研</w:t>
      </w:r>
      <w:proofErr w:type="gramEnd"/>
      <w:r w:rsidRPr="00D64819">
        <w:rPr>
          <w:rFonts w:hAnsi="標楷體" w:hint="eastAsia"/>
          <w:szCs w:val="32"/>
        </w:rPr>
        <w:t>議是否行使求償權及其求償範圍。</w:t>
      </w:r>
      <w:r w:rsidRPr="00D64819">
        <w:rPr>
          <w:rFonts w:hAnsi="標楷體"/>
          <w:szCs w:val="32"/>
        </w:rPr>
        <w:t>」</w:t>
      </w:r>
      <w:r w:rsidRPr="00D64819">
        <w:rPr>
          <w:rFonts w:hAnsi="標楷體" w:hint="eastAsia"/>
          <w:szCs w:val="32"/>
        </w:rPr>
        <w:t>據</w:t>
      </w:r>
      <w:proofErr w:type="gramStart"/>
      <w:r w:rsidRPr="00D64819">
        <w:rPr>
          <w:rFonts w:hAnsi="標楷體" w:hint="eastAsia"/>
          <w:szCs w:val="32"/>
          <w:lang w:eastAsia="zh-HK"/>
        </w:rPr>
        <w:t>司法院查</w:t>
      </w:r>
      <w:r w:rsidRPr="00D64819">
        <w:rPr>
          <w:rFonts w:hAnsi="標楷體" w:hint="eastAsia"/>
          <w:szCs w:val="32"/>
        </w:rPr>
        <w:t>復</w:t>
      </w:r>
      <w:proofErr w:type="gramEnd"/>
      <w:r w:rsidRPr="00D64819">
        <w:rPr>
          <w:rFonts w:hAnsi="標楷體" w:hint="eastAsia"/>
          <w:szCs w:val="32"/>
        </w:rPr>
        <w:t>，101年至108年11月止，</w:t>
      </w:r>
      <w:r w:rsidRPr="00D64819">
        <w:rPr>
          <w:rFonts w:hAnsi="標楷體" w:hint="eastAsia"/>
          <w:szCs w:val="32"/>
          <w:lang w:eastAsia="zh-HK"/>
        </w:rPr>
        <w:t>該</w:t>
      </w:r>
      <w:r w:rsidRPr="00D64819">
        <w:rPr>
          <w:rFonts w:hAnsi="標楷體" w:hint="eastAsia"/>
          <w:szCs w:val="32"/>
        </w:rPr>
        <w:t>院審核造成刑事補償事件之原承辦人員有無</w:t>
      </w:r>
      <w:proofErr w:type="gramStart"/>
      <w:r w:rsidRPr="00D64819">
        <w:rPr>
          <w:rFonts w:hAnsi="標楷體" w:hint="eastAsia"/>
          <w:szCs w:val="32"/>
        </w:rPr>
        <w:t>違失共7</w:t>
      </w:r>
      <w:r w:rsidRPr="00D64819">
        <w:rPr>
          <w:rFonts w:hAnsi="標楷體"/>
          <w:szCs w:val="32"/>
        </w:rPr>
        <w:t>81</w:t>
      </w:r>
      <w:r w:rsidRPr="00D64819">
        <w:rPr>
          <w:rFonts w:hAnsi="標楷體" w:hint="eastAsia"/>
          <w:szCs w:val="32"/>
        </w:rPr>
        <w:t>件</w:t>
      </w:r>
      <w:proofErr w:type="gramEnd"/>
      <w:r w:rsidRPr="00D64819">
        <w:rPr>
          <w:rFonts w:hAnsi="標楷體" w:hint="eastAsia"/>
          <w:szCs w:val="32"/>
        </w:rPr>
        <w:t>，經</w:t>
      </w:r>
      <w:r w:rsidRPr="00D64819">
        <w:rPr>
          <w:rFonts w:hAnsi="標楷體" w:hint="eastAsia"/>
          <w:szCs w:val="32"/>
          <w:lang w:eastAsia="zh-HK"/>
        </w:rPr>
        <w:t>司法</w:t>
      </w:r>
      <w:r w:rsidRPr="00D64819">
        <w:rPr>
          <w:rFonts w:hAnsi="標楷體"/>
          <w:szCs w:val="32"/>
        </w:rPr>
        <w:t>院認有違失</w:t>
      </w:r>
      <w:r w:rsidRPr="00D64819">
        <w:rPr>
          <w:rFonts w:hAnsi="標楷體" w:hint="eastAsia"/>
          <w:szCs w:val="32"/>
        </w:rPr>
        <w:t>，函送各該法</w:t>
      </w:r>
      <w:r w:rsidRPr="00D64819">
        <w:rPr>
          <w:rFonts w:hAnsi="標楷體" w:hint="eastAsia"/>
          <w:szCs w:val="32"/>
          <w:lang w:eastAsia="zh-HK"/>
        </w:rPr>
        <w:t>院</w:t>
      </w:r>
      <w:r w:rsidRPr="00D64819">
        <w:rPr>
          <w:rFonts w:hAnsi="標楷體"/>
          <w:szCs w:val="32"/>
          <w:lang w:eastAsia="zh-HK"/>
        </w:rPr>
        <w:t>求償審查</w:t>
      </w:r>
      <w:r w:rsidRPr="00D64819">
        <w:rPr>
          <w:rFonts w:hAnsi="標楷體"/>
          <w:szCs w:val="32"/>
        </w:rPr>
        <w:t>委員會審查求償事宜</w:t>
      </w:r>
      <w:r w:rsidRPr="00D64819">
        <w:rPr>
          <w:rFonts w:hAnsi="標楷體" w:hint="eastAsia"/>
          <w:szCs w:val="32"/>
        </w:rPr>
        <w:t>僅17件（占2.18%），至於</w:t>
      </w:r>
      <w:r w:rsidRPr="00D64819">
        <w:rPr>
          <w:rFonts w:hAnsi="標楷體"/>
          <w:szCs w:val="32"/>
        </w:rPr>
        <w:t>補償法院依</w:t>
      </w:r>
      <w:r w:rsidRPr="00D64819">
        <w:rPr>
          <w:rFonts w:hAnsi="標楷體" w:hint="eastAsia"/>
          <w:szCs w:val="32"/>
        </w:rPr>
        <w:t>刑事補償事件求償作業要點第5點</w:t>
      </w:r>
      <w:r w:rsidRPr="00D64819">
        <w:rPr>
          <w:rFonts w:hAnsi="標楷體"/>
          <w:szCs w:val="32"/>
        </w:rPr>
        <w:t>第1項規定辦理</w:t>
      </w:r>
      <w:proofErr w:type="gramStart"/>
      <w:r w:rsidRPr="00D64819">
        <w:rPr>
          <w:rFonts w:hAnsi="標楷體"/>
          <w:szCs w:val="32"/>
        </w:rPr>
        <w:t>求償</w:t>
      </w:r>
      <w:r w:rsidRPr="00D64819">
        <w:rPr>
          <w:rFonts w:hAnsi="標楷體" w:hint="eastAsia"/>
          <w:szCs w:val="32"/>
        </w:rPr>
        <w:t>為</w:t>
      </w:r>
      <w:r w:rsidRPr="00D64819">
        <w:rPr>
          <w:rFonts w:hAnsi="標楷體"/>
          <w:szCs w:val="32"/>
        </w:rPr>
        <w:t>0件</w:t>
      </w:r>
      <w:proofErr w:type="gramEnd"/>
      <w:r w:rsidRPr="00D64819">
        <w:rPr>
          <w:rFonts w:hAnsi="標楷體" w:hint="eastAsia"/>
          <w:szCs w:val="32"/>
        </w:rPr>
        <w:t>。</w:t>
      </w:r>
      <w:r w:rsidRPr="00D64819">
        <w:rPr>
          <w:rFonts w:hAnsi="標楷體" w:hint="eastAsia"/>
          <w:szCs w:val="32"/>
          <w:lang w:eastAsia="zh-HK"/>
        </w:rPr>
        <w:t>而</w:t>
      </w:r>
      <w:r w:rsidRPr="00D64819">
        <w:rPr>
          <w:rFonts w:hAnsi="標楷體" w:hint="eastAsia"/>
          <w:kern w:val="2"/>
          <w:szCs w:val="20"/>
          <w:lang w:eastAsia="zh-HK"/>
        </w:rPr>
        <w:t>依</w:t>
      </w:r>
      <w:r w:rsidRPr="00D64819">
        <w:rPr>
          <w:rFonts w:hAnsi="標楷體"/>
          <w:kern w:val="2"/>
          <w:szCs w:val="20"/>
          <w:lang w:eastAsia="zh-HK"/>
        </w:rPr>
        <w:t>本院諮詢部分法院求償審查委員會外部委員</w:t>
      </w:r>
      <w:r w:rsidRPr="00D64819">
        <w:rPr>
          <w:rFonts w:hAnsi="標楷體" w:hint="eastAsia"/>
          <w:kern w:val="2"/>
          <w:szCs w:val="20"/>
          <w:lang w:eastAsia="zh-HK"/>
        </w:rPr>
        <w:t>之見解</w:t>
      </w:r>
      <w:r w:rsidRPr="00D64819">
        <w:rPr>
          <w:rFonts w:hAnsi="標楷體"/>
          <w:kern w:val="2"/>
          <w:szCs w:val="20"/>
          <w:lang w:eastAsia="zh-HK"/>
        </w:rPr>
        <w:t>，目前</w:t>
      </w:r>
      <w:r w:rsidRPr="00D64819">
        <w:rPr>
          <w:rFonts w:hAnsi="標楷體" w:hint="eastAsia"/>
          <w:kern w:val="2"/>
          <w:szCs w:val="20"/>
          <w:lang w:eastAsia="zh-HK"/>
        </w:rPr>
        <w:t>各級法院</w:t>
      </w:r>
      <w:r w:rsidRPr="00D64819">
        <w:rPr>
          <w:rFonts w:hAnsi="標楷體"/>
          <w:kern w:val="2"/>
          <w:szCs w:val="20"/>
          <w:lang w:eastAsia="zh-HK"/>
        </w:rPr>
        <w:t>確定補償案件未全數送</w:t>
      </w:r>
      <w:r w:rsidRPr="00D64819">
        <w:rPr>
          <w:rFonts w:hAnsi="標楷體" w:hint="eastAsia"/>
          <w:kern w:val="2"/>
          <w:szCs w:val="20"/>
          <w:lang w:eastAsia="zh-HK"/>
        </w:rPr>
        <w:t>交</w:t>
      </w:r>
      <w:r w:rsidRPr="00D64819">
        <w:rPr>
          <w:rFonts w:hAnsi="標楷體"/>
          <w:kern w:val="2"/>
          <w:szCs w:val="20"/>
          <w:lang w:eastAsia="zh-HK"/>
        </w:rPr>
        <w:t>求償審查委員會審查</w:t>
      </w:r>
      <w:r w:rsidRPr="00D64819">
        <w:rPr>
          <w:rFonts w:hAnsi="標楷體" w:hint="eastAsia"/>
          <w:szCs w:val="32"/>
          <w:lang w:eastAsia="zh-HK"/>
        </w:rPr>
        <w:t>造成刑事補償</w:t>
      </w:r>
      <w:r w:rsidRPr="00D64819">
        <w:rPr>
          <w:rFonts w:hAnsi="標楷體" w:hint="eastAsia"/>
          <w:szCs w:val="32"/>
        </w:rPr>
        <w:t>人員是否符合</w:t>
      </w:r>
      <w:r w:rsidRPr="00D64819">
        <w:rPr>
          <w:rFonts w:hAnsi="標楷體" w:hint="eastAsia"/>
          <w:szCs w:val="32"/>
          <w:lang w:eastAsia="zh-HK"/>
        </w:rPr>
        <w:t>刑事補償法第34條第2項規定</w:t>
      </w:r>
      <w:r w:rsidRPr="00D64819">
        <w:rPr>
          <w:rFonts w:hAnsi="標楷體" w:hint="eastAsia"/>
          <w:kern w:val="2"/>
          <w:szCs w:val="20"/>
        </w:rPr>
        <w:t>，</w:t>
      </w:r>
      <w:proofErr w:type="gramStart"/>
      <w:r w:rsidRPr="00D64819">
        <w:rPr>
          <w:rFonts w:hAnsi="標楷體" w:hint="eastAsia"/>
          <w:kern w:val="2"/>
          <w:szCs w:val="20"/>
          <w:lang w:eastAsia="zh-HK"/>
        </w:rPr>
        <w:t>是以渠等</w:t>
      </w:r>
      <w:proofErr w:type="gramEnd"/>
      <w:r w:rsidRPr="00D64819">
        <w:rPr>
          <w:rFonts w:hAnsi="標楷體" w:hint="eastAsia"/>
          <w:kern w:val="2"/>
          <w:szCs w:val="20"/>
          <w:lang w:eastAsia="zh-HK"/>
        </w:rPr>
        <w:t>大致上均贊同</w:t>
      </w:r>
      <w:r w:rsidRPr="00D64819">
        <w:rPr>
          <w:rFonts w:hAnsi="標楷體"/>
          <w:kern w:val="2"/>
          <w:szCs w:val="20"/>
          <w:lang w:eastAsia="zh-HK"/>
        </w:rPr>
        <w:t>，於補償決定確定後，</w:t>
      </w:r>
      <w:r w:rsidRPr="00D64819">
        <w:rPr>
          <w:rFonts w:hAnsi="標楷體" w:hint="eastAsia"/>
          <w:kern w:val="2"/>
          <w:szCs w:val="20"/>
          <w:lang w:eastAsia="zh-HK"/>
        </w:rPr>
        <w:t>應</w:t>
      </w:r>
      <w:r w:rsidRPr="00D64819">
        <w:rPr>
          <w:rFonts w:hAnsi="標楷體"/>
          <w:kern w:val="2"/>
          <w:szCs w:val="20"/>
          <w:lang w:eastAsia="zh-HK"/>
        </w:rPr>
        <w:t>即</w:t>
      </w:r>
      <w:proofErr w:type="gramStart"/>
      <w:r w:rsidRPr="00D64819">
        <w:rPr>
          <w:rFonts w:hAnsi="標楷體"/>
          <w:kern w:val="2"/>
          <w:szCs w:val="20"/>
          <w:lang w:eastAsia="zh-HK"/>
        </w:rPr>
        <w:t>逕</w:t>
      </w:r>
      <w:proofErr w:type="gramEnd"/>
      <w:r w:rsidRPr="00D64819">
        <w:rPr>
          <w:rFonts w:hAnsi="標楷體"/>
          <w:kern w:val="2"/>
          <w:szCs w:val="20"/>
          <w:lang w:eastAsia="zh-HK"/>
        </w:rPr>
        <w:t>交由補償法院求償審查委員會審查是否行使求償權及其求償之範圍</w:t>
      </w:r>
      <w:r w:rsidRPr="00D64819">
        <w:rPr>
          <w:rFonts w:hAnsi="標楷體" w:hint="eastAsia"/>
          <w:kern w:val="2"/>
          <w:szCs w:val="20"/>
          <w:lang w:eastAsia="zh-HK"/>
        </w:rPr>
        <w:t>。又參考</w:t>
      </w:r>
      <w:r w:rsidRPr="00D64819">
        <w:rPr>
          <w:rFonts w:hAnsi="標楷體"/>
          <w:lang w:eastAsia="zh-HK"/>
        </w:rPr>
        <w:t>國防部各級軍事法院及</w:t>
      </w:r>
      <w:r w:rsidRPr="00D64819">
        <w:rPr>
          <w:rFonts w:hAnsi="標楷體"/>
        </w:rPr>
        <w:t>檢察署</w:t>
      </w:r>
      <w:r w:rsidRPr="00D64819">
        <w:rPr>
          <w:rFonts w:hAnsi="標楷體"/>
          <w:lang w:eastAsia="zh-HK"/>
        </w:rPr>
        <w:t>辦理刑事補償事件求償作業要點第5點</w:t>
      </w:r>
      <w:r w:rsidRPr="00D64819">
        <w:rPr>
          <w:rFonts w:hAnsi="標楷體" w:hint="eastAsia"/>
          <w:lang w:eastAsia="zh-HK"/>
        </w:rPr>
        <w:t>規定</w:t>
      </w:r>
      <w:r w:rsidRPr="00D64819">
        <w:rPr>
          <w:rFonts w:hAnsi="標楷體"/>
          <w:lang w:eastAsia="zh-HK"/>
        </w:rPr>
        <w:t>：「軍事法院或軍事檢察署於支付刑事補償金額後，應於15日內通知召開求償審查會，審查相關執行職務之人員，有無因故意或重大過失應予求償之情事。」</w:t>
      </w:r>
      <w:r w:rsidRPr="00D64819">
        <w:rPr>
          <w:rFonts w:hAnsi="標楷體" w:hint="eastAsia"/>
          <w:lang w:eastAsia="zh-HK"/>
        </w:rPr>
        <w:t>以觀，</w:t>
      </w:r>
      <w:r w:rsidRPr="00D64819">
        <w:rPr>
          <w:rFonts w:hAnsi="標楷體"/>
          <w:lang w:eastAsia="zh-HK"/>
        </w:rPr>
        <w:t>軍事</w:t>
      </w:r>
      <w:r w:rsidRPr="00D64819">
        <w:rPr>
          <w:rFonts w:hAnsi="標楷體" w:hint="eastAsia"/>
          <w:lang w:eastAsia="zh-HK"/>
        </w:rPr>
        <w:t>審判機關就刑事補償確定求償案件，</w:t>
      </w:r>
      <w:proofErr w:type="gramStart"/>
      <w:r w:rsidRPr="00D64819">
        <w:rPr>
          <w:rFonts w:hAnsi="標楷體" w:hint="eastAsia"/>
          <w:lang w:eastAsia="zh-HK"/>
        </w:rPr>
        <w:t>均已送交</w:t>
      </w:r>
      <w:proofErr w:type="gramEnd"/>
      <w:r w:rsidRPr="00D64819">
        <w:rPr>
          <w:rFonts w:hAnsi="標楷體"/>
          <w:lang w:eastAsia="zh-HK"/>
        </w:rPr>
        <w:t>求償審查會審</w:t>
      </w:r>
      <w:r w:rsidRPr="00D64819">
        <w:rPr>
          <w:rFonts w:hAnsi="標楷體"/>
          <w:lang w:eastAsia="zh-HK"/>
        </w:rPr>
        <w:lastRenderedPageBreak/>
        <w:t>查</w:t>
      </w:r>
      <w:r w:rsidRPr="00D64819">
        <w:rPr>
          <w:rFonts w:hAnsi="標楷體" w:hint="eastAsia"/>
          <w:lang w:eastAsia="zh-HK"/>
        </w:rPr>
        <w:t>是否行使求償權。對此，</w:t>
      </w:r>
      <w:proofErr w:type="gramStart"/>
      <w:r w:rsidRPr="00D64819">
        <w:rPr>
          <w:rFonts w:hAnsi="標楷體" w:hint="eastAsia"/>
          <w:lang w:eastAsia="zh-HK"/>
        </w:rPr>
        <w:t>詢</w:t>
      </w:r>
      <w:proofErr w:type="gramEnd"/>
      <w:r w:rsidRPr="00D64819">
        <w:rPr>
          <w:rFonts w:hAnsi="標楷體" w:hint="eastAsia"/>
          <w:lang w:eastAsia="zh-HK"/>
        </w:rPr>
        <w:t>據司法院刑事廳相關人員表示，此舉恐有部分法院基於情誼而為</w:t>
      </w:r>
      <w:proofErr w:type="gramStart"/>
      <w:r w:rsidRPr="00D64819">
        <w:rPr>
          <w:rFonts w:hAnsi="標楷體" w:hint="eastAsia"/>
          <w:lang w:eastAsia="zh-HK"/>
        </w:rPr>
        <w:t>迴</w:t>
      </w:r>
      <w:proofErr w:type="gramEnd"/>
      <w:r w:rsidRPr="00D64819">
        <w:rPr>
          <w:rFonts w:hAnsi="標楷體" w:hint="eastAsia"/>
          <w:lang w:eastAsia="zh-HK"/>
        </w:rPr>
        <w:t>護同仁，或</w:t>
      </w:r>
      <w:r w:rsidRPr="00D64819">
        <w:rPr>
          <w:rFonts w:hAnsi="標楷體"/>
          <w:lang w:eastAsia="zh-HK"/>
        </w:rPr>
        <w:t>淪為</w:t>
      </w:r>
      <w:r w:rsidRPr="00D64819">
        <w:rPr>
          <w:rFonts w:hAnsi="標楷體" w:hint="eastAsia"/>
          <w:lang w:eastAsia="zh-HK"/>
        </w:rPr>
        <w:t>人事鬥爭之工具等疑慮；且</w:t>
      </w:r>
      <w:r w:rsidRPr="00D64819">
        <w:rPr>
          <w:rFonts w:hAnsi="標楷體"/>
          <w:szCs w:val="32"/>
        </w:rPr>
        <w:t>求償</w:t>
      </w:r>
      <w:r w:rsidRPr="00D64819">
        <w:rPr>
          <w:rFonts w:hAnsi="標楷體" w:hint="eastAsia"/>
          <w:szCs w:val="32"/>
          <w:lang w:eastAsia="zh-HK"/>
        </w:rPr>
        <w:t>權行使過當</w:t>
      </w:r>
      <w:r w:rsidRPr="00D64819">
        <w:rPr>
          <w:rFonts w:hAnsi="標楷體"/>
          <w:szCs w:val="32"/>
        </w:rPr>
        <w:t>，</w:t>
      </w:r>
      <w:r w:rsidRPr="00D64819">
        <w:rPr>
          <w:rFonts w:hAnsi="標楷體" w:hint="eastAsia"/>
          <w:szCs w:val="32"/>
          <w:lang w:eastAsia="zh-HK"/>
        </w:rPr>
        <w:t>將迫使</w:t>
      </w:r>
      <w:r w:rsidRPr="00D64819">
        <w:rPr>
          <w:rFonts w:ascii="Helvetica" w:hAnsi="Helvetica" w:cs="Arial"/>
        </w:rPr>
        <w:t>法官自我審查，</w:t>
      </w:r>
      <w:r w:rsidRPr="00D64819">
        <w:rPr>
          <w:rFonts w:ascii="Helvetica" w:hAnsi="Helvetica" w:cs="Arial" w:hint="eastAsia"/>
          <w:lang w:eastAsia="zh-HK"/>
        </w:rPr>
        <w:t>讓</w:t>
      </w:r>
      <w:r w:rsidRPr="00D64819">
        <w:rPr>
          <w:rFonts w:ascii="Helvetica" w:hAnsi="Helvetica" w:cs="Arial"/>
        </w:rPr>
        <w:t>判決越趨保守安全，而忽略對法律正義</w:t>
      </w:r>
      <w:r w:rsidRPr="00D64819">
        <w:rPr>
          <w:rFonts w:ascii="Helvetica" w:hAnsi="Helvetica" w:cs="Arial" w:hint="eastAsia"/>
          <w:lang w:eastAsia="zh-HK"/>
        </w:rPr>
        <w:t>之</w:t>
      </w:r>
      <w:r w:rsidRPr="00D64819">
        <w:rPr>
          <w:rFonts w:ascii="Helvetica" w:hAnsi="Helvetica" w:cs="Arial"/>
        </w:rPr>
        <w:t>追求。</w:t>
      </w:r>
      <w:proofErr w:type="gramStart"/>
      <w:r w:rsidRPr="00D64819">
        <w:rPr>
          <w:rFonts w:hAnsi="標楷體" w:hint="eastAsia"/>
          <w:lang w:eastAsia="zh-HK"/>
        </w:rPr>
        <w:t>核其所</w:t>
      </w:r>
      <w:proofErr w:type="gramEnd"/>
      <w:r w:rsidRPr="00D64819">
        <w:rPr>
          <w:rFonts w:hAnsi="標楷體" w:hint="eastAsia"/>
          <w:lang w:eastAsia="zh-HK"/>
        </w:rPr>
        <w:t>復，雖非無據，惟鑒</w:t>
      </w:r>
      <w:r w:rsidRPr="00D64819">
        <w:rPr>
          <w:rFonts w:hAnsi="標楷體" w:hint="eastAsia"/>
          <w:bCs w:val="0"/>
          <w:kern w:val="2"/>
          <w:szCs w:val="20"/>
          <w:lang w:eastAsia="zh-HK"/>
        </w:rPr>
        <w:t>於外界對於現行刑事補償求償機制尚有疑慮，故參考</w:t>
      </w:r>
      <w:r w:rsidRPr="00D64819">
        <w:rPr>
          <w:rFonts w:hAnsi="標楷體" w:hint="eastAsia"/>
          <w:lang w:eastAsia="zh-HK"/>
        </w:rPr>
        <w:t>司法院制定之</w:t>
      </w:r>
      <w:r w:rsidRPr="00D64819">
        <w:rPr>
          <w:rFonts w:hAnsi="標楷體" w:hint="eastAsia"/>
        </w:rPr>
        <w:t>刑事補償作業處理流程（101</w:t>
      </w:r>
      <w:r w:rsidRPr="00D64819">
        <w:rPr>
          <w:rFonts w:hAnsi="標楷體" w:hint="eastAsia"/>
          <w:lang w:eastAsia="zh-HK"/>
        </w:rPr>
        <w:t>年</w:t>
      </w:r>
      <w:r w:rsidRPr="00D64819">
        <w:rPr>
          <w:rFonts w:hAnsi="標楷體" w:hint="eastAsia"/>
        </w:rPr>
        <w:t>6</w:t>
      </w:r>
      <w:r w:rsidRPr="00D64819">
        <w:rPr>
          <w:rFonts w:hAnsi="標楷體" w:hint="eastAsia"/>
          <w:lang w:eastAsia="zh-HK"/>
        </w:rPr>
        <w:t>月</w:t>
      </w:r>
      <w:r w:rsidRPr="00D64819">
        <w:rPr>
          <w:rFonts w:hAnsi="標楷體" w:hint="eastAsia"/>
        </w:rPr>
        <w:t>14</w:t>
      </w:r>
      <w:r w:rsidRPr="00D64819">
        <w:rPr>
          <w:rFonts w:hAnsi="標楷體" w:hint="eastAsia"/>
          <w:lang w:eastAsia="zh-HK"/>
        </w:rPr>
        <w:t>日更新</w:t>
      </w:r>
      <w:r w:rsidRPr="00D64819">
        <w:rPr>
          <w:rFonts w:hAnsi="標楷體" w:hint="eastAsia"/>
        </w:rPr>
        <w:t>）</w:t>
      </w:r>
      <w:r w:rsidRPr="00D64819">
        <w:rPr>
          <w:rFonts w:hAnsi="標楷體" w:hint="eastAsia"/>
          <w:lang w:eastAsia="zh-HK"/>
        </w:rPr>
        <w:t>第</w:t>
      </w:r>
      <w:r w:rsidRPr="00D64819">
        <w:rPr>
          <w:rFonts w:hAnsi="標楷體" w:hint="eastAsia"/>
        </w:rPr>
        <w:t>4</w:t>
      </w:r>
      <w:r w:rsidRPr="00D64819">
        <w:rPr>
          <w:rFonts w:hAnsi="標楷體" w:hint="eastAsia"/>
          <w:lang w:eastAsia="zh-HK"/>
        </w:rPr>
        <w:t>條規定</w:t>
      </w:r>
      <w:r w:rsidRPr="00D64819">
        <w:rPr>
          <w:rFonts w:hAnsi="標楷體" w:hint="eastAsia"/>
        </w:rPr>
        <w:t>：</w:t>
      </w:r>
      <w:r w:rsidRPr="00D64819">
        <w:rPr>
          <w:rFonts w:hAnsi="標楷體" w:hint="eastAsia"/>
          <w:lang w:eastAsia="zh-HK"/>
        </w:rPr>
        <w:t>「刑事補償事件</w:t>
      </w:r>
      <w:r w:rsidRPr="00D64819">
        <w:rPr>
          <w:rFonts w:hAnsi="標楷體" w:hint="eastAsia"/>
        </w:rPr>
        <w:t>，</w:t>
      </w:r>
      <w:r w:rsidRPr="00D64819">
        <w:rPr>
          <w:rFonts w:hAnsi="標楷體" w:hint="eastAsia"/>
          <w:lang w:eastAsia="zh-HK"/>
        </w:rPr>
        <w:t>決定書正本送</w:t>
      </w:r>
      <w:r w:rsidRPr="00D64819">
        <w:rPr>
          <w:rFonts w:hAnsi="標楷體" w:hint="eastAsia"/>
        </w:rPr>
        <w:t>：</w:t>
      </w:r>
      <w:r w:rsidRPr="00D64819">
        <w:rPr>
          <w:rFonts w:hAnsi="標楷體"/>
        </w:rPr>
        <w:t>…</w:t>
      </w:r>
      <w:proofErr w:type="gramStart"/>
      <w:r w:rsidRPr="00D64819">
        <w:rPr>
          <w:rFonts w:hAnsi="標楷體"/>
        </w:rPr>
        <w:t>…</w:t>
      </w:r>
      <w:proofErr w:type="gramEnd"/>
      <w:r w:rsidRPr="00D64819">
        <w:rPr>
          <w:rFonts w:hAnsi="標楷體" w:hint="eastAsia"/>
        </w:rPr>
        <w:t>（</w:t>
      </w:r>
      <w:r w:rsidRPr="00D64819">
        <w:rPr>
          <w:rFonts w:hAnsi="標楷體" w:hint="eastAsia"/>
          <w:lang w:eastAsia="zh-HK"/>
        </w:rPr>
        <w:t>三</w:t>
      </w:r>
      <w:r w:rsidRPr="00D64819">
        <w:rPr>
          <w:rFonts w:hAnsi="標楷體" w:hint="eastAsia"/>
        </w:rPr>
        <w:t>）</w:t>
      </w:r>
      <w:r w:rsidRPr="00D64819">
        <w:rPr>
          <w:rFonts w:hAnsi="標楷體" w:hint="eastAsia"/>
          <w:lang w:eastAsia="zh-HK"/>
        </w:rPr>
        <w:t>監察院司法委員會</w:t>
      </w:r>
      <w:r w:rsidRPr="00D64819">
        <w:rPr>
          <w:rStyle w:val="aff4"/>
          <w:rFonts w:hAnsi="標楷體"/>
          <w:lang w:eastAsia="zh-HK"/>
        </w:rPr>
        <w:footnoteReference w:id="4"/>
      </w:r>
      <w:r w:rsidRPr="00D64819">
        <w:rPr>
          <w:rFonts w:hAnsi="標楷體" w:hint="eastAsia"/>
          <w:lang w:eastAsia="zh-HK"/>
        </w:rPr>
        <w:t>」之作法</w:t>
      </w:r>
      <w:r w:rsidRPr="00D64819">
        <w:rPr>
          <w:rFonts w:hAnsi="標楷體" w:hint="eastAsia"/>
          <w:bCs w:val="0"/>
          <w:kern w:val="2"/>
          <w:szCs w:val="20"/>
        </w:rPr>
        <w:t>，</w:t>
      </w:r>
      <w:proofErr w:type="gramStart"/>
      <w:r w:rsidRPr="00D64819">
        <w:rPr>
          <w:rFonts w:hAnsi="標楷體" w:hint="eastAsia"/>
          <w:bCs w:val="0"/>
          <w:kern w:val="2"/>
          <w:szCs w:val="20"/>
          <w:lang w:eastAsia="zh-HK"/>
        </w:rPr>
        <w:t>司法院允應</w:t>
      </w:r>
      <w:proofErr w:type="gramEnd"/>
      <w:r w:rsidRPr="00D64819">
        <w:rPr>
          <w:rFonts w:hAnsi="標楷體" w:hint="eastAsia"/>
          <w:bCs w:val="0"/>
          <w:kern w:val="2"/>
          <w:szCs w:val="20"/>
          <w:lang w:eastAsia="zh-HK"/>
        </w:rPr>
        <w:t>檢討評估</w:t>
      </w:r>
      <w:r w:rsidRPr="00D64819">
        <w:rPr>
          <w:rFonts w:hAnsi="標楷體" w:hint="eastAsia"/>
          <w:kern w:val="0"/>
          <w:szCs w:val="32"/>
        </w:rPr>
        <w:t>引進外部監督機制，將</w:t>
      </w:r>
      <w:r w:rsidRPr="00D64819">
        <w:rPr>
          <w:rFonts w:hAnsi="標楷體"/>
        </w:rPr>
        <w:t>所屬人員</w:t>
      </w:r>
      <w:r w:rsidRPr="00D64819">
        <w:rPr>
          <w:rFonts w:hAnsi="標楷體" w:hint="eastAsia"/>
        </w:rPr>
        <w:t>造成刑事補償事件之違失責任調查報告</w:t>
      </w:r>
      <w:proofErr w:type="gramStart"/>
      <w:r w:rsidRPr="00D64819">
        <w:rPr>
          <w:rFonts w:hAnsi="標楷體" w:hint="eastAsia"/>
        </w:rPr>
        <w:t>（</w:t>
      </w:r>
      <w:proofErr w:type="gramEnd"/>
      <w:r w:rsidRPr="00D64819">
        <w:rPr>
          <w:rFonts w:hAnsi="標楷體" w:hint="eastAsia"/>
          <w:lang w:eastAsia="zh-HK"/>
        </w:rPr>
        <w:t>如</w:t>
      </w:r>
      <w:r w:rsidRPr="00D64819">
        <w:rPr>
          <w:rFonts w:hAnsi="標楷體" w:hint="eastAsia"/>
        </w:rPr>
        <w:t>：</w:t>
      </w:r>
      <w:r w:rsidRPr="00D64819">
        <w:rPr>
          <w:rFonts w:hAnsi="標楷體" w:hint="eastAsia"/>
          <w:kern w:val="0"/>
          <w:szCs w:val="32"/>
          <w:lang w:eastAsia="zh-HK"/>
        </w:rPr>
        <w:t>司法</w:t>
      </w:r>
      <w:r w:rsidRPr="00D64819">
        <w:rPr>
          <w:rFonts w:hAnsi="標楷體"/>
          <w:kern w:val="0"/>
          <w:szCs w:val="32"/>
        </w:rPr>
        <w:t>院審核刑事補償事件原承辦人員有無違失之審查結果</w:t>
      </w:r>
      <w:proofErr w:type="gramStart"/>
      <w:r w:rsidRPr="00D64819">
        <w:rPr>
          <w:rFonts w:hAnsi="標楷體" w:hint="eastAsia"/>
        </w:rPr>
        <w:t>）</w:t>
      </w:r>
      <w:proofErr w:type="gramEnd"/>
      <w:r w:rsidRPr="00D64819">
        <w:rPr>
          <w:rFonts w:hAnsi="標楷體" w:hint="eastAsia"/>
        </w:rPr>
        <w:t>、求償審查委員會會議紀錄及相關卷證函送本院參酌，</w:t>
      </w:r>
      <w:proofErr w:type="gramStart"/>
      <w:r w:rsidRPr="00D64819">
        <w:rPr>
          <w:rFonts w:hAnsi="標楷體" w:hint="eastAsia"/>
        </w:rPr>
        <w:t>俾</w:t>
      </w:r>
      <w:proofErr w:type="gramEnd"/>
      <w:r w:rsidRPr="00D64819">
        <w:rPr>
          <w:rFonts w:hAnsi="標楷體" w:hint="eastAsia"/>
          <w:kern w:val="0"/>
          <w:szCs w:val="32"/>
        </w:rPr>
        <w:t>減少外界訾議。</w:t>
      </w:r>
    </w:p>
    <w:p w:rsidR="00EB5E57" w:rsidRPr="00D64819" w:rsidRDefault="00EB5E57" w:rsidP="00F709B1">
      <w:pPr>
        <w:pStyle w:val="3"/>
        <w:rPr>
          <w:rFonts w:hAnsi="標楷體"/>
        </w:rPr>
      </w:pPr>
      <w:r w:rsidRPr="00D64819">
        <w:rPr>
          <w:rFonts w:hAnsi="標楷體" w:hint="eastAsia"/>
          <w:kern w:val="2"/>
          <w:szCs w:val="20"/>
          <w:lang w:eastAsia="zh-HK"/>
        </w:rPr>
        <w:t>再查，</w:t>
      </w:r>
      <w:r w:rsidRPr="00D64819">
        <w:rPr>
          <w:rFonts w:hAnsi="標楷體"/>
        </w:rPr>
        <w:t>101至108年</w:t>
      </w:r>
      <w:r w:rsidRPr="00D64819">
        <w:rPr>
          <w:rFonts w:hAnsi="標楷體" w:hint="eastAsia"/>
          <w:kern w:val="2"/>
          <w:szCs w:val="20"/>
          <w:lang w:eastAsia="zh-HK"/>
        </w:rPr>
        <w:t>檢察機關</w:t>
      </w:r>
      <w:r w:rsidRPr="00D64819">
        <w:rPr>
          <w:rFonts w:hAnsi="標楷體" w:hint="eastAsia"/>
          <w:lang w:eastAsia="zh-HK"/>
        </w:rPr>
        <w:t>核准刑事補償確定件數共</w:t>
      </w:r>
      <w:r w:rsidRPr="00D64819">
        <w:rPr>
          <w:rFonts w:hAnsi="標楷體" w:hint="eastAsia"/>
        </w:rPr>
        <w:t>36</w:t>
      </w:r>
      <w:r w:rsidRPr="00D64819">
        <w:rPr>
          <w:rFonts w:hAnsi="標楷體" w:hint="eastAsia"/>
          <w:lang w:eastAsia="zh-HK"/>
        </w:rPr>
        <w:t>件</w:t>
      </w:r>
      <w:r w:rsidRPr="00D64819">
        <w:rPr>
          <w:rFonts w:hAnsi="標楷體" w:hint="eastAsia"/>
        </w:rPr>
        <w:t>，</w:t>
      </w:r>
      <w:r w:rsidRPr="00D64819">
        <w:rPr>
          <w:rFonts w:hAnsi="標楷體" w:hint="eastAsia"/>
          <w:lang w:eastAsia="zh-HK"/>
        </w:rPr>
        <w:t>惟</w:t>
      </w:r>
      <w:r w:rsidRPr="00D64819">
        <w:rPr>
          <w:rFonts w:hAnsi="標楷體" w:hint="eastAsia"/>
        </w:rPr>
        <w:t>行使求償權</w:t>
      </w:r>
      <w:r w:rsidRPr="00D64819">
        <w:rPr>
          <w:rFonts w:hAnsi="標楷體" w:hint="eastAsia"/>
          <w:lang w:eastAsia="zh-HK"/>
        </w:rPr>
        <w:t>為</w:t>
      </w:r>
      <w:r w:rsidRPr="00D64819">
        <w:rPr>
          <w:rFonts w:hAnsi="標楷體" w:hint="eastAsia"/>
        </w:rPr>
        <w:t>0件</w:t>
      </w:r>
      <w:r w:rsidRPr="00D64819">
        <w:rPr>
          <w:rFonts w:hAnsi="標楷體" w:hint="eastAsia"/>
          <w:kern w:val="2"/>
          <w:szCs w:val="20"/>
          <w:lang w:eastAsia="zh-HK"/>
        </w:rPr>
        <w:t>；至於</w:t>
      </w:r>
      <w:r w:rsidRPr="00D64819">
        <w:rPr>
          <w:rFonts w:hAnsi="標楷體" w:hint="eastAsia"/>
          <w:kern w:val="2"/>
          <w:szCs w:val="20"/>
        </w:rPr>
        <w:t>，</w:t>
      </w:r>
      <w:r w:rsidRPr="00D64819">
        <w:rPr>
          <w:rFonts w:hAnsi="標楷體" w:hint="eastAsia"/>
          <w:kern w:val="2"/>
          <w:szCs w:val="20"/>
          <w:lang w:eastAsia="zh-HK"/>
        </w:rPr>
        <w:t>軍事檢察機關</w:t>
      </w:r>
      <w:r w:rsidRPr="00D64819">
        <w:rPr>
          <w:rFonts w:hAnsi="標楷體" w:hint="eastAsia"/>
          <w:lang w:eastAsia="zh-HK"/>
        </w:rPr>
        <w:t>部分，</w:t>
      </w:r>
      <w:r w:rsidRPr="00D64819">
        <w:rPr>
          <w:rFonts w:hAnsi="標楷體"/>
          <w:lang w:eastAsia="zh-HK"/>
        </w:rPr>
        <w:t>僅江國慶刑事補償</w:t>
      </w:r>
      <w:r w:rsidRPr="00D64819">
        <w:rPr>
          <w:rFonts w:hAnsi="標楷體" w:hint="eastAsia"/>
          <w:lang w:eastAsia="zh-HK"/>
        </w:rPr>
        <w:t>案</w:t>
      </w:r>
      <w:r w:rsidRPr="00D64819">
        <w:rPr>
          <w:rFonts w:hAnsi="標楷體" w:hint="eastAsia"/>
        </w:rPr>
        <w:t>1</w:t>
      </w:r>
      <w:r w:rsidRPr="00D64819">
        <w:rPr>
          <w:rFonts w:hAnsi="標楷體" w:hint="eastAsia"/>
          <w:lang w:eastAsia="zh-HK"/>
        </w:rPr>
        <w:t>件有向被求償人行使求償權，</w:t>
      </w:r>
      <w:proofErr w:type="gramStart"/>
      <w:r w:rsidRPr="00D64819">
        <w:rPr>
          <w:rFonts w:hAnsi="標楷體" w:hint="eastAsia"/>
          <w:lang w:eastAsia="zh-HK"/>
        </w:rPr>
        <w:t>求償件數</w:t>
      </w:r>
      <w:proofErr w:type="gramEnd"/>
      <w:r w:rsidRPr="00D64819">
        <w:rPr>
          <w:rFonts w:hAnsi="標楷體" w:hint="eastAsia"/>
          <w:lang w:eastAsia="zh-HK"/>
        </w:rPr>
        <w:t>均寥寥可數</w:t>
      </w:r>
      <w:r w:rsidRPr="00D64819">
        <w:rPr>
          <w:rFonts w:hAnsi="標楷體" w:hint="eastAsia"/>
          <w:kern w:val="2"/>
          <w:szCs w:val="20"/>
        </w:rPr>
        <w:t>。</w:t>
      </w:r>
      <w:proofErr w:type="gramStart"/>
      <w:r w:rsidRPr="00D64819">
        <w:rPr>
          <w:rFonts w:hAnsi="標楷體" w:hint="eastAsia"/>
          <w:kern w:val="2"/>
          <w:szCs w:val="20"/>
          <w:lang w:eastAsia="zh-HK"/>
        </w:rPr>
        <w:t>況</w:t>
      </w:r>
      <w:proofErr w:type="gramEnd"/>
      <w:r w:rsidRPr="00D64819">
        <w:rPr>
          <w:rFonts w:hAnsi="標楷體" w:hint="eastAsia"/>
          <w:kern w:val="2"/>
          <w:szCs w:val="20"/>
          <w:lang w:eastAsia="zh-HK"/>
        </w:rPr>
        <w:t>查，雖按</w:t>
      </w:r>
      <w:r w:rsidRPr="00D64819">
        <w:rPr>
          <w:rFonts w:hAnsi="標楷體" w:hint="eastAsia"/>
        </w:rPr>
        <w:t>第一二審法院所屬人員違失造成刑事補償懲處要點</w:t>
      </w:r>
      <w:r w:rsidRPr="00D64819">
        <w:rPr>
          <w:rFonts w:hAnsi="標楷體"/>
        </w:rPr>
        <w:t>第</w:t>
      </w:r>
      <w:r w:rsidRPr="00D64819">
        <w:rPr>
          <w:rFonts w:hAnsi="標楷體" w:hint="eastAsia"/>
        </w:rPr>
        <w:t>5</w:t>
      </w:r>
      <w:r w:rsidRPr="00D64819">
        <w:rPr>
          <w:rFonts w:hAnsi="標楷體"/>
        </w:rPr>
        <w:t>點規定：「</w:t>
      </w:r>
      <w:r w:rsidRPr="00D64819">
        <w:rPr>
          <w:rFonts w:hAnsi="標楷體" w:hint="eastAsia"/>
        </w:rPr>
        <w:t>司法院依臺灣高等法院、福建高等法院金門分院函報內容，認非法院所屬人員涉有</w:t>
      </w:r>
      <w:proofErr w:type="gramStart"/>
      <w:r w:rsidRPr="00D64819">
        <w:rPr>
          <w:rFonts w:hAnsi="標楷體" w:hint="eastAsia"/>
        </w:rPr>
        <w:t>違失者</w:t>
      </w:r>
      <w:proofErr w:type="gramEnd"/>
      <w:r w:rsidRPr="00D64819">
        <w:rPr>
          <w:rFonts w:hAnsi="標楷體" w:hint="eastAsia"/>
        </w:rPr>
        <w:t>，應檢具事證函送其所屬機關，按疏失情節處理。</w:t>
      </w:r>
      <w:r w:rsidRPr="00D64819">
        <w:rPr>
          <w:rFonts w:hAnsi="標楷體"/>
        </w:rPr>
        <w:t>」</w:t>
      </w:r>
      <w:r w:rsidRPr="00D64819">
        <w:rPr>
          <w:rFonts w:hAnsi="標楷體" w:hint="eastAsia"/>
        </w:rPr>
        <w:t>然</w:t>
      </w:r>
      <w:r w:rsidRPr="00D64819">
        <w:rPr>
          <w:rFonts w:hAnsi="標楷體" w:hint="eastAsia"/>
          <w:lang w:eastAsia="zh-HK"/>
        </w:rPr>
        <w:t>目前尚乏</w:t>
      </w:r>
      <w:r w:rsidRPr="00D64819">
        <w:rPr>
          <w:rFonts w:hAnsi="標楷體" w:hint="eastAsia"/>
        </w:rPr>
        <w:t>法院</w:t>
      </w:r>
      <w:r w:rsidRPr="00D64819">
        <w:rPr>
          <w:rFonts w:hAnsi="標楷體" w:hint="eastAsia"/>
          <w:lang w:eastAsia="zh-HK"/>
        </w:rPr>
        <w:t>以外</w:t>
      </w:r>
      <w:r w:rsidRPr="00D64819">
        <w:rPr>
          <w:rFonts w:hAnsi="標楷體" w:hint="eastAsia"/>
        </w:rPr>
        <w:t>所屬人員懲處權行使</w:t>
      </w:r>
      <w:r w:rsidRPr="00D64819">
        <w:rPr>
          <w:rFonts w:hAnsi="標楷體" w:hint="eastAsia"/>
          <w:lang w:eastAsia="zh-HK"/>
        </w:rPr>
        <w:t>情形之追</w:t>
      </w:r>
      <w:r w:rsidRPr="00D64819">
        <w:rPr>
          <w:rFonts w:hAnsi="標楷體" w:hint="eastAsia"/>
        </w:rPr>
        <w:t>蹤</w:t>
      </w:r>
      <w:r w:rsidRPr="00D64819">
        <w:rPr>
          <w:rFonts w:hAnsi="標楷體" w:hint="eastAsia"/>
          <w:lang w:eastAsia="zh-HK"/>
        </w:rPr>
        <w:t>機制</w:t>
      </w:r>
      <w:r w:rsidRPr="00D64819">
        <w:rPr>
          <w:rFonts w:hAnsi="標楷體" w:hint="eastAsia"/>
        </w:rPr>
        <w:t>，是以法務部、國防部允應檢討評估將</w:t>
      </w:r>
      <w:r w:rsidRPr="00D64819">
        <w:rPr>
          <w:rFonts w:hAnsi="標楷體"/>
        </w:rPr>
        <w:t>所屬人員</w:t>
      </w:r>
      <w:r w:rsidRPr="00D64819">
        <w:rPr>
          <w:rFonts w:hAnsi="標楷體" w:hint="eastAsia"/>
        </w:rPr>
        <w:t>造成刑事補償事件之違失責任調查報告、求償審查</w:t>
      </w:r>
      <w:r w:rsidRPr="00D64819">
        <w:rPr>
          <w:rFonts w:hAnsi="標楷體" w:hint="eastAsia"/>
          <w:lang w:eastAsia="zh-HK"/>
        </w:rPr>
        <w:t>會</w:t>
      </w:r>
      <w:r w:rsidRPr="00D64819">
        <w:rPr>
          <w:rFonts w:hAnsi="標楷體" w:hint="eastAsia"/>
        </w:rPr>
        <w:t>會議紀錄</w:t>
      </w:r>
      <w:proofErr w:type="gramStart"/>
      <w:r w:rsidRPr="00D64819">
        <w:rPr>
          <w:rFonts w:hAnsi="標楷體" w:hint="eastAsia"/>
        </w:rPr>
        <w:t>（</w:t>
      </w:r>
      <w:proofErr w:type="gramEnd"/>
      <w:r w:rsidRPr="00D64819">
        <w:rPr>
          <w:rFonts w:hAnsi="標楷體" w:hint="eastAsia"/>
        </w:rPr>
        <w:t>包括：</w:t>
      </w:r>
      <w:r w:rsidRPr="00D64819">
        <w:rPr>
          <w:rFonts w:hAnsi="標楷體"/>
        </w:rPr>
        <w:t>臺灣高等檢察署</w:t>
      </w:r>
      <w:r w:rsidRPr="00D64819">
        <w:rPr>
          <w:rFonts w:hAnsi="標楷體" w:hint="eastAsia"/>
        </w:rPr>
        <w:t>〔刑事補償事件審查小組〕審查對刑事補償事件之承辦公務員行使求償權之調查結果、最高軍事院檢審查軍法</w:t>
      </w:r>
      <w:r w:rsidRPr="00D64819">
        <w:rPr>
          <w:rFonts w:hAnsi="標楷體" w:hint="eastAsia"/>
        </w:rPr>
        <w:lastRenderedPageBreak/>
        <w:t>官有無</w:t>
      </w:r>
      <w:proofErr w:type="gramStart"/>
      <w:r w:rsidRPr="00D64819">
        <w:rPr>
          <w:rFonts w:hAnsi="標楷體" w:hint="eastAsia"/>
        </w:rPr>
        <w:t>偵審違</w:t>
      </w:r>
      <w:proofErr w:type="gramEnd"/>
      <w:r w:rsidRPr="00D64819">
        <w:rPr>
          <w:rFonts w:hAnsi="標楷體" w:hint="eastAsia"/>
        </w:rPr>
        <w:t>失責任之評議結果、軍事審判機關求償審查會決議結果</w:t>
      </w:r>
      <w:proofErr w:type="gramStart"/>
      <w:r w:rsidRPr="00D64819">
        <w:rPr>
          <w:rFonts w:hAnsi="標楷體" w:hint="eastAsia"/>
        </w:rPr>
        <w:t>）</w:t>
      </w:r>
      <w:proofErr w:type="gramEnd"/>
      <w:r w:rsidRPr="00D64819">
        <w:rPr>
          <w:rFonts w:hAnsi="標楷體" w:hint="eastAsia"/>
        </w:rPr>
        <w:t>及相關卷證函送本院參酌，提升人民對於辦理檢察機關、軍事檢察機關辦理刑事補償事件業務之信賴。</w:t>
      </w:r>
    </w:p>
    <w:p w:rsidR="00EB5E57" w:rsidRPr="00D64819" w:rsidRDefault="00EB5E57" w:rsidP="00F709B1">
      <w:pPr>
        <w:pStyle w:val="3"/>
        <w:rPr>
          <w:rFonts w:hAnsi="標楷體"/>
        </w:rPr>
      </w:pPr>
      <w:r w:rsidRPr="00D64819">
        <w:rPr>
          <w:rFonts w:hAnsi="標楷體" w:hint="eastAsia"/>
          <w:bCs w:val="0"/>
          <w:kern w:val="2"/>
          <w:szCs w:val="20"/>
          <w:lang w:eastAsia="zh-HK"/>
        </w:rPr>
        <w:t>綜上，101年至108年11月止，司法院審核造成刑事補償事件之原承辦人員有無</w:t>
      </w:r>
      <w:proofErr w:type="gramStart"/>
      <w:r w:rsidRPr="00D64819">
        <w:rPr>
          <w:rFonts w:hAnsi="標楷體" w:hint="eastAsia"/>
          <w:bCs w:val="0"/>
          <w:kern w:val="2"/>
          <w:szCs w:val="20"/>
          <w:lang w:eastAsia="zh-HK"/>
        </w:rPr>
        <w:t>違失者共</w:t>
      </w:r>
      <w:proofErr w:type="gramEnd"/>
      <w:r w:rsidRPr="00D64819">
        <w:rPr>
          <w:rFonts w:hAnsi="標楷體" w:hint="eastAsia"/>
          <w:bCs w:val="0"/>
          <w:kern w:val="2"/>
          <w:szCs w:val="20"/>
          <w:lang w:eastAsia="zh-HK"/>
        </w:rPr>
        <w:t>7</w:t>
      </w:r>
      <w:r w:rsidRPr="00D64819">
        <w:rPr>
          <w:rFonts w:hAnsi="標楷體"/>
          <w:bCs w:val="0"/>
          <w:kern w:val="2"/>
          <w:szCs w:val="20"/>
          <w:lang w:eastAsia="zh-HK"/>
        </w:rPr>
        <w:t>81</w:t>
      </w:r>
      <w:r w:rsidRPr="00D64819">
        <w:rPr>
          <w:rFonts w:hAnsi="標楷體" w:hint="eastAsia"/>
          <w:bCs w:val="0"/>
          <w:kern w:val="2"/>
          <w:szCs w:val="20"/>
          <w:lang w:eastAsia="zh-HK"/>
        </w:rPr>
        <w:t>件，其中，</w:t>
      </w:r>
      <w:r w:rsidRPr="00D64819">
        <w:rPr>
          <w:rFonts w:hAnsi="標楷體"/>
          <w:bCs w:val="0"/>
          <w:kern w:val="2"/>
          <w:szCs w:val="20"/>
          <w:lang w:eastAsia="zh-HK"/>
        </w:rPr>
        <w:t>認有</w:t>
      </w:r>
      <w:proofErr w:type="gramStart"/>
      <w:r w:rsidRPr="00D64819">
        <w:rPr>
          <w:rFonts w:hAnsi="標楷體"/>
          <w:bCs w:val="0"/>
          <w:kern w:val="2"/>
          <w:szCs w:val="20"/>
          <w:lang w:eastAsia="zh-HK"/>
        </w:rPr>
        <w:t>違失</w:t>
      </w:r>
      <w:r w:rsidRPr="00D64819">
        <w:rPr>
          <w:rFonts w:hAnsi="標楷體" w:hint="eastAsia"/>
          <w:bCs w:val="0"/>
          <w:kern w:val="2"/>
          <w:szCs w:val="20"/>
          <w:lang w:eastAsia="zh-HK"/>
        </w:rPr>
        <w:t>者17件</w:t>
      </w:r>
      <w:proofErr w:type="gramEnd"/>
      <w:r w:rsidRPr="00D64819">
        <w:rPr>
          <w:rFonts w:hAnsi="標楷體" w:hint="eastAsia"/>
          <w:bCs w:val="0"/>
          <w:kern w:val="2"/>
          <w:szCs w:val="20"/>
          <w:lang w:eastAsia="zh-HK"/>
        </w:rPr>
        <w:t>（占2.18%）；</w:t>
      </w:r>
      <w:r w:rsidRPr="00D64819">
        <w:rPr>
          <w:rFonts w:hAnsi="標楷體"/>
          <w:bCs w:val="0"/>
          <w:kern w:val="2"/>
          <w:szCs w:val="20"/>
          <w:lang w:eastAsia="zh-HK"/>
        </w:rPr>
        <w:t>101至108年</w:t>
      </w:r>
      <w:r w:rsidRPr="00D64819">
        <w:rPr>
          <w:rFonts w:hAnsi="標楷體" w:hint="eastAsia"/>
          <w:bCs w:val="0"/>
          <w:kern w:val="2"/>
          <w:szCs w:val="20"/>
          <w:lang w:eastAsia="zh-HK"/>
        </w:rPr>
        <w:t>檢察機關核准刑事補償確定共36件，全數不予求償；</w:t>
      </w:r>
      <w:r w:rsidRPr="00D64819">
        <w:rPr>
          <w:rFonts w:hAnsi="標楷體"/>
          <w:bCs w:val="0"/>
          <w:kern w:val="2"/>
          <w:szCs w:val="20"/>
          <w:lang w:eastAsia="zh-HK"/>
        </w:rPr>
        <w:t>101至108年</w:t>
      </w:r>
      <w:r w:rsidRPr="00D64819">
        <w:rPr>
          <w:rFonts w:hAnsi="標楷體" w:hint="eastAsia"/>
          <w:bCs w:val="0"/>
          <w:kern w:val="2"/>
          <w:szCs w:val="20"/>
          <w:lang w:eastAsia="zh-HK"/>
        </w:rPr>
        <w:t>軍事檢察機關</w:t>
      </w:r>
      <w:r w:rsidRPr="00D64819">
        <w:rPr>
          <w:rFonts w:hAnsi="標楷體"/>
          <w:bCs w:val="0"/>
          <w:kern w:val="2"/>
          <w:szCs w:val="20"/>
          <w:lang w:eastAsia="zh-HK"/>
        </w:rPr>
        <w:t>作成補償決定</w:t>
      </w:r>
      <w:r w:rsidRPr="00D64819">
        <w:rPr>
          <w:rFonts w:hAnsi="標楷體" w:hint="eastAsia"/>
          <w:bCs w:val="0"/>
          <w:kern w:val="2"/>
          <w:szCs w:val="20"/>
          <w:lang w:eastAsia="zh-HK"/>
        </w:rPr>
        <w:t>確定者共16件</w:t>
      </w:r>
      <w:r w:rsidRPr="00D64819">
        <w:rPr>
          <w:rFonts w:hAnsi="標楷體"/>
          <w:bCs w:val="0"/>
          <w:kern w:val="2"/>
          <w:szCs w:val="20"/>
          <w:lang w:eastAsia="zh-HK"/>
        </w:rPr>
        <w:t>，</w:t>
      </w:r>
      <w:r w:rsidRPr="00D64819">
        <w:rPr>
          <w:rFonts w:hAnsi="標楷體" w:hint="eastAsia"/>
          <w:bCs w:val="0"/>
          <w:kern w:val="2"/>
          <w:szCs w:val="20"/>
          <w:lang w:eastAsia="zh-HK"/>
        </w:rPr>
        <w:t>其中，</w:t>
      </w:r>
      <w:r w:rsidRPr="00D64819">
        <w:rPr>
          <w:rFonts w:hAnsi="標楷體"/>
          <w:bCs w:val="0"/>
          <w:kern w:val="2"/>
          <w:szCs w:val="20"/>
          <w:lang w:eastAsia="zh-HK"/>
        </w:rPr>
        <w:t>決議應予</w:t>
      </w:r>
      <w:proofErr w:type="gramStart"/>
      <w:r w:rsidRPr="00D64819">
        <w:rPr>
          <w:rFonts w:hAnsi="標楷體"/>
          <w:bCs w:val="0"/>
          <w:kern w:val="2"/>
          <w:szCs w:val="20"/>
          <w:lang w:eastAsia="zh-HK"/>
        </w:rPr>
        <w:t>求償者1件</w:t>
      </w:r>
      <w:proofErr w:type="gramEnd"/>
      <w:r w:rsidRPr="00D64819">
        <w:rPr>
          <w:rFonts w:hAnsi="標楷體" w:hint="eastAsia"/>
          <w:bCs w:val="0"/>
          <w:kern w:val="2"/>
          <w:szCs w:val="20"/>
          <w:lang w:eastAsia="zh-HK"/>
        </w:rPr>
        <w:t>；</w:t>
      </w:r>
      <w:proofErr w:type="gramStart"/>
      <w:r w:rsidRPr="00D64819">
        <w:rPr>
          <w:rFonts w:hAnsi="標楷體" w:hint="eastAsia"/>
          <w:bCs w:val="0"/>
          <w:kern w:val="2"/>
          <w:szCs w:val="20"/>
          <w:lang w:eastAsia="zh-HK"/>
        </w:rPr>
        <w:t>此外，</w:t>
      </w:r>
      <w:proofErr w:type="gramEnd"/>
      <w:r w:rsidRPr="00D64819">
        <w:rPr>
          <w:rFonts w:hAnsi="標楷體" w:hint="eastAsia"/>
          <w:bCs w:val="0"/>
          <w:kern w:val="2"/>
          <w:szCs w:val="20"/>
          <w:lang w:eastAsia="zh-HK"/>
        </w:rPr>
        <w:t>目前尚</w:t>
      </w:r>
      <w:r w:rsidRPr="00D64819">
        <w:rPr>
          <w:rFonts w:hAnsi="標楷體" w:hint="eastAsia"/>
          <w:lang w:eastAsia="zh-HK"/>
        </w:rPr>
        <w:t>乏</w:t>
      </w:r>
      <w:r w:rsidRPr="00D64819">
        <w:rPr>
          <w:rFonts w:hAnsi="標楷體" w:hint="eastAsia"/>
        </w:rPr>
        <w:t>法院</w:t>
      </w:r>
      <w:r w:rsidRPr="00D64819">
        <w:rPr>
          <w:rFonts w:hAnsi="標楷體" w:hint="eastAsia"/>
          <w:lang w:eastAsia="zh-HK"/>
        </w:rPr>
        <w:t>以外</w:t>
      </w:r>
      <w:r w:rsidRPr="00D64819">
        <w:rPr>
          <w:rFonts w:hAnsi="標楷體" w:hint="eastAsia"/>
        </w:rPr>
        <w:t>所屬人員懲處權行使</w:t>
      </w:r>
      <w:r w:rsidRPr="00D64819">
        <w:rPr>
          <w:rFonts w:hAnsi="標楷體" w:hint="eastAsia"/>
          <w:lang w:eastAsia="zh-HK"/>
        </w:rPr>
        <w:t>情形之追</w:t>
      </w:r>
      <w:r w:rsidRPr="00D64819">
        <w:rPr>
          <w:rFonts w:hAnsi="標楷體" w:hint="eastAsia"/>
        </w:rPr>
        <w:t>蹤</w:t>
      </w:r>
      <w:r w:rsidRPr="00D64819">
        <w:rPr>
          <w:rFonts w:hAnsi="標楷體" w:hint="eastAsia"/>
          <w:lang w:eastAsia="zh-HK"/>
        </w:rPr>
        <w:t>機制</w:t>
      </w:r>
      <w:r w:rsidRPr="00D64819">
        <w:rPr>
          <w:rFonts w:hAnsi="標楷體" w:hint="eastAsia"/>
          <w:szCs w:val="32"/>
        </w:rPr>
        <w:t>。</w:t>
      </w:r>
      <w:r w:rsidRPr="00D64819">
        <w:rPr>
          <w:rFonts w:hAnsi="標楷體" w:hint="eastAsia"/>
          <w:bCs w:val="0"/>
          <w:kern w:val="2"/>
          <w:szCs w:val="20"/>
          <w:lang w:eastAsia="zh-HK"/>
        </w:rPr>
        <w:t>鑒於外界對於現行刑事補償事件內部求償</w:t>
      </w:r>
      <w:r w:rsidRPr="00D64819">
        <w:rPr>
          <w:rFonts w:hAnsi="標楷體" w:hint="eastAsia"/>
          <w:bCs w:val="0"/>
          <w:kern w:val="2"/>
          <w:szCs w:val="20"/>
        </w:rPr>
        <w:t>、</w:t>
      </w:r>
      <w:r w:rsidRPr="00D64819">
        <w:rPr>
          <w:rFonts w:hAnsi="標楷體" w:hint="eastAsia"/>
          <w:bCs w:val="0"/>
          <w:kern w:val="2"/>
          <w:szCs w:val="20"/>
          <w:lang w:eastAsia="zh-HK"/>
        </w:rPr>
        <w:t>懲處機制尚有疑慮，司法院</w:t>
      </w:r>
      <w:r w:rsidRPr="00D64819">
        <w:rPr>
          <w:rFonts w:hAnsi="標楷體" w:hint="eastAsia"/>
          <w:bCs w:val="0"/>
          <w:kern w:val="2"/>
          <w:szCs w:val="20"/>
        </w:rPr>
        <w:t>、</w:t>
      </w:r>
      <w:r w:rsidRPr="00D64819">
        <w:rPr>
          <w:rFonts w:hAnsi="標楷體" w:hint="eastAsia"/>
          <w:lang w:eastAsia="zh-HK"/>
        </w:rPr>
        <w:t>法務部、國防部</w:t>
      </w:r>
      <w:r w:rsidRPr="00D64819">
        <w:rPr>
          <w:rFonts w:hAnsi="標楷體" w:hint="eastAsia"/>
          <w:bCs w:val="0"/>
          <w:kern w:val="2"/>
          <w:szCs w:val="20"/>
          <w:lang w:eastAsia="zh-HK"/>
        </w:rPr>
        <w:t>允應檢討評估引進外部監督機制，將</w:t>
      </w:r>
      <w:r w:rsidRPr="00D64819">
        <w:rPr>
          <w:rFonts w:hAnsi="標楷體"/>
          <w:bCs w:val="0"/>
          <w:kern w:val="2"/>
          <w:szCs w:val="20"/>
          <w:lang w:eastAsia="zh-HK"/>
        </w:rPr>
        <w:t>所屬人員</w:t>
      </w:r>
      <w:r w:rsidRPr="00D64819">
        <w:rPr>
          <w:rFonts w:hAnsi="標楷體" w:hint="eastAsia"/>
          <w:bCs w:val="0"/>
          <w:kern w:val="2"/>
          <w:szCs w:val="20"/>
          <w:lang w:eastAsia="zh-HK"/>
        </w:rPr>
        <w:t>造成刑事補償事件之違失責任調查報告、求償審查會會議紀錄及相關卷證函送本院參酌，減少外界訾議，提升人民對於司法之信賴。</w:t>
      </w:r>
    </w:p>
    <w:p w:rsidR="00EB5E57" w:rsidRPr="00D64819" w:rsidRDefault="00EB5E57" w:rsidP="00F709B1">
      <w:pPr>
        <w:pStyle w:val="2"/>
        <w:rPr>
          <w:rFonts w:hAnsi="標楷體"/>
          <w:b/>
          <w:szCs w:val="32"/>
        </w:rPr>
      </w:pPr>
      <w:r w:rsidRPr="00D64819">
        <w:rPr>
          <w:rFonts w:hint="eastAsia"/>
          <w:b/>
        </w:rPr>
        <w:t>為避免</w:t>
      </w:r>
      <w:r w:rsidRPr="00D64819">
        <w:rPr>
          <w:rFonts w:hint="eastAsia"/>
          <w:b/>
          <w:szCs w:val="36"/>
        </w:rPr>
        <w:t>各法院</w:t>
      </w:r>
      <w:r w:rsidRPr="00D64819">
        <w:rPr>
          <w:b/>
          <w:szCs w:val="36"/>
        </w:rPr>
        <w:t>求償審查委員會</w:t>
      </w:r>
      <w:r w:rsidRPr="00D64819">
        <w:rPr>
          <w:rFonts w:hint="eastAsia"/>
          <w:b/>
        </w:rPr>
        <w:t>就應否向有關公務員求償之審查，寬嚴不一</w:t>
      </w:r>
      <w:r w:rsidRPr="00D64819">
        <w:rPr>
          <w:b/>
        </w:rPr>
        <w:t>，</w:t>
      </w:r>
      <w:r w:rsidRPr="00D64819">
        <w:rPr>
          <w:rFonts w:hint="eastAsia"/>
          <w:b/>
        </w:rPr>
        <w:t>並促使司法人員辦理審判職務更加謹慎，司法</w:t>
      </w:r>
      <w:proofErr w:type="gramStart"/>
      <w:r w:rsidRPr="00D64819">
        <w:rPr>
          <w:rFonts w:hint="eastAsia"/>
          <w:b/>
        </w:rPr>
        <w:t>院允應研</w:t>
      </w:r>
      <w:proofErr w:type="gramEnd"/>
      <w:r w:rsidRPr="00D64819">
        <w:rPr>
          <w:rFonts w:hint="eastAsia"/>
          <w:b/>
        </w:rPr>
        <w:t>析所屬人員違失</w:t>
      </w:r>
      <w:r w:rsidRPr="00D64819">
        <w:rPr>
          <w:rFonts w:hint="eastAsia"/>
          <w:b/>
          <w:szCs w:val="36"/>
        </w:rPr>
        <w:t>情節</w:t>
      </w:r>
      <w:r w:rsidRPr="00D64819">
        <w:rPr>
          <w:rFonts w:hint="eastAsia"/>
          <w:b/>
        </w:rPr>
        <w:t>及對其求償相關案例，</w:t>
      </w:r>
      <w:r w:rsidRPr="00D64819">
        <w:rPr>
          <w:rFonts w:hAnsi="標楷體" w:hint="eastAsia"/>
          <w:b/>
          <w:szCs w:val="32"/>
          <w:lang w:eastAsia="zh-HK"/>
        </w:rPr>
        <w:t>提供</w:t>
      </w:r>
      <w:r w:rsidRPr="00D64819">
        <w:rPr>
          <w:rFonts w:hAnsi="標楷體"/>
          <w:b/>
          <w:szCs w:val="32"/>
          <w:lang w:eastAsia="zh-HK"/>
        </w:rPr>
        <w:t>求償審查委員</w:t>
      </w:r>
      <w:r w:rsidRPr="00D64819">
        <w:rPr>
          <w:rFonts w:hAnsi="標楷體" w:hint="eastAsia"/>
          <w:b/>
          <w:szCs w:val="32"/>
          <w:lang w:eastAsia="zh-HK"/>
        </w:rPr>
        <w:t>作為審查求償事件之參考</w:t>
      </w:r>
      <w:r w:rsidRPr="00D64819">
        <w:rPr>
          <w:rFonts w:hAnsi="標楷體" w:hint="eastAsia"/>
          <w:b/>
          <w:szCs w:val="32"/>
        </w:rPr>
        <w:t>，</w:t>
      </w:r>
      <w:r w:rsidRPr="00D64819">
        <w:rPr>
          <w:rFonts w:hint="eastAsia"/>
          <w:b/>
        </w:rPr>
        <w:t>並列為教育訓練宣導教材，強化事前防範措施；</w:t>
      </w:r>
      <w:proofErr w:type="gramStart"/>
      <w:r w:rsidRPr="00D64819">
        <w:rPr>
          <w:rFonts w:hint="eastAsia"/>
          <w:b/>
        </w:rPr>
        <w:t>另</w:t>
      </w:r>
      <w:proofErr w:type="gramEnd"/>
      <w:r w:rsidRPr="00D64819">
        <w:rPr>
          <w:rFonts w:hint="eastAsia"/>
          <w:b/>
        </w:rPr>
        <w:t>，司法院、法務部未主動公開刑事補償事件</w:t>
      </w:r>
      <w:r w:rsidRPr="00D64819">
        <w:rPr>
          <w:rFonts w:hint="eastAsia"/>
          <w:b/>
          <w:lang w:eastAsia="zh-HK"/>
        </w:rPr>
        <w:t>行使</w:t>
      </w:r>
      <w:proofErr w:type="gramStart"/>
      <w:r w:rsidRPr="00D64819">
        <w:rPr>
          <w:rFonts w:hint="eastAsia"/>
          <w:b/>
        </w:rPr>
        <w:t>求償</w:t>
      </w:r>
      <w:r w:rsidRPr="00D64819">
        <w:rPr>
          <w:rFonts w:hint="eastAsia"/>
          <w:b/>
          <w:lang w:eastAsia="zh-HK"/>
        </w:rPr>
        <w:t>等</w:t>
      </w:r>
      <w:r w:rsidRPr="00D64819">
        <w:rPr>
          <w:rFonts w:hint="eastAsia"/>
          <w:b/>
        </w:rPr>
        <w:t>資訊</w:t>
      </w:r>
      <w:proofErr w:type="gramEnd"/>
      <w:r w:rsidRPr="00D64819">
        <w:rPr>
          <w:rFonts w:hint="eastAsia"/>
          <w:b/>
        </w:rPr>
        <w:t>，為符合政府資訊公開原則，增進人民對司法之瞭解及監督，應檢討強化刑事補償</w:t>
      </w:r>
      <w:r w:rsidRPr="00D64819">
        <w:rPr>
          <w:rFonts w:hint="eastAsia"/>
          <w:b/>
          <w:lang w:eastAsia="zh-HK"/>
        </w:rPr>
        <w:t>事件</w:t>
      </w:r>
      <w:r w:rsidRPr="00D64819">
        <w:rPr>
          <w:rFonts w:hint="eastAsia"/>
          <w:b/>
        </w:rPr>
        <w:t>求償資訊之透明度</w:t>
      </w:r>
      <w:r w:rsidRPr="00D64819">
        <w:rPr>
          <w:rFonts w:hAnsi="標楷體" w:hint="eastAsia"/>
          <w:b/>
          <w:szCs w:val="32"/>
        </w:rPr>
        <w:t>。</w:t>
      </w:r>
    </w:p>
    <w:p w:rsidR="00EB5E57" w:rsidRPr="00D64819" w:rsidRDefault="00EB5E57" w:rsidP="00F709B1">
      <w:pPr>
        <w:pStyle w:val="3"/>
        <w:rPr>
          <w:rFonts w:hAnsi="標楷體"/>
          <w:szCs w:val="32"/>
          <w:lang w:eastAsia="zh-HK"/>
        </w:rPr>
      </w:pPr>
      <w:r w:rsidRPr="00D64819">
        <w:rPr>
          <w:rFonts w:hAnsi="標楷體" w:hint="eastAsia"/>
          <w:szCs w:val="32"/>
          <w:lang w:eastAsia="zh-HK"/>
        </w:rPr>
        <w:t>司法</w:t>
      </w:r>
      <w:proofErr w:type="gramStart"/>
      <w:r w:rsidRPr="00D64819">
        <w:rPr>
          <w:rFonts w:hAnsi="標楷體" w:hint="eastAsia"/>
          <w:szCs w:val="32"/>
          <w:lang w:eastAsia="zh-HK"/>
        </w:rPr>
        <w:t>院允應研</w:t>
      </w:r>
      <w:proofErr w:type="gramEnd"/>
      <w:r w:rsidRPr="00D64819">
        <w:rPr>
          <w:rFonts w:hAnsi="標楷體" w:hint="eastAsia"/>
          <w:szCs w:val="32"/>
          <w:lang w:eastAsia="zh-HK"/>
        </w:rPr>
        <w:t>析所屬人員違失情節及對其求償相關案例，提供</w:t>
      </w:r>
      <w:r w:rsidRPr="00D64819">
        <w:rPr>
          <w:rFonts w:hAnsi="標楷體"/>
          <w:szCs w:val="32"/>
          <w:lang w:eastAsia="zh-HK"/>
        </w:rPr>
        <w:t>求償審查委員</w:t>
      </w:r>
      <w:r w:rsidRPr="00D64819">
        <w:rPr>
          <w:rFonts w:hAnsi="標楷體" w:hint="eastAsia"/>
          <w:szCs w:val="32"/>
          <w:lang w:eastAsia="zh-HK"/>
        </w:rPr>
        <w:t>作為審查求償事件之參考</w:t>
      </w:r>
      <w:r w:rsidRPr="00D64819">
        <w:rPr>
          <w:rFonts w:hAnsi="標楷體" w:hint="eastAsia"/>
          <w:szCs w:val="32"/>
        </w:rPr>
        <w:t>，</w:t>
      </w:r>
      <w:r w:rsidRPr="00D64819">
        <w:rPr>
          <w:rFonts w:hAnsi="標楷體" w:hint="eastAsia"/>
          <w:szCs w:val="32"/>
          <w:lang w:eastAsia="zh-HK"/>
        </w:rPr>
        <w:t>並列為教育訓練宣導教材，強化事前防範措施。</w:t>
      </w:r>
    </w:p>
    <w:p w:rsidR="00EB5E57" w:rsidRPr="00D64819" w:rsidRDefault="00EB5E57" w:rsidP="00F709B1">
      <w:pPr>
        <w:pStyle w:val="4"/>
        <w:rPr>
          <w:lang w:eastAsia="zh-HK"/>
        </w:rPr>
      </w:pPr>
      <w:r w:rsidRPr="00D64819">
        <w:rPr>
          <w:rFonts w:hint="eastAsia"/>
          <w:lang w:eastAsia="zh-HK"/>
        </w:rPr>
        <w:t>按</w:t>
      </w:r>
      <w:r w:rsidRPr="00D64819">
        <w:rPr>
          <w:lang w:eastAsia="zh-HK"/>
        </w:rPr>
        <w:t>刑事補償法第34條第2項規定：「依第1條所列</w:t>
      </w:r>
      <w:r w:rsidRPr="00D64819">
        <w:rPr>
          <w:lang w:eastAsia="zh-HK"/>
        </w:rPr>
        <w:lastRenderedPageBreak/>
        <w:t>法律執行職務之公務員，因故意或重大過失而違法，致生補償事件者，補償機關於補償後，應依國家賠償法規定，對該公務員求償。」</w:t>
      </w:r>
      <w:r w:rsidRPr="00D64819">
        <w:rPr>
          <w:rFonts w:hint="eastAsia"/>
          <w:lang w:eastAsia="zh-HK"/>
        </w:rPr>
        <w:t>次按第一二審法院所屬人員違失造成刑事補償懲處要點</w:t>
      </w:r>
      <w:r w:rsidRPr="00D64819">
        <w:rPr>
          <w:lang w:eastAsia="zh-HK"/>
        </w:rPr>
        <w:t>第1點規定：「第一、二審法院所屬人員有下列情事之一，造成刑事補償，依</w:t>
      </w:r>
      <w:proofErr w:type="gramStart"/>
      <w:r w:rsidRPr="00D64819">
        <w:rPr>
          <w:lang w:eastAsia="zh-HK"/>
        </w:rPr>
        <w:t>司法院暨所屬</w:t>
      </w:r>
      <w:proofErr w:type="gramEnd"/>
      <w:r w:rsidRPr="00D64819">
        <w:rPr>
          <w:lang w:eastAsia="zh-HK"/>
        </w:rPr>
        <w:t>各機關人員獎懲案件處理要點處理。但有特殊理由者，得酌予加重或減輕：（一）未經訊問，即逕行羈押者。（二）未依『法院辦理通緝、協尋案件應行注意事項』規定辦理通緝、協尋而予羈押、收容者。（三）未經合法傳喚，又無刑事訴訟法第76條所列情形，率予拘提而羈押者。（四）羈押、收容或鑑定留置逾法定羈押、收容或鑑定留置期間者。（五）以被告有湮滅、偽造、變造證據或勾串共犯或證人之虞羈押後，未經調查即予釋放；或經查證後，羈押原因業已消滅而未經撤銷羈押者。（六）違反刑事訴訟法第117條第1項之規定，再執行羈押者。（七）違反刑事訴訟法第117條之1第1項之規定，而執行羈押者。（八）實施羈押、收容後，案件擱置1月以上未進行者。（九）羈押期間已逾判決之刑期，而未撤銷羈押者。（十）違反刑事訴訟法第316條規定，於視為撤銷羈押後繼續羈押者。（十一）毒品危害防制條例案件觀察、</w:t>
      </w:r>
      <w:proofErr w:type="gramStart"/>
      <w:r w:rsidRPr="00D64819">
        <w:rPr>
          <w:lang w:eastAsia="zh-HK"/>
        </w:rPr>
        <w:t>勒戒後</w:t>
      </w:r>
      <w:proofErr w:type="gramEnd"/>
      <w:r w:rsidRPr="00D64819">
        <w:rPr>
          <w:lang w:eastAsia="zh-HK"/>
        </w:rPr>
        <w:t>，無繼續施用毒品傾向仍</w:t>
      </w:r>
      <w:proofErr w:type="gramStart"/>
      <w:r w:rsidRPr="00D64819">
        <w:rPr>
          <w:lang w:eastAsia="zh-HK"/>
        </w:rPr>
        <w:t>令入戒治</w:t>
      </w:r>
      <w:proofErr w:type="gramEnd"/>
      <w:r w:rsidRPr="00D64819">
        <w:rPr>
          <w:lang w:eastAsia="zh-HK"/>
        </w:rPr>
        <w:t>處所強制戒治者。（十二）違反毒品危害防制條例第23條之1第1項規定，未經訊問即裁定令入勒戒處所觀察、勒戒者。」</w:t>
      </w:r>
    </w:p>
    <w:p w:rsidR="00EB5E57" w:rsidRPr="00D64819" w:rsidRDefault="00EB5E57" w:rsidP="00F709B1">
      <w:pPr>
        <w:pStyle w:val="4"/>
        <w:rPr>
          <w:rFonts w:hAnsi="標楷體"/>
          <w:b/>
        </w:rPr>
      </w:pPr>
      <w:r w:rsidRPr="00D64819">
        <w:rPr>
          <w:rFonts w:hint="eastAsia"/>
        </w:rPr>
        <w:t>有關於刑事補償法第34條第2項故意及重大過失應如何認定，</w:t>
      </w:r>
      <w:r w:rsidRPr="00D64819">
        <w:rPr>
          <w:rFonts w:hint="eastAsia"/>
          <w:szCs w:val="32"/>
          <w:lang w:eastAsia="zh-HK"/>
        </w:rPr>
        <w:t>據</w:t>
      </w:r>
      <w:r w:rsidRPr="00D64819">
        <w:rPr>
          <w:rFonts w:hint="eastAsia"/>
          <w:lang w:eastAsia="zh-HK"/>
        </w:rPr>
        <w:t>司法院提供</w:t>
      </w:r>
      <w:r w:rsidRPr="00D64819">
        <w:rPr>
          <w:lang w:eastAsia="zh-HK"/>
        </w:rPr>
        <w:t>本院詢問</w:t>
      </w:r>
      <w:r w:rsidRPr="00D64819">
        <w:rPr>
          <w:rFonts w:hint="eastAsia"/>
          <w:lang w:eastAsia="zh-HK"/>
        </w:rPr>
        <w:t>時之書面說明</w:t>
      </w:r>
      <w:r w:rsidRPr="00D64819">
        <w:rPr>
          <w:lang w:eastAsia="zh-HK"/>
        </w:rPr>
        <w:t>：</w:t>
      </w:r>
      <w:r w:rsidRPr="00D64819">
        <w:rPr>
          <w:kern w:val="2"/>
          <w:szCs w:val="20"/>
          <w:lang w:eastAsia="zh-HK"/>
        </w:rPr>
        <w:t>「</w:t>
      </w:r>
      <w:r w:rsidRPr="00D64819">
        <w:rPr>
          <w:rFonts w:hint="eastAsia"/>
        </w:rPr>
        <w:t>係先由各級法院設立之求償審查委員會本</w:t>
      </w:r>
      <w:r w:rsidRPr="00D64819">
        <w:rPr>
          <w:rFonts w:hint="eastAsia"/>
        </w:rPr>
        <w:lastRenderedPageBreak/>
        <w:t>其職權獨立行使認定之；如經求償審查委員會認有故意及重大過失，且被求償人認可後，兩造即作成求償之協議並為執行。如被求償人不服，原補償決定法院得對該被求償人提起國家賠償訴訟，法院就具體個案是否符合故意及重大過失之要件，自因具體個案而異。以臺灣</w:t>
      </w:r>
      <w:proofErr w:type="gramStart"/>
      <w:r w:rsidRPr="00D64819">
        <w:rPr>
          <w:rFonts w:hint="eastAsia"/>
        </w:rPr>
        <w:t>臺</w:t>
      </w:r>
      <w:proofErr w:type="gramEnd"/>
      <w:r w:rsidRPr="00D64819">
        <w:rPr>
          <w:rFonts w:hint="eastAsia"/>
        </w:rPr>
        <w:t>北地方法院</w:t>
      </w:r>
      <w:proofErr w:type="gramStart"/>
      <w:r w:rsidRPr="00D64819">
        <w:rPr>
          <w:rFonts w:hint="eastAsia"/>
        </w:rPr>
        <w:t>99年度訴字第4011號</w:t>
      </w:r>
      <w:proofErr w:type="gramEnd"/>
      <w:r w:rsidRPr="00D64819">
        <w:rPr>
          <w:rFonts w:hint="eastAsia"/>
        </w:rPr>
        <w:t>民事判決為例，該院就此個案有無重大過失，即</w:t>
      </w:r>
      <w:proofErr w:type="gramStart"/>
      <w:r w:rsidRPr="00D64819">
        <w:rPr>
          <w:rFonts w:hint="eastAsia"/>
        </w:rPr>
        <w:t>以</w:t>
      </w:r>
      <w:proofErr w:type="gramEnd"/>
      <w:r w:rsidRPr="00D64819">
        <w:rPr>
          <w:rFonts w:hint="eastAsia"/>
        </w:rPr>
        <w:t>：過失為注意之欠缺，民法上所謂過失，以其欠缺注意之程度為標準，可分為抽象的過失、具體的過失，及重大過失三種；應盡善良管理人之注意而欠缺者，為抽象的過失，應與處理自己事務為同一注意而欠缺者，為具體的過失，顯然欠缺普通人之注意者，為重大過失（最高法院42年台上字第865號判例要旨參照），</w:t>
      </w:r>
      <w:proofErr w:type="gramStart"/>
      <w:r w:rsidRPr="00D64819">
        <w:rPr>
          <w:rFonts w:hint="eastAsia"/>
        </w:rPr>
        <w:t>則倘一般</w:t>
      </w:r>
      <w:proofErr w:type="gramEnd"/>
      <w:r w:rsidRPr="00D64819">
        <w:rPr>
          <w:rFonts w:hint="eastAsia"/>
        </w:rPr>
        <w:t>人</w:t>
      </w:r>
      <w:proofErr w:type="gramStart"/>
      <w:r w:rsidRPr="00D64819">
        <w:rPr>
          <w:rFonts w:hint="eastAsia"/>
        </w:rPr>
        <w:t>僅須稍加</w:t>
      </w:r>
      <w:proofErr w:type="gramEnd"/>
      <w:r w:rsidRPr="00D64819">
        <w:rPr>
          <w:rFonts w:hint="eastAsia"/>
        </w:rPr>
        <w:t>注意，即可避免錯誤，而行為人卻未能注意及此，即難謂無重大過失，作為本案之認定標準。上開個案可資參照</w:t>
      </w:r>
      <w:r w:rsidRPr="00D64819">
        <w:rPr>
          <w:kern w:val="2"/>
          <w:szCs w:val="20"/>
          <w:lang w:eastAsia="zh-HK"/>
        </w:rPr>
        <w:t>」、「</w:t>
      </w:r>
      <w:r w:rsidRPr="00D64819">
        <w:rPr>
          <w:rFonts w:hint="eastAsia"/>
          <w:szCs w:val="32"/>
          <w:lang w:eastAsia="zh-HK"/>
        </w:rPr>
        <w:t>本院</w:t>
      </w:r>
      <w:r w:rsidRPr="00D64819">
        <w:rPr>
          <w:rFonts w:hint="eastAsia"/>
          <w:szCs w:val="32"/>
        </w:rPr>
        <w:t>所制定</w:t>
      </w:r>
      <w:r w:rsidRPr="00D64819">
        <w:rPr>
          <w:rFonts w:hint="eastAsia"/>
          <w:szCs w:val="32"/>
          <w:lang w:eastAsia="zh-HK"/>
        </w:rPr>
        <w:t>第一二審法院所屬人員違失造成刑事補償懲處要點</w:t>
      </w:r>
      <w:r w:rsidRPr="00D64819">
        <w:rPr>
          <w:rFonts w:hint="eastAsia"/>
          <w:kern w:val="0"/>
          <w:szCs w:val="32"/>
        </w:rPr>
        <w:t>係供各級法院就法院所屬人員行使職務監督之依據，</w:t>
      </w:r>
      <w:r w:rsidRPr="00D64819">
        <w:rPr>
          <w:rFonts w:hint="eastAsia"/>
          <w:kern w:val="0"/>
          <w:szCs w:val="32"/>
          <w:lang w:eastAsia="zh-HK"/>
        </w:rPr>
        <w:t>該</w:t>
      </w:r>
      <w:r w:rsidRPr="00D64819">
        <w:rPr>
          <w:rFonts w:hint="eastAsia"/>
          <w:szCs w:val="32"/>
          <w:lang w:eastAsia="zh-HK"/>
        </w:rPr>
        <w:t>懲處要點</w:t>
      </w:r>
      <w:r w:rsidRPr="00D64819">
        <w:rPr>
          <w:rFonts w:hint="eastAsia"/>
          <w:szCs w:val="32"/>
        </w:rPr>
        <w:t>所示懲處事由</w:t>
      </w:r>
      <w:r w:rsidRPr="00D64819">
        <w:rPr>
          <w:rFonts w:hint="eastAsia"/>
          <w:szCs w:val="32"/>
          <w:lang w:eastAsia="zh-HK"/>
        </w:rPr>
        <w:t>，</w:t>
      </w:r>
      <w:r w:rsidRPr="00D64819">
        <w:rPr>
          <w:rFonts w:hint="eastAsia"/>
          <w:szCs w:val="32"/>
        </w:rPr>
        <w:t>僅屬例示規定</w:t>
      </w:r>
      <w:r w:rsidRPr="00D64819">
        <w:rPr>
          <w:rFonts w:hint="eastAsia"/>
          <w:szCs w:val="32"/>
          <w:lang w:eastAsia="zh-HK"/>
        </w:rPr>
        <w:t>，</w:t>
      </w:r>
      <w:r w:rsidRPr="00D64819">
        <w:rPr>
          <w:rFonts w:hint="eastAsia"/>
          <w:kern w:val="0"/>
          <w:szCs w:val="32"/>
          <w:lang w:eastAsia="zh-HK"/>
        </w:rPr>
        <w:t>乃判斷有關人員有無</w:t>
      </w:r>
      <w:r w:rsidRPr="00D64819">
        <w:rPr>
          <w:rFonts w:hint="eastAsia"/>
          <w:b/>
          <w:szCs w:val="32"/>
        </w:rPr>
        <w:t>『</w:t>
      </w:r>
      <w:r w:rsidRPr="00D64819">
        <w:rPr>
          <w:szCs w:val="32"/>
        </w:rPr>
        <w:t>故意或重大過失而違法</w:t>
      </w:r>
      <w:r w:rsidRPr="00D64819">
        <w:rPr>
          <w:rFonts w:hint="eastAsia"/>
          <w:szCs w:val="32"/>
        </w:rPr>
        <w:t>』</w:t>
      </w:r>
      <w:r w:rsidRPr="00D64819">
        <w:rPr>
          <w:rFonts w:hint="eastAsia"/>
          <w:szCs w:val="32"/>
          <w:lang w:eastAsia="zh-HK"/>
        </w:rPr>
        <w:t>之因素之</w:t>
      </w:r>
      <w:proofErr w:type="gramStart"/>
      <w:r w:rsidRPr="00D64819">
        <w:rPr>
          <w:rFonts w:hint="eastAsia"/>
          <w:szCs w:val="32"/>
          <w:lang w:eastAsia="zh-HK"/>
        </w:rPr>
        <w:t>一</w:t>
      </w:r>
      <w:proofErr w:type="gramEnd"/>
      <w:r w:rsidRPr="00D64819">
        <w:rPr>
          <w:rFonts w:hint="eastAsia"/>
        </w:rPr>
        <w:t>。</w:t>
      </w:r>
      <w:r w:rsidRPr="00D64819">
        <w:rPr>
          <w:rFonts w:hAnsi="標楷體" w:hint="eastAsia"/>
          <w:szCs w:val="32"/>
        </w:rPr>
        <w:t>本院就所屬人員之職務監督，</w:t>
      </w:r>
      <w:r w:rsidRPr="00D64819">
        <w:rPr>
          <w:rFonts w:hAnsi="標楷體" w:hint="eastAsia"/>
          <w:szCs w:val="32"/>
          <w:lang w:eastAsia="zh-HK"/>
        </w:rPr>
        <w:t>另有法官法</w:t>
      </w:r>
      <w:r w:rsidRPr="00D64819">
        <w:rPr>
          <w:rFonts w:hAnsi="標楷體" w:hint="eastAsia"/>
          <w:szCs w:val="32"/>
        </w:rPr>
        <w:t>、</w:t>
      </w:r>
      <w:r w:rsidRPr="00D64819">
        <w:rPr>
          <w:rFonts w:hAnsi="標楷體" w:hint="eastAsia"/>
          <w:szCs w:val="32"/>
          <w:lang w:eastAsia="zh-HK"/>
        </w:rPr>
        <w:t>法院組織法</w:t>
      </w:r>
      <w:r w:rsidRPr="00D64819">
        <w:rPr>
          <w:rFonts w:hAnsi="標楷體" w:hint="eastAsia"/>
          <w:szCs w:val="32"/>
        </w:rPr>
        <w:t>、司法院及所屬各機關法官以外人員獎懲案件處理要點</w:t>
      </w:r>
      <w:r w:rsidRPr="00D64819">
        <w:rPr>
          <w:rFonts w:hAnsi="標楷體" w:hint="eastAsia"/>
          <w:szCs w:val="32"/>
          <w:lang w:eastAsia="zh-HK"/>
        </w:rPr>
        <w:t>等</w:t>
      </w:r>
      <w:r w:rsidRPr="00D64819">
        <w:rPr>
          <w:rFonts w:hAnsi="標楷體" w:hint="eastAsia"/>
          <w:szCs w:val="32"/>
        </w:rPr>
        <w:t>各項</w:t>
      </w:r>
      <w:r w:rsidRPr="00D64819">
        <w:rPr>
          <w:rFonts w:hAnsi="標楷體" w:hint="eastAsia"/>
          <w:szCs w:val="32"/>
          <w:lang w:eastAsia="zh-HK"/>
        </w:rPr>
        <w:t>規定</w:t>
      </w:r>
      <w:r w:rsidRPr="00D64819">
        <w:rPr>
          <w:rFonts w:hAnsi="標楷體" w:hint="eastAsia"/>
          <w:szCs w:val="32"/>
        </w:rPr>
        <w:t>作為</w:t>
      </w:r>
      <w:r w:rsidRPr="00D64819">
        <w:rPr>
          <w:rFonts w:hAnsi="標楷體" w:hint="eastAsia"/>
          <w:szCs w:val="32"/>
          <w:lang w:eastAsia="zh-HK"/>
        </w:rPr>
        <w:t>懲處違失人員之</w:t>
      </w:r>
      <w:r w:rsidRPr="00D64819">
        <w:rPr>
          <w:rFonts w:hAnsi="標楷體" w:hint="eastAsia"/>
          <w:szCs w:val="32"/>
        </w:rPr>
        <w:t>相關</w:t>
      </w:r>
      <w:r w:rsidRPr="00D64819">
        <w:rPr>
          <w:rFonts w:hAnsi="標楷體" w:hint="eastAsia"/>
          <w:szCs w:val="32"/>
          <w:lang w:eastAsia="zh-HK"/>
        </w:rPr>
        <w:t>依據。</w:t>
      </w:r>
      <w:r w:rsidRPr="00D64819">
        <w:rPr>
          <w:kern w:val="2"/>
          <w:szCs w:val="20"/>
          <w:lang w:eastAsia="zh-HK"/>
        </w:rPr>
        <w:t>」</w:t>
      </w:r>
      <w:r w:rsidRPr="00D64819">
        <w:rPr>
          <w:rFonts w:hint="eastAsia"/>
          <w:kern w:val="2"/>
          <w:szCs w:val="20"/>
          <w:lang w:eastAsia="zh-HK"/>
        </w:rPr>
        <w:t>經查，</w:t>
      </w:r>
      <w:r w:rsidRPr="00D64819">
        <w:rPr>
          <w:rFonts w:hAnsi="標楷體" w:hint="eastAsia"/>
          <w:szCs w:val="32"/>
          <w:lang w:eastAsia="zh-HK"/>
        </w:rPr>
        <w:t>101年至108年11月止，</w:t>
      </w:r>
      <w:r w:rsidRPr="00D64819">
        <w:rPr>
          <w:rFonts w:hAnsi="標楷體"/>
          <w:szCs w:val="32"/>
          <w:lang w:eastAsia="zh-HK"/>
        </w:rPr>
        <w:t>司法院依</w:t>
      </w:r>
      <w:r w:rsidRPr="00D64819">
        <w:rPr>
          <w:rFonts w:hAnsi="標楷體" w:hint="eastAsia"/>
          <w:szCs w:val="32"/>
          <w:lang w:eastAsia="zh-HK"/>
        </w:rPr>
        <w:t>第一二審法院所屬人員違失造成刑事補償懲處要點規定審</w:t>
      </w:r>
      <w:r w:rsidRPr="00D64819">
        <w:rPr>
          <w:rFonts w:hAnsi="標楷體"/>
          <w:szCs w:val="32"/>
          <w:lang w:eastAsia="zh-HK"/>
        </w:rPr>
        <w:t>查，</w:t>
      </w:r>
      <w:r w:rsidRPr="00D64819">
        <w:rPr>
          <w:rFonts w:hAnsi="標楷體" w:hint="eastAsia"/>
          <w:szCs w:val="32"/>
          <w:lang w:eastAsia="zh-HK"/>
        </w:rPr>
        <w:t>認原承辦人員涉有違失，依刑事補償事件求償作業要點規定函送補償法院</w:t>
      </w:r>
      <w:r w:rsidRPr="00D64819">
        <w:rPr>
          <w:rFonts w:hAnsi="標楷體"/>
          <w:szCs w:val="32"/>
          <w:lang w:eastAsia="zh-HK"/>
        </w:rPr>
        <w:t>求償審查委員</w:t>
      </w:r>
      <w:r w:rsidRPr="00D64819">
        <w:rPr>
          <w:rFonts w:hAnsi="標楷體" w:hint="eastAsia"/>
          <w:szCs w:val="32"/>
          <w:lang w:eastAsia="zh-HK"/>
        </w:rPr>
        <w:t>會審查是否行使求償權及其求償之範圍</w:t>
      </w:r>
      <w:r w:rsidRPr="00D64819">
        <w:rPr>
          <w:rFonts w:hAnsi="標楷體" w:hint="eastAsia"/>
          <w:szCs w:val="32"/>
        </w:rPr>
        <w:t>，</w:t>
      </w:r>
      <w:r w:rsidRPr="00D64819">
        <w:rPr>
          <w:rFonts w:hAnsi="標楷體"/>
          <w:szCs w:val="32"/>
          <w:lang w:eastAsia="zh-HK"/>
        </w:rPr>
        <w:t>計17件，</w:t>
      </w:r>
      <w:r w:rsidRPr="00D64819">
        <w:rPr>
          <w:rFonts w:hAnsi="標楷體" w:hint="eastAsia"/>
          <w:szCs w:val="32"/>
          <w:lang w:eastAsia="zh-HK"/>
        </w:rPr>
        <w:t>其中，</w:t>
      </w:r>
      <w:r w:rsidRPr="00D64819">
        <w:rPr>
          <w:rFonts w:hAnsi="標楷體"/>
          <w:szCs w:val="32"/>
          <w:lang w:eastAsia="zh-HK"/>
        </w:rPr>
        <w:lastRenderedPageBreak/>
        <w:t>經求償審查委員會議決</w:t>
      </w:r>
      <w:proofErr w:type="gramStart"/>
      <w:r w:rsidRPr="00D64819">
        <w:rPr>
          <w:rFonts w:hAnsi="標楷體"/>
          <w:szCs w:val="32"/>
          <w:lang w:eastAsia="zh-HK"/>
        </w:rPr>
        <w:t>求償計5件</w:t>
      </w:r>
      <w:proofErr w:type="gramEnd"/>
      <w:r w:rsidRPr="00D64819">
        <w:rPr>
          <w:rFonts w:hAnsi="標楷體"/>
          <w:szCs w:val="32"/>
          <w:lang w:eastAsia="zh-HK"/>
        </w:rPr>
        <w:t>，</w:t>
      </w:r>
      <w:proofErr w:type="gramStart"/>
      <w:r w:rsidRPr="00D64819">
        <w:rPr>
          <w:rFonts w:hAnsi="標楷體" w:hint="eastAsia"/>
          <w:szCs w:val="32"/>
          <w:lang w:eastAsia="zh-HK"/>
        </w:rPr>
        <w:t>爰</w:t>
      </w:r>
      <w:proofErr w:type="gramEnd"/>
      <w:r w:rsidRPr="00D64819">
        <w:rPr>
          <w:rFonts w:hAnsi="標楷體" w:hint="eastAsia"/>
          <w:szCs w:val="32"/>
          <w:lang w:eastAsia="zh-HK"/>
        </w:rPr>
        <w:t>為避免各法院</w:t>
      </w:r>
      <w:r w:rsidRPr="00D64819">
        <w:rPr>
          <w:rFonts w:hAnsi="標楷體"/>
          <w:szCs w:val="32"/>
          <w:lang w:eastAsia="zh-HK"/>
        </w:rPr>
        <w:t>求償審查委員會</w:t>
      </w:r>
      <w:r w:rsidRPr="00D64819">
        <w:rPr>
          <w:rFonts w:hAnsi="標楷體" w:hint="eastAsia"/>
          <w:szCs w:val="32"/>
          <w:lang w:eastAsia="zh-HK"/>
        </w:rPr>
        <w:t>就應否向有關公務員求償之審查，寬嚴不一</w:t>
      </w:r>
      <w:r w:rsidRPr="00D64819">
        <w:rPr>
          <w:rFonts w:hAnsi="標楷體"/>
          <w:szCs w:val="32"/>
          <w:lang w:eastAsia="zh-HK"/>
        </w:rPr>
        <w:t>，</w:t>
      </w:r>
      <w:r w:rsidRPr="00D64819">
        <w:rPr>
          <w:rFonts w:hAnsi="標楷體" w:hint="eastAsia"/>
          <w:szCs w:val="32"/>
          <w:lang w:eastAsia="zh-HK"/>
        </w:rPr>
        <w:t>並促使司法人員辦理審判職務更加謹慎，司法</w:t>
      </w:r>
      <w:proofErr w:type="gramStart"/>
      <w:r w:rsidRPr="00D64819">
        <w:rPr>
          <w:rFonts w:hAnsi="標楷體" w:hint="eastAsia"/>
          <w:szCs w:val="32"/>
          <w:lang w:eastAsia="zh-HK"/>
        </w:rPr>
        <w:t>院允應研析上</w:t>
      </w:r>
      <w:proofErr w:type="gramEnd"/>
      <w:r w:rsidRPr="00D64819">
        <w:rPr>
          <w:rFonts w:hAnsi="標楷體" w:hint="eastAsia"/>
          <w:szCs w:val="32"/>
          <w:lang w:eastAsia="zh-HK"/>
        </w:rPr>
        <w:t>開案例，提供</w:t>
      </w:r>
      <w:r w:rsidRPr="00D64819">
        <w:rPr>
          <w:rFonts w:hAnsi="標楷體"/>
          <w:szCs w:val="32"/>
          <w:lang w:eastAsia="zh-HK"/>
        </w:rPr>
        <w:t>求償審查委員</w:t>
      </w:r>
      <w:r w:rsidRPr="00D64819">
        <w:rPr>
          <w:rFonts w:hAnsi="標楷體" w:hint="eastAsia"/>
          <w:szCs w:val="32"/>
          <w:lang w:eastAsia="zh-HK"/>
        </w:rPr>
        <w:t>作為審查求償事件之參考</w:t>
      </w:r>
      <w:r w:rsidRPr="00D64819">
        <w:rPr>
          <w:rFonts w:hAnsi="標楷體" w:hint="eastAsia"/>
          <w:szCs w:val="32"/>
        </w:rPr>
        <w:t>，</w:t>
      </w:r>
      <w:r w:rsidRPr="00D64819">
        <w:rPr>
          <w:rFonts w:hAnsi="標楷體" w:hint="eastAsia"/>
          <w:szCs w:val="32"/>
          <w:lang w:eastAsia="zh-HK"/>
        </w:rPr>
        <w:t>並列為教育訓練宣導教材，強化事前防範措施。</w:t>
      </w:r>
    </w:p>
    <w:p w:rsidR="00EB5E57" w:rsidRPr="00D64819" w:rsidRDefault="00EB5E57" w:rsidP="00F709B1">
      <w:pPr>
        <w:pStyle w:val="3"/>
        <w:spacing w:line="430" w:lineRule="exact"/>
        <w:ind w:left="1128"/>
        <w:rPr>
          <w:rFonts w:hAnsi="標楷體"/>
        </w:rPr>
      </w:pPr>
      <w:r w:rsidRPr="00D64819">
        <w:rPr>
          <w:rFonts w:hAnsi="標楷體" w:hint="eastAsia"/>
          <w:szCs w:val="32"/>
          <w:lang w:eastAsia="zh-HK"/>
        </w:rPr>
        <w:t>司法院、法務部</w:t>
      </w:r>
      <w:r w:rsidRPr="00D64819">
        <w:rPr>
          <w:rFonts w:hAnsi="標楷體" w:hint="eastAsia"/>
          <w:szCs w:val="32"/>
        </w:rPr>
        <w:t>行使求償權</w:t>
      </w:r>
      <w:r w:rsidRPr="00D64819">
        <w:rPr>
          <w:rFonts w:hAnsi="標楷體" w:hint="eastAsia"/>
          <w:szCs w:val="32"/>
          <w:lang w:eastAsia="zh-HK"/>
        </w:rPr>
        <w:t>事件相關</w:t>
      </w:r>
      <w:r w:rsidRPr="00D64819">
        <w:rPr>
          <w:rFonts w:hAnsi="標楷體" w:hint="eastAsia"/>
          <w:szCs w:val="32"/>
        </w:rPr>
        <w:t>資訊公開程度尚</w:t>
      </w:r>
      <w:r w:rsidRPr="00D64819">
        <w:rPr>
          <w:rFonts w:hAnsi="標楷體" w:hint="eastAsia"/>
          <w:szCs w:val="32"/>
          <w:lang w:eastAsia="zh-HK"/>
        </w:rPr>
        <w:t>有</w:t>
      </w:r>
      <w:r w:rsidRPr="00D64819">
        <w:rPr>
          <w:rFonts w:hAnsi="標楷體" w:hint="eastAsia"/>
          <w:szCs w:val="32"/>
        </w:rPr>
        <w:t>不足</w:t>
      </w:r>
    </w:p>
    <w:p w:rsidR="00EB5E57" w:rsidRPr="00D64819" w:rsidRDefault="00EB5E57" w:rsidP="00F709B1">
      <w:pPr>
        <w:pStyle w:val="4"/>
        <w:rPr>
          <w:bCs/>
        </w:rPr>
      </w:pPr>
      <w:r w:rsidRPr="00D64819">
        <w:rPr>
          <w:rFonts w:hint="eastAsia"/>
          <w:szCs w:val="32"/>
          <w:lang w:eastAsia="zh-HK"/>
        </w:rPr>
        <w:t>按</w:t>
      </w:r>
      <w:r w:rsidRPr="00D64819">
        <w:rPr>
          <w:rFonts w:hint="eastAsia"/>
          <w:szCs w:val="32"/>
        </w:rPr>
        <w:t>政府資訊公開法第6條規定，與人民權益</w:t>
      </w:r>
      <w:proofErr w:type="gramStart"/>
      <w:r w:rsidRPr="00D64819">
        <w:rPr>
          <w:rFonts w:hint="eastAsia"/>
          <w:szCs w:val="32"/>
        </w:rPr>
        <w:t>攸</w:t>
      </w:r>
      <w:proofErr w:type="gramEnd"/>
      <w:r w:rsidRPr="00D64819">
        <w:rPr>
          <w:rFonts w:hint="eastAsia"/>
          <w:szCs w:val="32"/>
        </w:rPr>
        <w:t>關之施政、措施及其他有關之政府資訊，以主動公開為原則；同法第7條規定，施政計畫、業務統計及研究報告等政府資訊，除依該法第18條規定限制公開或不予提供者外，應主動公開</w:t>
      </w:r>
      <w:r w:rsidRPr="00D64819">
        <w:rPr>
          <w:rFonts w:hint="eastAsia"/>
          <w:szCs w:val="32"/>
          <w:lang w:eastAsia="zh-HK"/>
        </w:rPr>
        <w:t>。</w:t>
      </w:r>
    </w:p>
    <w:p w:rsidR="00EB5E57" w:rsidRPr="00D64819" w:rsidRDefault="00EB5E57" w:rsidP="00F709B1">
      <w:pPr>
        <w:pStyle w:val="4"/>
        <w:rPr>
          <w:bCs/>
        </w:rPr>
      </w:pPr>
      <w:r w:rsidRPr="00D64819">
        <w:rPr>
          <w:rFonts w:hint="eastAsia"/>
          <w:szCs w:val="32"/>
          <w:lang w:eastAsia="zh-HK"/>
        </w:rPr>
        <w:t>經查，</w:t>
      </w:r>
      <w:r w:rsidRPr="00D64819">
        <w:t>審計部</w:t>
      </w:r>
      <w:proofErr w:type="gramStart"/>
      <w:r w:rsidRPr="00D64819">
        <w:t>107</w:t>
      </w:r>
      <w:proofErr w:type="gramEnd"/>
      <w:r w:rsidRPr="00D64819">
        <w:t>年度中央政府總決算審核報告</w:t>
      </w:r>
      <w:r w:rsidRPr="00D64819">
        <w:rPr>
          <w:rFonts w:hint="eastAsia"/>
          <w:lang w:eastAsia="zh-HK"/>
        </w:rPr>
        <w:t>之審核</w:t>
      </w:r>
      <w:r w:rsidRPr="00D64819">
        <w:rPr>
          <w:rFonts w:hint="eastAsia"/>
        </w:rPr>
        <w:t>意見指出，</w:t>
      </w:r>
      <w:r w:rsidRPr="00D64819">
        <w:t>司法院將各級法院受理刑事補償事件之核准件數、金額等統計資料納入司法統計年報，公開於該院全球資訊網，惟未包含向公務人員行使求</w:t>
      </w:r>
      <w:proofErr w:type="gramStart"/>
      <w:r w:rsidRPr="00D64819">
        <w:t>償權件數</w:t>
      </w:r>
      <w:proofErr w:type="gramEnd"/>
      <w:r w:rsidRPr="00D64819">
        <w:t>及</w:t>
      </w:r>
      <w:proofErr w:type="gramStart"/>
      <w:r w:rsidRPr="00D64819">
        <w:t>獲償件數</w:t>
      </w:r>
      <w:proofErr w:type="gramEnd"/>
      <w:r w:rsidRPr="00D64819">
        <w:t>、金額，相關資訊公開程度尚有不足。</w:t>
      </w:r>
      <w:r w:rsidRPr="00D64819">
        <w:rPr>
          <w:rFonts w:hint="eastAsia"/>
        </w:rPr>
        <w:t>根據司法院</w:t>
      </w:r>
      <w:proofErr w:type="gramStart"/>
      <w:r w:rsidRPr="00D64819">
        <w:rPr>
          <w:rFonts w:hint="eastAsia"/>
        </w:rPr>
        <w:t>函復本院</w:t>
      </w:r>
      <w:proofErr w:type="gramEnd"/>
      <w:r w:rsidRPr="00D64819">
        <w:t>略</w:t>
      </w:r>
      <w:proofErr w:type="gramStart"/>
      <w:r w:rsidRPr="00D64819">
        <w:rPr>
          <w:rFonts w:hint="eastAsia"/>
        </w:rPr>
        <w:t>以</w:t>
      </w:r>
      <w:proofErr w:type="gramEnd"/>
      <w:r w:rsidRPr="00D64819">
        <w:rPr>
          <w:rFonts w:hint="eastAsia"/>
        </w:rPr>
        <w:t>：</w:t>
      </w:r>
      <w:r w:rsidRPr="00D64819">
        <w:t>「</w:t>
      </w:r>
      <w:r w:rsidRPr="00D64819">
        <w:rPr>
          <w:rFonts w:hint="eastAsia"/>
        </w:rPr>
        <w:t>向公務人員行使求</w:t>
      </w:r>
      <w:proofErr w:type="gramStart"/>
      <w:r w:rsidRPr="00D64819">
        <w:rPr>
          <w:rFonts w:hint="eastAsia"/>
        </w:rPr>
        <w:t>償權件數</w:t>
      </w:r>
      <w:proofErr w:type="gramEnd"/>
      <w:r w:rsidRPr="00D64819">
        <w:rPr>
          <w:rFonts w:hint="eastAsia"/>
        </w:rPr>
        <w:t>及</w:t>
      </w:r>
      <w:proofErr w:type="gramStart"/>
      <w:r w:rsidRPr="00D64819">
        <w:rPr>
          <w:rFonts w:hint="eastAsia"/>
        </w:rPr>
        <w:t>獲償件數</w:t>
      </w:r>
      <w:proofErr w:type="gramEnd"/>
      <w:r w:rsidRPr="00D64819">
        <w:rPr>
          <w:rFonts w:hint="eastAsia"/>
        </w:rPr>
        <w:t>、金額等部分，本院將</w:t>
      </w:r>
      <w:proofErr w:type="gramStart"/>
      <w:r w:rsidRPr="00D64819">
        <w:rPr>
          <w:rFonts w:hint="eastAsia"/>
        </w:rPr>
        <w:t>研</w:t>
      </w:r>
      <w:proofErr w:type="gramEnd"/>
      <w:r w:rsidRPr="00D64819">
        <w:rPr>
          <w:rFonts w:hint="eastAsia"/>
        </w:rPr>
        <w:t>議增列納入司法統計年報之可行性，請所屬法院定期填報相關統計資料。</w:t>
      </w:r>
      <w:r w:rsidRPr="00D64819">
        <w:rPr>
          <w:rFonts w:hAnsi="標楷體" w:hint="eastAsia"/>
        </w:rPr>
        <w:t>」</w:t>
      </w:r>
    </w:p>
    <w:p w:rsidR="00EB5E57" w:rsidRPr="00D64819" w:rsidRDefault="00EB5E57" w:rsidP="00F709B1">
      <w:pPr>
        <w:pStyle w:val="4"/>
      </w:pPr>
      <w:r w:rsidRPr="00D64819">
        <w:rPr>
          <w:rFonts w:hint="eastAsia"/>
        </w:rPr>
        <w:t>另查，法務部辦理國家賠償事件，除公開賠償件數、金額之統計資料外，亦公開行使求</w:t>
      </w:r>
      <w:proofErr w:type="gramStart"/>
      <w:r w:rsidRPr="00D64819">
        <w:rPr>
          <w:rFonts w:hint="eastAsia"/>
        </w:rPr>
        <w:t>償權件數</w:t>
      </w:r>
      <w:proofErr w:type="gramEnd"/>
      <w:r w:rsidRPr="00D64819">
        <w:rPr>
          <w:rFonts w:hint="eastAsia"/>
        </w:rPr>
        <w:t>及</w:t>
      </w:r>
      <w:proofErr w:type="gramStart"/>
      <w:r w:rsidRPr="00D64819">
        <w:rPr>
          <w:rFonts w:hint="eastAsia"/>
        </w:rPr>
        <w:t>獲償件數</w:t>
      </w:r>
      <w:proofErr w:type="gramEnd"/>
      <w:r w:rsidRPr="00D64819">
        <w:rPr>
          <w:rFonts w:hint="eastAsia"/>
        </w:rPr>
        <w:t>、金額等，惟該部辧理刑事補償事件，未適時公布最終確定補償、求償權行使</w:t>
      </w:r>
      <w:r w:rsidRPr="00D64819">
        <w:rPr>
          <w:rFonts w:hint="eastAsia"/>
          <w:lang w:eastAsia="zh-HK"/>
        </w:rPr>
        <w:t>情形等</w:t>
      </w:r>
      <w:r w:rsidRPr="00D64819">
        <w:rPr>
          <w:rFonts w:hint="eastAsia"/>
        </w:rPr>
        <w:t>資訊，為增進人民對公共事務之瞭解及監督，允宜研議公開相關資訊，保障人民知的權利。</w:t>
      </w:r>
    </w:p>
    <w:p w:rsidR="00EB5E57" w:rsidRPr="00D64819" w:rsidRDefault="00EB5E57" w:rsidP="00F709B1">
      <w:pPr>
        <w:pStyle w:val="3"/>
      </w:pPr>
      <w:r w:rsidRPr="00D64819">
        <w:rPr>
          <w:rFonts w:hint="eastAsia"/>
        </w:rPr>
        <w:t>綜上，</w:t>
      </w:r>
      <w:r w:rsidRPr="00D64819">
        <w:rPr>
          <w:rFonts w:hAnsi="標楷體" w:hint="eastAsia"/>
          <w:szCs w:val="32"/>
          <w:lang w:eastAsia="zh-HK"/>
        </w:rPr>
        <w:t>101年至108年11月止，</w:t>
      </w:r>
      <w:r w:rsidRPr="00D64819">
        <w:rPr>
          <w:rFonts w:hAnsi="標楷體"/>
          <w:szCs w:val="32"/>
          <w:lang w:eastAsia="zh-HK"/>
        </w:rPr>
        <w:t>司法院依</w:t>
      </w:r>
      <w:r w:rsidRPr="00D64819">
        <w:rPr>
          <w:rFonts w:hAnsi="標楷體" w:hint="eastAsia"/>
          <w:szCs w:val="32"/>
          <w:lang w:eastAsia="zh-HK"/>
        </w:rPr>
        <w:t>規定審</w:t>
      </w:r>
      <w:r w:rsidRPr="00D64819">
        <w:rPr>
          <w:rFonts w:hAnsi="標楷體"/>
          <w:szCs w:val="32"/>
          <w:lang w:eastAsia="zh-HK"/>
        </w:rPr>
        <w:t>查</w:t>
      </w:r>
      <w:r w:rsidRPr="00D64819">
        <w:rPr>
          <w:rFonts w:hAnsi="標楷體" w:hint="eastAsia"/>
          <w:szCs w:val="32"/>
          <w:lang w:eastAsia="zh-HK"/>
        </w:rPr>
        <w:t>刑事補償事件</w:t>
      </w:r>
      <w:r w:rsidRPr="00D64819">
        <w:rPr>
          <w:rFonts w:hAnsi="標楷體" w:hint="eastAsia"/>
          <w:szCs w:val="32"/>
        </w:rPr>
        <w:t>，</w:t>
      </w:r>
      <w:r w:rsidRPr="00D64819">
        <w:rPr>
          <w:rFonts w:hAnsi="標楷體" w:hint="eastAsia"/>
          <w:szCs w:val="32"/>
          <w:lang w:eastAsia="zh-HK"/>
        </w:rPr>
        <w:t>認原承辦人員涉有</w:t>
      </w:r>
      <w:proofErr w:type="gramStart"/>
      <w:r w:rsidRPr="00D64819">
        <w:rPr>
          <w:rFonts w:hAnsi="標楷體" w:hint="eastAsia"/>
          <w:szCs w:val="32"/>
          <w:lang w:eastAsia="zh-HK"/>
        </w:rPr>
        <w:t>違失者</w:t>
      </w:r>
      <w:r w:rsidRPr="00D64819">
        <w:rPr>
          <w:rFonts w:hAnsi="標楷體"/>
          <w:szCs w:val="32"/>
          <w:lang w:eastAsia="zh-HK"/>
        </w:rPr>
        <w:t>17件</w:t>
      </w:r>
      <w:proofErr w:type="gramEnd"/>
      <w:r w:rsidRPr="00D64819">
        <w:rPr>
          <w:rFonts w:hAnsi="標楷體"/>
          <w:szCs w:val="32"/>
          <w:lang w:eastAsia="zh-HK"/>
        </w:rPr>
        <w:t>，</w:t>
      </w:r>
      <w:r w:rsidRPr="00D64819">
        <w:rPr>
          <w:rFonts w:hAnsi="標楷體" w:hint="eastAsia"/>
          <w:szCs w:val="32"/>
          <w:lang w:eastAsia="zh-HK"/>
        </w:rPr>
        <w:t>其中，</w:t>
      </w:r>
      <w:r w:rsidRPr="00D64819">
        <w:rPr>
          <w:rFonts w:hAnsi="標楷體"/>
          <w:szCs w:val="32"/>
          <w:lang w:eastAsia="zh-HK"/>
        </w:rPr>
        <w:lastRenderedPageBreak/>
        <w:t>經委員會議決</w:t>
      </w:r>
      <w:proofErr w:type="gramStart"/>
      <w:r w:rsidRPr="00D64819">
        <w:rPr>
          <w:rFonts w:hAnsi="標楷體"/>
          <w:szCs w:val="32"/>
          <w:lang w:eastAsia="zh-HK"/>
        </w:rPr>
        <w:t>求償</w:t>
      </w:r>
      <w:r w:rsidRPr="00D64819">
        <w:rPr>
          <w:rFonts w:hAnsi="標楷體" w:hint="eastAsia"/>
          <w:szCs w:val="32"/>
          <w:lang w:eastAsia="zh-HK"/>
        </w:rPr>
        <w:t>者</w:t>
      </w:r>
      <w:r w:rsidRPr="00D64819">
        <w:rPr>
          <w:rFonts w:hAnsi="標楷體"/>
          <w:szCs w:val="32"/>
          <w:lang w:eastAsia="zh-HK"/>
        </w:rPr>
        <w:t>5件</w:t>
      </w:r>
      <w:proofErr w:type="gramEnd"/>
      <w:r w:rsidRPr="00D64819">
        <w:rPr>
          <w:rFonts w:hAnsi="標楷體"/>
          <w:szCs w:val="32"/>
          <w:lang w:eastAsia="zh-HK"/>
        </w:rPr>
        <w:t>，</w:t>
      </w:r>
      <w:proofErr w:type="gramStart"/>
      <w:r w:rsidRPr="00D64819">
        <w:rPr>
          <w:rFonts w:hAnsi="標楷體" w:hint="eastAsia"/>
          <w:szCs w:val="32"/>
          <w:lang w:eastAsia="zh-HK"/>
        </w:rPr>
        <w:t>爰</w:t>
      </w:r>
      <w:proofErr w:type="gramEnd"/>
      <w:r w:rsidRPr="00D64819">
        <w:rPr>
          <w:rFonts w:hint="eastAsia"/>
        </w:rPr>
        <w:t>為避免各法院</w:t>
      </w:r>
      <w:r w:rsidRPr="00D64819">
        <w:t>求償審查委員會</w:t>
      </w:r>
      <w:r w:rsidRPr="00D64819">
        <w:rPr>
          <w:rFonts w:hint="eastAsia"/>
        </w:rPr>
        <w:t>就應否向有關公務員求償之審查，寬嚴不一</w:t>
      </w:r>
      <w:r w:rsidRPr="00D64819">
        <w:t>，</w:t>
      </w:r>
      <w:r w:rsidRPr="00D64819">
        <w:rPr>
          <w:rFonts w:hint="eastAsia"/>
        </w:rPr>
        <w:t>並促使司法人員辦理審判職務更加謹慎，司法</w:t>
      </w:r>
      <w:proofErr w:type="gramStart"/>
      <w:r w:rsidRPr="00D64819">
        <w:rPr>
          <w:rFonts w:hint="eastAsia"/>
        </w:rPr>
        <w:t>院允應研</w:t>
      </w:r>
      <w:proofErr w:type="gramEnd"/>
      <w:r w:rsidRPr="00D64819">
        <w:rPr>
          <w:rFonts w:hint="eastAsia"/>
        </w:rPr>
        <w:t>析所屬人員違失情節及對其求償相關案例，</w:t>
      </w:r>
      <w:r w:rsidRPr="00D64819">
        <w:rPr>
          <w:rFonts w:hAnsi="標楷體" w:hint="eastAsia"/>
          <w:szCs w:val="32"/>
          <w:lang w:eastAsia="zh-HK"/>
        </w:rPr>
        <w:t>提供</w:t>
      </w:r>
      <w:r w:rsidRPr="00D64819">
        <w:rPr>
          <w:rFonts w:hAnsi="標楷體"/>
          <w:szCs w:val="32"/>
          <w:lang w:eastAsia="zh-HK"/>
        </w:rPr>
        <w:t>求償審查委員</w:t>
      </w:r>
      <w:r w:rsidRPr="00D64819">
        <w:rPr>
          <w:rFonts w:hAnsi="標楷體" w:hint="eastAsia"/>
          <w:szCs w:val="32"/>
          <w:lang w:eastAsia="zh-HK"/>
        </w:rPr>
        <w:t>作為審查求償事件之參考</w:t>
      </w:r>
      <w:r w:rsidRPr="00D64819">
        <w:rPr>
          <w:rFonts w:hAnsi="標楷體" w:hint="eastAsia"/>
          <w:szCs w:val="32"/>
        </w:rPr>
        <w:t>，</w:t>
      </w:r>
      <w:r w:rsidRPr="00D64819">
        <w:rPr>
          <w:rFonts w:hint="eastAsia"/>
        </w:rPr>
        <w:t>並列為教育訓練宣導教材，強化事前防範措施；</w:t>
      </w:r>
      <w:proofErr w:type="gramStart"/>
      <w:r w:rsidRPr="00D64819">
        <w:rPr>
          <w:rFonts w:hint="eastAsia"/>
        </w:rPr>
        <w:t>另</w:t>
      </w:r>
      <w:proofErr w:type="gramEnd"/>
      <w:r w:rsidRPr="00D64819">
        <w:rPr>
          <w:rFonts w:hint="eastAsia"/>
        </w:rPr>
        <w:t>，司法院、法務部未主動公開刑事補償事件</w:t>
      </w:r>
      <w:r w:rsidRPr="00D64819">
        <w:rPr>
          <w:rFonts w:hint="eastAsia"/>
          <w:lang w:eastAsia="zh-HK"/>
        </w:rPr>
        <w:t>行使</w:t>
      </w:r>
      <w:proofErr w:type="gramStart"/>
      <w:r w:rsidRPr="00D64819">
        <w:rPr>
          <w:rFonts w:hint="eastAsia"/>
        </w:rPr>
        <w:t>求償</w:t>
      </w:r>
      <w:r w:rsidRPr="00D64819">
        <w:rPr>
          <w:rFonts w:hint="eastAsia"/>
          <w:lang w:eastAsia="zh-HK"/>
        </w:rPr>
        <w:t>等</w:t>
      </w:r>
      <w:r w:rsidRPr="00D64819">
        <w:rPr>
          <w:rFonts w:hint="eastAsia"/>
        </w:rPr>
        <w:t>資訊</w:t>
      </w:r>
      <w:proofErr w:type="gramEnd"/>
      <w:r w:rsidRPr="00D64819">
        <w:rPr>
          <w:rFonts w:hint="eastAsia"/>
        </w:rPr>
        <w:t>，為符合政府資訊公開原則，增進人民對司法之瞭解及監督，應檢討強化刑事補償</w:t>
      </w:r>
      <w:r w:rsidRPr="00D64819">
        <w:rPr>
          <w:rFonts w:hint="eastAsia"/>
          <w:lang w:eastAsia="zh-HK"/>
        </w:rPr>
        <w:t>事件</w:t>
      </w:r>
      <w:r w:rsidRPr="00D64819">
        <w:rPr>
          <w:rFonts w:hint="eastAsia"/>
        </w:rPr>
        <w:t>求償資訊之透明度。</w:t>
      </w:r>
    </w:p>
    <w:p w:rsidR="00F709B1" w:rsidRPr="00D64819" w:rsidRDefault="00EB5E57" w:rsidP="00EB5E57">
      <w:pPr>
        <w:rPr>
          <w:rFonts w:hAnsi="標楷體"/>
        </w:rPr>
      </w:pPr>
      <w:r>
        <w:rPr>
          <w:rFonts w:hint="eastAsia"/>
        </w:rPr>
        <w:t>參、</w:t>
      </w:r>
      <w:bookmarkStart w:id="40" w:name="_Toc524895648"/>
      <w:bookmarkStart w:id="41" w:name="_Toc524896194"/>
      <w:bookmarkStart w:id="42" w:name="_Toc524896224"/>
      <w:bookmarkStart w:id="43" w:name="_Toc524902734"/>
      <w:bookmarkStart w:id="44" w:name="_Toc525066148"/>
      <w:bookmarkStart w:id="45" w:name="_Toc525070839"/>
      <w:bookmarkStart w:id="46" w:name="_Toc525938379"/>
      <w:bookmarkStart w:id="47" w:name="_Toc525939227"/>
      <w:bookmarkStart w:id="48" w:name="_Toc525939732"/>
      <w:bookmarkStart w:id="49" w:name="_Toc529218272"/>
      <w:bookmarkStart w:id="50" w:name="_Toc529222689"/>
      <w:bookmarkStart w:id="51" w:name="_Toc529223111"/>
      <w:bookmarkStart w:id="52" w:name="_Toc529223862"/>
      <w:bookmarkStart w:id="53" w:name="_Toc529228265"/>
      <w:bookmarkStart w:id="54" w:name="_Toc2400395"/>
      <w:bookmarkStart w:id="55" w:name="_Toc4316189"/>
      <w:bookmarkStart w:id="56" w:name="_Toc4473330"/>
      <w:bookmarkStart w:id="57" w:name="_Toc69556897"/>
      <w:bookmarkStart w:id="58" w:name="_Toc69556946"/>
      <w:bookmarkStart w:id="59" w:name="_Toc69609820"/>
      <w:bookmarkStart w:id="60" w:name="_Toc70241816"/>
      <w:bookmarkStart w:id="61" w:name="_Toc70242205"/>
      <w:bookmarkStart w:id="62" w:name="_Toc421794875"/>
      <w:bookmarkStart w:id="63" w:name="_Toc422834160"/>
      <w:bookmarkEnd w:id="39"/>
      <w:r w:rsidRPr="00D64819">
        <w:rPr>
          <w:rFonts w:hAnsi="標楷體" w:hint="eastAsia"/>
        </w:rPr>
        <w:t>處理辦法：</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5C447E" w:rsidRDefault="005C447E" w:rsidP="005C447E">
      <w:pPr>
        <w:pStyle w:val="2"/>
        <w:numPr>
          <w:ilvl w:val="0"/>
          <w:numId w:val="0"/>
        </w:numPr>
        <w:spacing w:beforeLines="25" w:before="114"/>
        <w:ind w:left="340"/>
        <w:rPr>
          <w:rFonts w:hAnsi="標楷體"/>
        </w:rPr>
      </w:pPr>
      <w:bookmarkStart w:id="64" w:name="_Toc524895649"/>
      <w:bookmarkStart w:id="65" w:name="_Toc524896195"/>
      <w:bookmarkStart w:id="66" w:name="_Toc524896225"/>
      <w:bookmarkStart w:id="67" w:name="_Toc70241820"/>
      <w:bookmarkStart w:id="68" w:name="_Toc70242209"/>
      <w:bookmarkStart w:id="69" w:name="_Toc421794876"/>
      <w:bookmarkStart w:id="70" w:name="_Toc421795442"/>
      <w:bookmarkStart w:id="71" w:name="_Toc421796023"/>
      <w:bookmarkStart w:id="72" w:name="_Toc422728958"/>
      <w:bookmarkStart w:id="73" w:name="_Toc422834161"/>
      <w:bookmarkStart w:id="74" w:name="_Toc2400396"/>
      <w:bookmarkStart w:id="75" w:name="_Toc4316190"/>
      <w:bookmarkStart w:id="76" w:name="_Toc4473331"/>
      <w:bookmarkStart w:id="77" w:name="_Toc69556898"/>
      <w:bookmarkStart w:id="78" w:name="_Toc69556947"/>
      <w:bookmarkStart w:id="79" w:name="_Toc69609821"/>
      <w:bookmarkStart w:id="80" w:name="_Toc70241817"/>
      <w:bookmarkStart w:id="81" w:name="_Toc70242206"/>
      <w:bookmarkStart w:id="82" w:name="_Toc524902735"/>
      <w:bookmarkStart w:id="83" w:name="_Toc525066149"/>
      <w:bookmarkStart w:id="84" w:name="_Toc525070840"/>
      <w:bookmarkStart w:id="85" w:name="_Toc525938380"/>
      <w:bookmarkStart w:id="86" w:name="_Toc525939228"/>
      <w:bookmarkStart w:id="87" w:name="_Toc525939733"/>
      <w:bookmarkStart w:id="88" w:name="_Toc529218273"/>
      <w:bookmarkStart w:id="89" w:name="_Toc529222690"/>
      <w:bookmarkStart w:id="90" w:name="_Toc529223112"/>
      <w:bookmarkStart w:id="91" w:name="_Toc529223863"/>
      <w:bookmarkStart w:id="92" w:name="_Toc529228266"/>
      <w:bookmarkStart w:id="93" w:name="_Toc2400397"/>
      <w:bookmarkStart w:id="94" w:name="_Toc4316191"/>
      <w:bookmarkStart w:id="95" w:name="_Toc4473332"/>
      <w:bookmarkStart w:id="96" w:name="_Toc69556901"/>
      <w:bookmarkStart w:id="97" w:name="_Toc69556950"/>
      <w:bookmarkStart w:id="98" w:name="_Toc69609824"/>
      <w:bookmarkStart w:id="99" w:name="_Toc70241822"/>
      <w:bookmarkStart w:id="100" w:name="_Toc70242211"/>
      <w:bookmarkStart w:id="101" w:name="_Toc421794881"/>
      <w:bookmarkStart w:id="102" w:name="_Toc421795447"/>
      <w:bookmarkStart w:id="103" w:name="_Toc421796028"/>
      <w:bookmarkStart w:id="104" w:name="_Toc422728963"/>
      <w:bookmarkStart w:id="105" w:name="_Toc422834166"/>
      <w:bookmarkEnd w:id="64"/>
      <w:bookmarkEnd w:id="65"/>
      <w:bookmarkEnd w:id="66"/>
      <w:r>
        <w:rPr>
          <w:rFonts w:hAnsi="標楷體" w:hint="eastAsia"/>
        </w:rPr>
        <w:t>一、</w:t>
      </w:r>
      <w:r w:rsidRPr="00D64819">
        <w:rPr>
          <w:rFonts w:hAnsi="標楷體" w:hint="eastAsia"/>
        </w:rPr>
        <w:t>調查意見</w:t>
      </w:r>
      <w:r w:rsidRPr="00D64819">
        <w:rPr>
          <w:rFonts w:hAnsi="標楷體" w:hint="eastAsia"/>
          <w:lang w:eastAsia="zh-HK"/>
        </w:rPr>
        <w:t>一至五</w:t>
      </w:r>
      <w:r w:rsidRPr="00D64819">
        <w:rPr>
          <w:rFonts w:hAnsi="標楷體" w:hint="eastAsia"/>
        </w:rPr>
        <w:t>，函</w:t>
      </w:r>
      <w:r w:rsidRPr="00D64819">
        <w:rPr>
          <w:rFonts w:hAnsi="標楷體" w:hint="eastAsia"/>
          <w:lang w:eastAsia="zh-HK"/>
        </w:rPr>
        <w:t>請</w:t>
      </w:r>
      <w:proofErr w:type="gramStart"/>
      <w:r w:rsidRPr="00D64819">
        <w:rPr>
          <w:rFonts w:hAnsi="標楷體" w:hint="eastAsia"/>
          <w:lang w:eastAsia="zh-HK"/>
        </w:rPr>
        <w:t>司法院督同</w:t>
      </w:r>
      <w:proofErr w:type="gramEnd"/>
      <w:r w:rsidRPr="00D64819">
        <w:rPr>
          <w:rFonts w:hAnsi="標楷體" w:hint="eastAsia"/>
          <w:lang w:eastAsia="zh-HK"/>
        </w:rPr>
        <w:t>所屬</w:t>
      </w:r>
      <w:r w:rsidRPr="00D64819">
        <w:rPr>
          <w:rFonts w:hAnsi="標楷體" w:hint="eastAsia"/>
        </w:rPr>
        <w:t>確實檢討改進</w:t>
      </w:r>
      <w:bookmarkStart w:id="106" w:name="_GoBack"/>
      <w:bookmarkEnd w:id="106"/>
      <w:proofErr w:type="gramStart"/>
      <w:r w:rsidRPr="00D64819">
        <w:rPr>
          <w:rFonts w:hAnsi="標楷體" w:hint="eastAsia"/>
        </w:rPr>
        <w:t>見復。</w:t>
      </w:r>
      <w:bookmarkStart w:id="107" w:name="_Toc421794877"/>
      <w:bookmarkStart w:id="108" w:name="_Toc421795443"/>
      <w:bookmarkStart w:id="109" w:name="_Toc421796024"/>
      <w:bookmarkStart w:id="110" w:name="_Toc422728959"/>
      <w:bookmarkStart w:id="111" w:name="_Toc422834162"/>
      <w:bookmarkEnd w:id="67"/>
      <w:bookmarkEnd w:id="68"/>
      <w:bookmarkEnd w:id="69"/>
      <w:bookmarkEnd w:id="70"/>
      <w:bookmarkEnd w:id="71"/>
      <w:bookmarkEnd w:id="72"/>
      <w:bookmarkEnd w:id="73"/>
      <w:proofErr w:type="gramEnd"/>
    </w:p>
    <w:p w:rsidR="005C447E" w:rsidRDefault="005C447E" w:rsidP="005C447E">
      <w:pPr>
        <w:pStyle w:val="2"/>
        <w:numPr>
          <w:ilvl w:val="0"/>
          <w:numId w:val="0"/>
        </w:numPr>
        <w:spacing w:beforeLines="25" w:before="114"/>
        <w:ind w:left="340"/>
        <w:rPr>
          <w:rFonts w:hAnsi="標楷體"/>
        </w:rPr>
      </w:pPr>
      <w:r>
        <w:rPr>
          <w:rFonts w:hAnsi="標楷體" w:hint="eastAsia"/>
        </w:rPr>
        <w:t>二、</w:t>
      </w:r>
      <w:r w:rsidRPr="00D64819">
        <w:rPr>
          <w:rFonts w:hAnsi="標楷體" w:hint="eastAsia"/>
        </w:rPr>
        <w:t>調查意見</w:t>
      </w:r>
      <w:r w:rsidRPr="00D64819">
        <w:rPr>
          <w:rFonts w:hAnsi="標楷體" w:hint="eastAsia"/>
          <w:lang w:eastAsia="zh-HK"/>
        </w:rPr>
        <w:t>三至五</w:t>
      </w:r>
      <w:r w:rsidRPr="00D64819">
        <w:rPr>
          <w:rFonts w:hAnsi="標楷體" w:hint="eastAsia"/>
        </w:rPr>
        <w:t>，函請</w:t>
      </w:r>
      <w:r w:rsidRPr="00D64819">
        <w:rPr>
          <w:rFonts w:hAnsi="標楷體" w:hint="eastAsia"/>
          <w:lang w:eastAsia="zh-HK"/>
        </w:rPr>
        <w:t>法務部督同所屬</w:t>
      </w:r>
      <w:r w:rsidRPr="00D64819">
        <w:rPr>
          <w:rFonts w:hAnsi="標楷體" w:hint="eastAsia"/>
        </w:rPr>
        <w:t>確實檢討改進</w:t>
      </w:r>
      <w:proofErr w:type="gramStart"/>
      <w:r w:rsidRPr="00D64819">
        <w:rPr>
          <w:rFonts w:hAnsi="標楷體" w:hint="eastAsia"/>
        </w:rPr>
        <w:t>見復。</w:t>
      </w:r>
      <w:bookmarkEnd w:id="74"/>
      <w:bookmarkEnd w:id="75"/>
      <w:bookmarkEnd w:id="76"/>
      <w:bookmarkEnd w:id="77"/>
      <w:bookmarkEnd w:id="78"/>
      <w:bookmarkEnd w:id="79"/>
      <w:bookmarkEnd w:id="80"/>
      <w:bookmarkEnd w:id="81"/>
      <w:bookmarkEnd w:id="107"/>
      <w:bookmarkEnd w:id="108"/>
      <w:bookmarkEnd w:id="109"/>
      <w:bookmarkEnd w:id="110"/>
      <w:bookmarkEnd w:id="111"/>
      <w:proofErr w:type="gramEnd"/>
    </w:p>
    <w:p w:rsidR="005C447E" w:rsidRDefault="005C447E" w:rsidP="005C447E">
      <w:pPr>
        <w:pStyle w:val="2"/>
        <w:numPr>
          <w:ilvl w:val="0"/>
          <w:numId w:val="0"/>
        </w:numPr>
        <w:spacing w:beforeLines="25" w:before="114"/>
        <w:ind w:left="340"/>
        <w:rPr>
          <w:rFonts w:hAnsi="標楷體"/>
        </w:rPr>
      </w:pPr>
      <w:r>
        <w:rPr>
          <w:rFonts w:hAnsi="標楷體" w:hint="eastAsia"/>
        </w:rPr>
        <w:t>三、</w:t>
      </w:r>
      <w:r w:rsidRPr="00D64819">
        <w:rPr>
          <w:rFonts w:hAnsi="標楷體" w:hint="eastAsia"/>
        </w:rPr>
        <w:t>調查意見</w:t>
      </w:r>
      <w:r w:rsidRPr="00D64819">
        <w:rPr>
          <w:rFonts w:hAnsi="標楷體" w:hint="eastAsia"/>
          <w:lang w:eastAsia="zh-HK"/>
        </w:rPr>
        <w:t>一</w:t>
      </w:r>
      <w:r w:rsidRPr="00D64819">
        <w:rPr>
          <w:rFonts w:hAnsi="標楷體" w:hint="eastAsia"/>
        </w:rPr>
        <w:t>、</w:t>
      </w:r>
      <w:r w:rsidRPr="00D64819">
        <w:rPr>
          <w:rFonts w:hAnsi="標楷體" w:hint="eastAsia"/>
          <w:lang w:eastAsia="zh-HK"/>
        </w:rPr>
        <w:t>三至四</w:t>
      </w:r>
      <w:r w:rsidRPr="00D64819">
        <w:rPr>
          <w:rFonts w:hAnsi="標楷體" w:hint="eastAsia"/>
        </w:rPr>
        <w:t>，函請</w:t>
      </w:r>
      <w:r w:rsidRPr="00D64819">
        <w:rPr>
          <w:rFonts w:hAnsi="標楷體" w:hint="eastAsia"/>
          <w:lang w:eastAsia="zh-HK"/>
        </w:rPr>
        <w:t>國防部督同所屬</w:t>
      </w:r>
      <w:r w:rsidRPr="00D64819">
        <w:rPr>
          <w:rFonts w:hAnsi="標楷體" w:hint="eastAsia"/>
        </w:rPr>
        <w:t>確實檢討改進</w:t>
      </w:r>
      <w:proofErr w:type="gramStart"/>
      <w:r w:rsidRPr="00D64819">
        <w:rPr>
          <w:rFonts w:hAnsi="標楷體" w:hint="eastAsia"/>
        </w:rPr>
        <w:t>見復。</w:t>
      </w: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proofErr w:type="gramEnd"/>
    </w:p>
    <w:p w:rsidR="005C447E" w:rsidRPr="00D64819" w:rsidRDefault="005C447E" w:rsidP="005C447E">
      <w:pPr>
        <w:pStyle w:val="2"/>
        <w:numPr>
          <w:ilvl w:val="0"/>
          <w:numId w:val="0"/>
        </w:numPr>
        <w:spacing w:beforeLines="25" w:before="114"/>
        <w:ind w:left="340"/>
        <w:rPr>
          <w:rFonts w:hAnsi="標楷體"/>
        </w:rPr>
      </w:pPr>
      <w:r>
        <w:rPr>
          <w:rFonts w:hAnsi="標楷體" w:hint="eastAsia"/>
        </w:rPr>
        <w:t>四、</w:t>
      </w:r>
      <w:r w:rsidRPr="00D64819">
        <w:rPr>
          <w:rFonts w:hAnsi="標楷體" w:hint="eastAsia"/>
        </w:rPr>
        <w:t>調查意見，函復審計部。</w:t>
      </w:r>
      <w:bookmarkEnd w:id="112"/>
      <w:bookmarkEnd w:id="113"/>
      <w:bookmarkEnd w:id="114"/>
      <w:bookmarkEnd w:id="115"/>
      <w:bookmarkEnd w:id="116"/>
      <w:bookmarkEnd w:id="117"/>
      <w:bookmarkEnd w:id="118"/>
    </w:p>
    <w:bookmarkEnd w:id="82"/>
    <w:bookmarkEnd w:id="83"/>
    <w:bookmarkEnd w:id="84"/>
    <w:bookmarkEnd w:id="85"/>
    <w:bookmarkEnd w:id="86"/>
    <w:bookmarkEnd w:id="87"/>
    <w:bookmarkEnd w:id="88"/>
    <w:bookmarkEnd w:id="89"/>
    <w:bookmarkEnd w:id="90"/>
    <w:bookmarkEnd w:id="91"/>
    <w:bookmarkEnd w:id="92"/>
    <w:bookmarkEnd w:id="119"/>
    <w:bookmarkEnd w:id="120"/>
    <w:p w:rsidR="005C447E" w:rsidRPr="00D64819" w:rsidRDefault="005C447E" w:rsidP="00F709B1">
      <w:pPr>
        <w:rPr>
          <w:rFonts w:hAnsi="標楷體"/>
        </w:rPr>
      </w:pPr>
    </w:p>
    <w:p w:rsidR="005C447E" w:rsidRPr="00D64819" w:rsidRDefault="005C447E" w:rsidP="00F709B1">
      <w:pPr>
        <w:rPr>
          <w:rFonts w:hAnsi="標楷體"/>
        </w:rPr>
      </w:pPr>
    </w:p>
    <w:bookmarkEnd w:id="93"/>
    <w:bookmarkEnd w:id="94"/>
    <w:bookmarkEnd w:id="95"/>
    <w:bookmarkEnd w:id="96"/>
    <w:bookmarkEnd w:id="97"/>
    <w:bookmarkEnd w:id="98"/>
    <w:bookmarkEnd w:id="99"/>
    <w:bookmarkEnd w:id="100"/>
    <w:bookmarkEnd w:id="101"/>
    <w:bookmarkEnd w:id="102"/>
    <w:bookmarkEnd w:id="103"/>
    <w:bookmarkEnd w:id="104"/>
    <w:bookmarkEnd w:id="105"/>
    <w:p w:rsidR="00F709B1" w:rsidRDefault="00F709B1" w:rsidP="00F709B1">
      <w:pPr>
        <w:pStyle w:val="aa"/>
        <w:spacing w:beforeLines="50" w:before="228" w:afterLines="100" w:after="457"/>
        <w:ind w:leftChars="1100" w:left="3742"/>
        <w:rPr>
          <w:rFonts w:hAnsi="標楷體"/>
          <w:b w:val="0"/>
          <w:bCs/>
          <w:snapToGrid/>
          <w:spacing w:val="12"/>
          <w:kern w:val="0"/>
          <w:sz w:val="40"/>
        </w:rPr>
      </w:pPr>
      <w:r w:rsidRPr="00D64819">
        <w:rPr>
          <w:rFonts w:hAnsi="標楷體" w:hint="eastAsia"/>
          <w:b w:val="0"/>
          <w:bCs/>
          <w:snapToGrid/>
          <w:spacing w:val="12"/>
          <w:kern w:val="0"/>
          <w:sz w:val="40"/>
        </w:rPr>
        <w:t>調查委員：</w:t>
      </w:r>
      <w:r>
        <w:rPr>
          <w:rFonts w:hAnsi="標楷體" w:hint="eastAsia"/>
          <w:b w:val="0"/>
          <w:bCs/>
          <w:snapToGrid/>
          <w:spacing w:val="12"/>
          <w:kern w:val="0"/>
          <w:sz w:val="40"/>
        </w:rPr>
        <w:t>高</w:t>
      </w:r>
      <w:proofErr w:type="gramStart"/>
      <w:r>
        <w:rPr>
          <w:rFonts w:hAnsi="標楷體" w:hint="eastAsia"/>
          <w:b w:val="0"/>
          <w:bCs/>
          <w:snapToGrid/>
          <w:spacing w:val="12"/>
          <w:kern w:val="0"/>
          <w:sz w:val="40"/>
        </w:rPr>
        <w:t>涌</w:t>
      </w:r>
      <w:proofErr w:type="gramEnd"/>
      <w:r>
        <w:rPr>
          <w:rFonts w:hAnsi="標楷體" w:hint="eastAsia"/>
          <w:b w:val="0"/>
          <w:bCs/>
          <w:snapToGrid/>
          <w:spacing w:val="12"/>
          <w:kern w:val="0"/>
          <w:sz w:val="40"/>
        </w:rPr>
        <w:t>誠</w:t>
      </w:r>
    </w:p>
    <w:p w:rsidR="00F709B1" w:rsidRDefault="00F709B1" w:rsidP="00F709B1">
      <w:pPr>
        <w:pStyle w:val="aa"/>
        <w:spacing w:beforeLines="50" w:before="228" w:afterLines="100" w:after="457"/>
        <w:ind w:leftChars="1100" w:left="3742"/>
        <w:rPr>
          <w:rFonts w:hAnsi="標楷體"/>
          <w:b w:val="0"/>
          <w:bCs/>
          <w:snapToGrid/>
          <w:spacing w:val="12"/>
          <w:kern w:val="0"/>
          <w:sz w:val="40"/>
        </w:rPr>
      </w:pPr>
      <w:r>
        <w:rPr>
          <w:rFonts w:hAnsi="標楷體" w:hint="eastAsia"/>
          <w:b w:val="0"/>
          <w:bCs/>
          <w:snapToGrid/>
          <w:spacing w:val="12"/>
          <w:kern w:val="0"/>
          <w:sz w:val="40"/>
        </w:rPr>
        <w:t xml:space="preserve">          楊芳婉</w:t>
      </w:r>
    </w:p>
    <w:p w:rsidR="00F709B1" w:rsidRDefault="00F709B1" w:rsidP="00EB5E57">
      <w:pPr>
        <w:pStyle w:val="aa"/>
        <w:spacing w:beforeLines="50" w:before="228" w:afterLines="100" w:after="457"/>
        <w:ind w:leftChars="1100" w:left="3742"/>
      </w:pPr>
      <w:r>
        <w:rPr>
          <w:rFonts w:hAnsi="標楷體" w:hint="eastAsia"/>
          <w:b w:val="0"/>
          <w:bCs/>
          <w:snapToGrid/>
          <w:spacing w:val="12"/>
          <w:kern w:val="0"/>
          <w:sz w:val="40"/>
        </w:rPr>
        <w:t xml:space="preserve">          楊芳玲</w:t>
      </w:r>
    </w:p>
    <w:sectPr w:rsidR="00F709B1" w:rsidSect="000C0D31">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AD3" w:rsidRDefault="00BB0AD3" w:rsidP="00F709B1">
      <w:r>
        <w:separator/>
      </w:r>
    </w:p>
  </w:endnote>
  <w:endnote w:type="continuationSeparator" w:id="0">
    <w:p w:rsidR="00BB0AD3" w:rsidRDefault="00BB0AD3" w:rsidP="00F70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Helvetica">
    <w:panose1 w:val="020B05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AD3" w:rsidRDefault="00BB0AD3" w:rsidP="00F709B1">
      <w:r>
        <w:separator/>
      </w:r>
    </w:p>
  </w:footnote>
  <w:footnote w:type="continuationSeparator" w:id="0">
    <w:p w:rsidR="00BB0AD3" w:rsidRDefault="00BB0AD3" w:rsidP="00F709B1">
      <w:r>
        <w:continuationSeparator/>
      </w:r>
    </w:p>
  </w:footnote>
  <w:footnote w:id="1">
    <w:p w:rsidR="00EB5E57" w:rsidRDefault="00EB5E57" w:rsidP="00F709B1">
      <w:pPr>
        <w:pStyle w:val="aff2"/>
        <w:ind w:left="170" w:hanging="170"/>
        <w:jc w:val="both"/>
      </w:pPr>
      <w:r>
        <w:rPr>
          <w:rStyle w:val="aff4"/>
        </w:rPr>
        <w:footnoteRef/>
      </w:r>
      <w:r>
        <w:t xml:space="preserve"> </w:t>
      </w:r>
      <w:r>
        <w:t>“</w:t>
      </w:r>
      <w:r w:rsidRPr="00A84C08">
        <w:rPr>
          <w:rFonts w:ascii="Times New Roman"/>
          <w:lang w:eastAsia="zh-HK"/>
        </w:rPr>
        <w:t>Anyone who has been the victim of unlawful arrest or detention shall have an enforceable right to compensation.</w:t>
      </w:r>
      <w:r>
        <w:rPr>
          <w:rFonts w:ascii="Times New Roman"/>
          <w:lang w:eastAsia="zh-HK"/>
        </w:rPr>
        <w:t>”</w:t>
      </w:r>
    </w:p>
  </w:footnote>
  <w:footnote w:id="2">
    <w:p w:rsidR="00EB5E57" w:rsidRDefault="00EB5E57" w:rsidP="00F709B1">
      <w:pPr>
        <w:pStyle w:val="aff2"/>
        <w:ind w:left="170" w:hanging="170"/>
        <w:jc w:val="both"/>
      </w:pPr>
      <w:r>
        <w:rPr>
          <w:rStyle w:val="aff4"/>
        </w:rPr>
        <w:footnoteRef/>
      </w:r>
      <w:r>
        <w:t xml:space="preserve"> </w:t>
      </w:r>
      <w:r>
        <w:t>“</w:t>
      </w:r>
      <w:r w:rsidRPr="00E737F9">
        <w:rPr>
          <w:rFonts w:ascii="Times New Roman" w:hint="eastAsia"/>
          <w:lang w:eastAsia="zh-HK"/>
        </w:rPr>
        <w:t>Wh</w:t>
      </w:r>
      <w:r w:rsidRPr="00E737F9">
        <w:rPr>
          <w:rFonts w:ascii="Times New Roman"/>
          <w:lang w:eastAsia="zh-HK"/>
        </w:rPr>
        <w:t>en a person has by a final decision been convicted of a criminal offence and when subsequently his conviction has been reversed or he has been pardoned on the ground that a new or newly discovered fact shows conclusively that there has been a miscarriage of justice, the person who has suffered punishment as a result of such conviction shall be compensated according to law, unless it is proved that the non-disclosure of the unknown fact in time is wholly or partly attributable to him.</w:t>
      </w:r>
      <w:r>
        <w:rPr>
          <w:rFonts w:ascii="Times New Roman"/>
          <w:lang w:eastAsia="zh-HK"/>
        </w:rPr>
        <w:t>”</w:t>
      </w:r>
    </w:p>
  </w:footnote>
  <w:footnote w:id="3">
    <w:p w:rsidR="00EB5E57" w:rsidRPr="00B84EA4" w:rsidRDefault="00EB5E57" w:rsidP="00F709B1">
      <w:pPr>
        <w:pStyle w:val="aff2"/>
        <w:ind w:left="170" w:hanging="170"/>
      </w:pPr>
      <w:r w:rsidRPr="00B84EA4">
        <w:rPr>
          <w:rStyle w:val="aff4"/>
        </w:rPr>
        <w:footnoteRef/>
      </w:r>
      <w:r w:rsidRPr="00B84EA4">
        <w:rPr>
          <w:rFonts w:hint="eastAsia"/>
        </w:rPr>
        <w:t xml:space="preserve"> </w:t>
      </w:r>
      <w:r w:rsidRPr="00B84EA4">
        <w:rPr>
          <w:rFonts w:hint="eastAsia"/>
          <w:lang w:eastAsia="zh-HK"/>
        </w:rPr>
        <w:t>對法官</w:t>
      </w:r>
      <w:r>
        <w:rPr>
          <w:rFonts w:hint="eastAsia"/>
          <w:lang w:eastAsia="zh-HK"/>
        </w:rPr>
        <w:t>或檢察官</w:t>
      </w:r>
      <w:r w:rsidRPr="00B84EA4">
        <w:rPr>
          <w:rFonts w:hint="eastAsia"/>
          <w:lang w:eastAsia="zh-HK"/>
        </w:rPr>
        <w:t>所為職務</w:t>
      </w:r>
      <w:r>
        <w:rPr>
          <w:rFonts w:hint="eastAsia"/>
        </w:rPr>
        <w:t>監督</w:t>
      </w:r>
      <w:r>
        <w:rPr>
          <w:rFonts w:hint="eastAsia"/>
          <w:lang w:eastAsia="zh-HK"/>
        </w:rPr>
        <w:t>或</w:t>
      </w:r>
      <w:r w:rsidRPr="00B84EA4">
        <w:rPr>
          <w:rFonts w:hint="eastAsia"/>
          <w:lang w:eastAsia="zh-HK"/>
        </w:rPr>
        <w:t>職務評定</w:t>
      </w:r>
      <w:r w:rsidRPr="00B84EA4">
        <w:rPr>
          <w:rFonts w:hint="eastAsia"/>
        </w:rPr>
        <w:t>，依法官法</w:t>
      </w:r>
      <w:r>
        <w:rPr>
          <w:rFonts w:hint="eastAsia"/>
          <w:lang w:eastAsia="zh-HK"/>
        </w:rPr>
        <w:t>等</w:t>
      </w:r>
      <w:r w:rsidRPr="00B84EA4">
        <w:rPr>
          <w:rFonts w:hint="eastAsia"/>
          <w:lang w:eastAsia="zh-HK"/>
        </w:rPr>
        <w:t>規定</w:t>
      </w:r>
      <w:r w:rsidRPr="00B84EA4">
        <w:rPr>
          <w:rFonts w:hint="eastAsia"/>
        </w:rPr>
        <w:t>，</w:t>
      </w:r>
      <w:r w:rsidRPr="00B84EA4">
        <w:rPr>
          <w:rFonts w:hint="eastAsia"/>
          <w:lang w:eastAsia="zh-HK"/>
        </w:rPr>
        <w:t>無行使期間限制</w:t>
      </w:r>
      <w:r w:rsidRPr="00B84EA4">
        <w:rPr>
          <w:rFonts w:hint="eastAsia"/>
          <w:spacing w:val="-4"/>
        </w:rPr>
        <w:t>。</w:t>
      </w:r>
    </w:p>
  </w:footnote>
  <w:footnote w:id="4">
    <w:p w:rsidR="00EB5E57" w:rsidRPr="00B84EA4" w:rsidRDefault="00EB5E57" w:rsidP="00F709B1">
      <w:pPr>
        <w:pStyle w:val="aff2"/>
        <w:ind w:left="170" w:hanging="170"/>
      </w:pPr>
      <w:r w:rsidRPr="00B84EA4">
        <w:rPr>
          <w:rStyle w:val="aff4"/>
        </w:rPr>
        <w:footnoteRef/>
      </w:r>
      <w:r w:rsidRPr="00B84EA4">
        <w:t xml:space="preserve"> </w:t>
      </w:r>
      <w:r w:rsidRPr="00B84EA4">
        <w:rPr>
          <w:rFonts w:hint="eastAsia"/>
          <w:lang w:eastAsia="zh-HK"/>
        </w:rPr>
        <w:t>已改制為監察院司法及獄政委員會</w:t>
      </w:r>
      <w:r w:rsidRPr="00B84EA4">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A7445F4"/>
    <w:lvl w:ilvl="0">
      <w:start w:val="1"/>
      <w:numFmt w:val="ideographLegalTraditional"/>
      <w:pStyle w:val="1"/>
      <w:suff w:val="nothing"/>
      <w:lvlText w:val="%1、"/>
      <w:lvlJc w:val="left"/>
      <w:pPr>
        <w:ind w:left="7343"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0A13BEB"/>
    <w:multiLevelType w:val="hybridMultilevel"/>
    <w:tmpl w:val="A9BC241C"/>
    <w:lvl w:ilvl="0" w:tplc="503C8F0E">
      <w:start w:val="1"/>
      <w:numFmt w:val="decimal"/>
      <w:lvlText w:val="%1."/>
      <w:lvlJc w:val="left"/>
      <w:pPr>
        <w:ind w:left="360" w:hanging="360"/>
      </w:pPr>
      <w:rPr>
        <w:rFonts w:hint="default"/>
        <w:u w:val="thick"/>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CB063A0"/>
    <w:multiLevelType w:val="multilevel"/>
    <w:tmpl w:val="27844B88"/>
    <w:lvl w:ilvl="0">
      <w:start w:val="1"/>
      <w:numFmt w:val="taiwaneseCountingThousand"/>
      <w:suff w:val="nothing"/>
      <w:lvlText w:val="%1、"/>
      <w:lvlJc w:val="left"/>
      <w:pPr>
        <w:ind w:left="561" w:hanging="561"/>
      </w:pPr>
      <w:rPr>
        <w:rFonts w:ascii="標楷體" w:eastAsia="標楷體" w:hint="eastAsia"/>
        <w:b w:val="0"/>
        <w:i w:val="0"/>
        <w:sz w:val="28"/>
        <w:lang w:val="en-US"/>
      </w:rPr>
    </w:lvl>
    <w:lvl w:ilvl="1">
      <w:start w:val="1"/>
      <w:numFmt w:val="taiwaneseCountingThousand"/>
      <w:suff w:val="nothing"/>
      <w:lvlText w:val="(%2)"/>
      <w:lvlJc w:val="left"/>
      <w:pPr>
        <w:ind w:left="845" w:hanging="561"/>
      </w:pPr>
      <w:rPr>
        <w:rFonts w:ascii="標楷體" w:eastAsia="標楷體" w:hint="eastAsia"/>
        <w:b w:val="0"/>
        <w:i w:val="0"/>
        <w:sz w:val="28"/>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DA77C1A"/>
    <w:multiLevelType w:val="multilevel"/>
    <w:tmpl w:val="A608FBD2"/>
    <w:lvl w:ilvl="0">
      <w:start w:val="1"/>
      <w:numFmt w:val="taiwaneseCountingThousand"/>
      <w:suff w:val="nothing"/>
      <w:lvlText w:val="%1、"/>
      <w:lvlJc w:val="left"/>
      <w:pPr>
        <w:ind w:left="561" w:hanging="561"/>
      </w:pPr>
      <w:rPr>
        <w:rFonts w:ascii="標楷體" w:eastAsia="標楷體" w:hint="eastAsia"/>
        <w:b w:val="0"/>
        <w:i w:val="0"/>
        <w:color w:val="000000" w:themeColor="text1"/>
        <w:sz w:val="28"/>
        <w:lang w:val="en-US"/>
      </w:rPr>
    </w:lvl>
    <w:lvl w:ilvl="1">
      <w:start w:val="1"/>
      <w:numFmt w:val="taiwaneseCountingThousand"/>
      <w:suff w:val="nothing"/>
      <w:lvlText w:val="(%2)"/>
      <w:lvlJc w:val="left"/>
      <w:pPr>
        <w:ind w:left="845" w:hanging="561"/>
      </w:pPr>
      <w:rPr>
        <w:rFonts w:ascii="標楷體" w:eastAsia="標楷體" w:hint="eastAsia"/>
        <w:b w:val="0"/>
        <w:i w:val="0"/>
        <w:color w:val="auto"/>
        <w:sz w:val="28"/>
      </w:rPr>
    </w:lvl>
    <w:lvl w:ilvl="2">
      <w:start w:val="1"/>
      <w:numFmt w:val="decimalFullWidth"/>
      <w:suff w:val="nothing"/>
      <w:lvlText w:val="%3、"/>
      <w:lvlJc w:val="left"/>
      <w:pPr>
        <w:ind w:left="1128" w:hanging="561"/>
      </w:pPr>
      <w:rPr>
        <w:rFonts w:ascii="標楷體" w:eastAsia="標楷體" w:hint="eastAsia"/>
        <w:b w:val="0"/>
        <w:i w:val="0"/>
        <w:sz w:val="28"/>
      </w:rPr>
    </w:lvl>
    <w:lvl w:ilvl="3">
      <w:start w:val="1"/>
      <w:numFmt w:val="decimalFullWidth"/>
      <w:suff w:val="nothing"/>
      <w:lvlText w:val="(%4)"/>
      <w:lvlJc w:val="left"/>
      <w:pPr>
        <w:ind w:left="1412" w:hanging="556"/>
      </w:pPr>
      <w:rPr>
        <w:rFonts w:ascii="標楷體" w:eastAsia="標楷體" w:hint="eastAsia"/>
        <w:b w:val="0"/>
        <w:i w:val="0"/>
        <w:sz w:val="28"/>
      </w:rPr>
    </w:lvl>
    <w:lvl w:ilvl="4">
      <w:start w:val="1"/>
      <w:numFmt w:val="decimalFullWidth"/>
      <w:suff w:val="nothing"/>
      <w:lvlText w:val="&lt;%5&gt;"/>
      <w:lvlJc w:val="left"/>
      <w:pPr>
        <w:ind w:left="1701" w:hanging="567"/>
      </w:pPr>
      <w:rPr>
        <w:rFonts w:ascii="標楷體" w:eastAsia="標楷體" w:hint="eastAsia"/>
        <w:b w:val="0"/>
        <w:i w:val="0"/>
        <w:sz w:val="28"/>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num w:numId="1">
    <w:abstractNumId w:val="2"/>
    <w:lvlOverride w:ilvl="0">
      <w:startOverride w:val="1"/>
    </w:lvlOverride>
  </w:num>
  <w:num w:numId="2">
    <w:abstractNumId w:val="7"/>
  </w:num>
  <w:num w:numId="3">
    <w:abstractNumId w:val="6"/>
  </w:num>
  <w:num w:numId="4">
    <w:abstractNumId w:val="2"/>
  </w:num>
  <w:num w:numId="5">
    <w:abstractNumId w:val="0"/>
  </w:num>
  <w:num w:numId="6">
    <w:abstractNumId w:val="8"/>
  </w:num>
  <w:num w:numId="7">
    <w:abstractNumId w:val="9"/>
  </w:num>
  <w:num w:numId="8">
    <w:abstractNumId w:val="5"/>
  </w:num>
  <w:num w:numId="9">
    <w:abstractNumId w:val="1"/>
  </w:num>
  <w:num w:numId="10">
    <w:abstractNumId w:val="3"/>
  </w:num>
  <w:num w:numId="11">
    <w:abstractNumId w:val="10"/>
  </w:num>
  <w:num w:numId="12">
    <w:abstractNumId w:val="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9B1"/>
    <w:rsid w:val="000E5320"/>
    <w:rsid w:val="005C447E"/>
    <w:rsid w:val="008A3851"/>
    <w:rsid w:val="00BB0AD3"/>
    <w:rsid w:val="00D87A3B"/>
    <w:rsid w:val="00EB5E57"/>
    <w:rsid w:val="00F709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A304A"/>
  <w15:chartTrackingRefBased/>
  <w15:docId w15:val="{1484C962-94AF-4066-807C-ADACB7FC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F709B1"/>
    <w:pPr>
      <w:widowControl w:val="0"/>
      <w:overflowPunct w:val="0"/>
      <w:autoSpaceDE w:val="0"/>
      <w:autoSpaceDN w:val="0"/>
      <w:jc w:val="both"/>
    </w:pPr>
    <w:rPr>
      <w:rFonts w:ascii="標楷體" w:eastAsia="標楷體" w:hAnsi="Times New Roman" w:cs="Times New Roman"/>
      <w:sz w:val="32"/>
      <w:szCs w:val="20"/>
    </w:rPr>
  </w:style>
  <w:style w:type="paragraph" w:styleId="1">
    <w:name w:val="heading 1"/>
    <w:aliases w:val="壹"/>
    <w:basedOn w:val="a6"/>
    <w:link w:val="10"/>
    <w:uiPriority w:val="9"/>
    <w:qFormat/>
    <w:rsid w:val="00F709B1"/>
    <w:pPr>
      <w:numPr>
        <w:numId w:val="9"/>
      </w:numPr>
      <w:ind w:left="2381"/>
      <w:outlineLvl w:val="0"/>
    </w:pPr>
    <w:rPr>
      <w:rFonts w:hAnsi="Arial"/>
      <w:bCs/>
      <w:kern w:val="32"/>
      <w:szCs w:val="52"/>
    </w:rPr>
  </w:style>
  <w:style w:type="paragraph" w:styleId="2">
    <w:name w:val="heading 2"/>
    <w:aliases w:val="標題110/111,標題110/111 字元"/>
    <w:basedOn w:val="a6"/>
    <w:link w:val="20"/>
    <w:uiPriority w:val="9"/>
    <w:qFormat/>
    <w:rsid w:val="00F709B1"/>
    <w:pPr>
      <w:numPr>
        <w:ilvl w:val="1"/>
        <w:numId w:val="9"/>
      </w:numPr>
      <w:ind w:left="1021"/>
      <w:outlineLvl w:val="1"/>
    </w:pPr>
    <w:rPr>
      <w:rFonts w:hAnsi="Arial"/>
      <w:bCs/>
      <w:kern w:val="32"/>
      <w:szCs w:val="48"/>
    </w:rPr>
  </w:style>
  <w:style w:type="paragraph" w:styleId="3">
    <w:name w:val="heading 3"/>
    <w:aliases w:val="(一)"/>
    <w:basedOn w:val="a6"/>
    <w:link w:val="30"/>
    <w:uiPriority w:val="9"/>
    <w:qFormat/>
    <w:rsid w:val="00F709B1"/>
    <w:pPr>
      <w:numPr>
        <w:ilvl w:val="2"/>
        <w:numId w:val="9"/>
      </w:numPr>
      <w:outlineLvl w:val="2"/>
    </w:pPr>
    <w:rPr>
      <w:rFonts w:hAnsi="Arial"/>
      <w:bCs/>
      <w:kern w:val="32"/>
      <w:szCs w:val="36"/>
    </w:rPr>
  </w:style>
  <w:style w:type="paragraph" w:styleId="4">
    <w:name w:val="heading 4"/>
    <w:aliases w:val="表格"/>
    <w:basedOn w:val="a6"/>
    <w:link w:val="40"/>
    <w:uiPriority w:val="9"/>
    <w:qFormat/>
    <w:rsid w:val="00F709B1"/>
    <w:pPr>
      <w:numPr>
        <w:ilvl w:val="3"/>
        <w:numId w:val="9"/>
      </w:numPr>
      <w:outlineLvl w:val="3"/>
    </w:pPr>
    <w:rPr>
      <w:rFonts w:hAnsi="Arial"/>
      <w:kern w:val="32"/>
      <w:szCs w:val="36"/>
    </w:rPr>
  </w:style>
  <w:style w:type="paragraph" w:styleId="5">
    <w:name w:val="heading 5"/>
    <w:basedOn w:val="a6"/>
    <w:link w:val="50"/>
    <w:uiPriority w:val="9"/>
    <w:qFormat/>
    <w:rsid w:val="00F709B1"/>
    <w:pPr>
      <w:numPr>
        <w:ilvl w:val="4"/>
        <w:numId w:val="9"/>
      </w:numPr>
      <w:outlineLvl w:val="4"/>
    </w:pPr>
    <w:rPr>
      <w:rFonts w:hAnsi="Arial"/>
      <w:bCs/>
      <w:kern w:val="32"/>
      <w:szCs w:val="36"/>
    </w:rPr>
  </w:style>
  <w:style w:type="paragraph" w:styleId="6">
    <w:name w:val="heading 6"/>
    <w:basedOn w:val="a6"/>
    <w:link w:val="60"/>
    <w:qFormat/>
    <w:rsid w:val="00F709B1"/>
    <w:pPr>
      <w:numPr>
        <w:ilvl w:val="5"/>
        <w:numId w:val="9"/>
      </w:numPr>
      <w:tabs>
        <w:tab w:val="left" w:pos="2094"/>
      </w:tabs>
      <w:outlineLvl w:val="5"/>
    </w:pPr>
    <w:rPr>
      <w:rFonts w:hAnsi="Arial"/>
      <w:kern w:val="32"/>
      <w:szCs w:val="36"/>
    </w:rPr>
  </w:style>
  <w:style w:type="paragraph" w:styleId="7">
    <w:name w:val="heading 7"/>
    <w:basedOn w:val="a6"/>
    <w:link w:val="70"/>
    <w:qFormat/>
    <w:rsid w:val="00F709B1"/>
    <w:pPr>
      <w:numPr>
        <w:ilvl w:val="6"/>
        <w:numId w:val="9"/>
      </w:numPr>
      <w:outlineLvl w:val="6"/>
    </w:pPr>
    <w:rPr>
      <w:rFonts w:hAnsi="Arial"/>
      <w:bCs/>
      <w:kern w:val="32"/>
      <w:szCs w:val="36"/>
    </w:rPr>
  </w:style>
  <w:style w:type="paragraph" w:styleId="8">
    <w:name w:val="heading 8"/>
    <w:basedOn w:val="a6"/>
    <w:link w:val="80"/>
    <w:qFormat/>
    <w:rsid w:val="00F709B1"/>
    <w:pPr>
      <w:numPr>
        <w:ilvl w:val="7"/>
        <w:numId w:val="9"/>
      </w:numPr>
      <w:outlineLvl w:val="7"/>
    </w:pPr>
    <w:rPr>
      <w:rFonts w:hAnsi="Arial"/>
      <w:kern w:val="32"/>
      <w:szCs w:val="36"/>
    </w:rPr>
  </w:style>
  <w:style w:type="paragraph" w:styleId="9">
    <w:name w:val="heading 9"/>
    <w:basedOn w:val="a6"/>
    <w:link w:val="90"/>
    <w:uiPriority w:val="9"/>
    <w:unhideWhenUsed/>
    <w:qFormat/>
    <w:rsid w:val="00F709B1"/>
    <w:pPr>
      <w:numPr>
        <w:ilvl w:val="8"/>
        <w:numId w:val="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0">
    <w:name w:val="標題 1 字元"/>
    <w:aliases w:val="壹 字元"/>
    <w:basedOn w:val="a7"/>
    <w:link w:val="1"/>
    <w:uiPriority w:val="9"/>
    <w:rsid w:val="00F709B1"/>
    <w:rPr>
      <w:rFonts w:ascii="標楷體" w:eastAsia="標楷體" w:hAnsi="Arial" w:cs="Times New Roman"/>
      <w:bCs/>
      <w:kern w:val="32"/>
      <w:sz w:val="32"/>
      <w:szCs w:val="52"/>
    </w:rPr>
  </w:style>
  <w:style w:type="character" w:customStyle="1" w:styleId="20">
    <w:name w:val="標題 2 字元"/>
    <w:aliases w:val="標題110/111 字元1,標題110/111 字元 字元"/>
    <w:basedOn w:val="a7"/>
    <w:link w:val="2"/>
    <w:uiPriority w:val="9"/>
    <w:rsid w:val="00F709B1"/>
    <w:rPr>
      <w:rFonts w:ascii="標楷體" w:eastAsia="標楷體" w:hAnsi="Arial" w:cs="Times New Roman"/>
      <w:bCs/>
      <w:kern w:val="32"/>
      <w:sz w:val="32"/>
      <w:szCs w:val="48"/>
    </w:rPr>
  </w:style>
  <w:style w:type="character" w:customStyle="1" w:styleId="30">
    <w:name w:val="標題 3 字元"/>
    <w:aliases w:val="(一) 字元"/>
    <w:basedOn w:val="a7"/>
    <w:link w:val="3"/>
    <w:uiPriority w:val="9"/>
    <w:rsid w:val="00F709B1"/>
    <w:rPr>
      <w:rFonts w:ascii="標楷體" w:eastAsia="標楷體" w:hAnsi="Arial" w:cs="Times New Roman"/>
      <w:bCs/>
      <w:kern w:val="32"/>
      <w:sz w:val="32"/>
      <w:szCs w:val="36"/>
    </w:rPr>
  </w:style>
  <w:style w:type="character" w:customStyle="1" w:styleId="40">
    <w:name w:val="標題 4 字元"/>
    <w:aliases w:val="表格 字元"/>
    <w:basedOn w:val="a7"/>
    <w:link w:val="4"/>
    <w:uiPriority w:val="9"/>
    <w:rsid w:val="00F709B1"/>
    <w:rPr>
      <w:rFonts w:ascii="標楷體" w:eastAsia="標楷體" w:hAnsi="Arial" w:cs="Times New Roman"/>
      <w:kern w:val="32"/>
      <w:sz w:val="32"/>
      <w:szCs w:val="36"/>
    </w:rPr>
  </w:style>
  <w:style w:type="character" w:customStyle="1" w:styleId="50">
    <w:name w:val="標題 5 字元"/>
    <w:basedOn w:val="a7"/>
    <w:link w:val="5"/>
    <w:uiPriority w:val="9"/>
    <w:rsid w:val="00F709B1"/>
    <w:rPr>
      <w:rFonts w:ascii="標楷體" w:eastAsia="標楷體" w:hAnsi="Arial" w:cs="Times New Roman"/>
      <w:bCs/>
      <w:kern w:val="32"/>
      <w:sz w:val="32"/>
      <w:szCs w:val="36"/>
    </w:rPr>
  </w:style>
  <w:style w:type="character" w:customStyle="1" w:styleId="60">
    <w:name w:val="標題 6 字元"/>
    <w:basedOn w:val="a7"/>
    <w:link w:val="6"/>
    <w:rsid w:val="00F709B1"/>
    <w:rPr>
      <w:rFonts w:ascii="標楷體" w:eastAsia="標楷體" w:hAnsi="Arial" w:cs="Times New Roman"/>
      <w:kern w:val="32"/>
      <w:sz w:val="32"/>
      <w:szCs w:val="36"/>
    </w:rPr>
  </w:style>
  <w:style w:type="character" w:customStyle="1" w:styleId="70">
    <w:name w:val="標題 7 字元"/>
    <w:basedOn w:val="a7"/>
    <w:link w:val="7"/>
    <w:rsid w:val="00F709B1"/>
    <w:rPr>
      <w:rFonts w:ascii="標楷體" w:eastAsia="標楷體" w:hAnsi="Arial" w:cs="Times New Roman"/>
      <w:bCs/>
      <w:kern w:val="32"/>
      <w:sz w:val="32"/>
      <w:szCs w:val="36"/>
    </w:rPr>
  </w:style>
  <w:style w:type="character" w:customStyle="1" w:styleId="80">
    <w:name w:val="標題 8 字元"/>
    <w:basedOn w:val="a7"/>
    <w:link w:val="8"/>
    <w:rsid w:val="00F709B1"/>
    <w:rPr>
      <w:rFonts w:ascii="標楷體" w:eastAsia="標楷體" w:hAnsi="Arial" w:cs="Times New Roman"/>
      <w:kern w:val="32"/>
      <w:sz w:val="32"/>
      <w:szCs w:val="36"/>
    </w:rPr>
  </w:style>
  <w:style w:type="character" w:customStyle="1" w:styleId="90">
    <w:name w:val="標題 9 字元"/>
    <w:basedOn w:val="a7"/>
    <w:link w:val="9"/>
    <w:uiPriority w:val="9"/>
    <w:rsid w:val="00F709B1"/>
    <w:rPr>
      <w:rFonts w:ascii="標楷體" w:eastAsia="標楷體" w:hAnsiTheme="majorHAnsi" w:cstheme="majorBidi"/>
      <w:kern w:val="32"/>
      <w:sz w:val="32"/>
      <w:szCs w:val="36"/>
    </w:rPr>
  </w:style>
  <w:style w:type="paragraph" w:styleId="aa">
    <w:name w:val="Signature"/>
    <w:basedOn w:val="a6"/>
    <w:link w:val="ab"/>
    <w:semiHidden/>
    <w:rsid w:val="00F709B1"/>
    <w:pPr>
      <w:spacing w:before="720" w:after="720"/>
      <w:ind w:left="7371"/>
    </w:pPr>
    <w:rPr>
      <w:b/>
      <w:snapToGrid w:val="0"/>
      <w:spacing w:val="10"/>
      <w:sz w:val="36"/>
    </w:rPr>
  </w:style>
  <w:style w:type="character" w:customStyle="1" w:styleId="ab">
    <w:name w:val="簽名 字元"/>
    <w:basedOn w:val="a7"/>
    <w:link w:val="aa"/>
    <w:semiHidden/>
    <w:rsid w:val="00F709B1"/>
    <w:rPr>
      <w:rFonts w:ascii="標楷體" w:eastAsia="標楷體" w:hAnsi="Times New Roman" w:cs="Times New Roman"/>
      <w:b/>
      <w:snapToGrid w:val="0"/>
      <w:spacing w:val="10"/>
      <w:sz w:val="36"/>
      <w:szCs w:val="20"/>
    </w:rPr>
  </w:style>
  <w:style w:type="paragraph" w:styleId="ac">
    <w:name w:val="endnote text"/>
    <w:basedOn w:val="a6"/>
    <w:link w:val="ad"/>
    <w:semiHidden/>
    <w:rsid w:val="00F709B1"/>
    <w:pPr>
      <w:kinsoku w:val="0"/>
      <w:autoSpaceDE/>
      <w:spacing w:before="240"/>
      <w:ind w:left="1021" w:hanging="1021"/>
    </w:pPr>
    <w:rPr>
      <w:snapToGrid w:val="0"/>
      <w:spacing w:val="10"/>
    </w:rPr>
  </w:style>
  <w:style w:type="character" w:customStyle="1" w:styleId="ad">
    <w:name w:val="章節附註文字 字元"/>
    <w:basedOn w:val="a7"/>
    <w:link w:val="ac"/>
    <w:semiHidden/>
    <w:rsid w:val="00F709B1"/>
    <w:rPr>
      <w:rFonts w:ascii="標楷體" w:eastAsia="標楷體" w:hAnsi="Times New Roman" w:cs="Times New Roman"/>
      <w:snapToGrid w:val="0"/>
      <w:spacing w:val="10"/>
      <w:sz w:val="32"/>
      <w:szCs w:val="20"/>
    </w:rPr>
  </w:style>
  <w:style w:type="paragraph" w:styleId="51">
    <w:name w:val="toc 5"/>
    <w:basedOn w:val="a6"/>
    <w:next w:val="a6"/>
    <w:autoRedefine/>
    <w:semiHidden/>
    <w:rsid w:val="00F709B1"/>
    <w:pPr>
      <w:ind w:leftChars="400" w:left="600" w:rightChars="200" w:right="200" w:hangingChars="200" w:hanging="200"/>
    </w:pPr>
  </w:style>
  <w:style w:type="character" w:styleId="ae">
    <w:name w:val="page number"/>
    <w:basedOn w:val="a7"/>
    <w:semiHidden/>
    <w:rsid w:val="00F709B1"/>
    <w:rPr>
      <w:rFonts w:ascii="標楷體" w:eastAsia="標楷體"/>
      <w:sz w:val="20"/>
    </w:rPr>
  </w:style>
  <w:style w:type="paragraph" w:styleId="61">
    <w:name w:val="toc 6"/>
    <w:basedOn w:val="a6"/>
    <w:next w:val="a6"/>
    <w:autoRedefine/>
    <w:semiHidden/>
    <w:rsid w:val="00F709B1"/>
    <w:pPr>
      <w:ind w:leftChars="500" w:left="500"/>
    </w:pPr>
  </w:style>
  <w:style w:type="paragraph" w:customStyle="1" w:styleId="11">
    <w:name w:val="段落樣式1"/>
    <w:basedOn w:val="a6"/>
    <w:qFormat/>
    <w:rsid w:val="00F709B1"/>
    <w:pPr>
      <w:tabs>
        <w:tab w:val="left" w:pos="567"/>
      </w:tabs>
      <w:ind w:leftChars="200" w:left="200" w:firstLineChars="200" w:firstLine="200"/>
    </w:pPr>
    <w:rPr>
      <w:kern w:val="32"/>
    </w:rPr>
  </w:style>
  <w:style w:type="paragraph" w:customStyle="1" w:styleId="21">
    <w:name w:val="段落樣式2"/>
    <w:basedOn w:val="a6"/>
    <w:qFormat/>
    <w:rsid w:val="00F709B1"/>
    <w:pPr>
      <w:tabs>
        <w:tab w:val="left" w:pos="567"/>
      </w:tabs>
      <w:ind w:leftChars="300" w:left="300" w:firstLineChars="200" w:firstLine="200"/>
    </w:pPr>
    <w:rPr>
      <w:kern w:val="32"/>
    </w:rPr>
  </w:style>
  <w:style w:type="paragraph" w:styleId="12">
    <w:name w:val="toc 1"/>
    <w:basedOn w:val="a6"/>
    <w:next w:val="a6"/>
    <w:autoRedefine/>
    <w:uiPriority w:val="39"/>
    <w:rsid w:val="00F709B1"/>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F709B1"/>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F709B1"/>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F709B1"/>
    <w:pPr>
      <w:kinsoku w:val="0"/>
      <w:ind w:leftChars="300" w:left="500" w:rightChars="200" w:right="200" w:hangingChars="200" w:hanging="200"/>
    </w:pPr>
  </w:style>
  <w:style w:type="paragraph" w:styleId="71">
    <w:name w:val="toc 7"/>
    <w:basedOn w:val="a6"/>
    <w:next w:val="a6"/>
    <w:autoRedefine/>
    <w:semiHidden/>
    <w:rsid w:val="00F709B1"/>
    <w:pPr>
      <w:ind w:leftChars="600" w:left="800" w:hangingChars="200" w:hanging="200"/>
    </w:pPr>
  </w:style>
  <w:style w:type="paragraph" w:styleId="81">
    <w:name w:val="toc 8"/>
    <w:basedOn w:val="a6"/>
    <w:next w:val="a6"/>
    <w:autoRedefine/>
    <w:semiHidden/>
    <w:rsid w:val="00F709B1"/>
    <w:pPr>
      <w:ind w:leftChars="700" w:left="900" w:hangingChars="200" w:hanging="200"/>
    </w:pPr>
  </w:style>
  <w:style w:type="paragraph" w:styleId="91">
    <w:name w:val="toc 9"/>
    <w:basedOn w:val="a6"/>
    <w:next w:val="a6"/>
    <w:autoRedefine/>
    <w:semiHidden/>
    <w:rsid w:val="00F709B1"/>
    <w:pPr>
      <w:ind w:leftChars="1600" w:left="3840"/>
    </w:pPr>
  </w:style>
  <w:style w:type="paragraph" w:styleId="af">
    <w:name w:val="header"/>
    <w:basedOn w:val="a6"/>
    <w:link w:val="af0"/>
    <w:semiHidden/>
    <w:rsid w:val="00F709B1"/>
    <w:pPr>
      <w:tabs>
        <w:tab w:val="center" w:pos="4153"/>
        <w:tab w:val="right" w:pos="8306"/>
      </w:tabs>
      <w:snapToGrid w:val="0"/>
    </w:pPr>
    <w:rPr>
      <w:sz w:val="20"/>
    </w:rPr>
  </w:style>
  <w:style w:type="character" w:customStyle="1" w:styleId="af0">
    <w:name w:val="頁首 字元"/>
    <w:basedOn w:val="a7"/>
    <w:link w:val="af"/>
    <w:semiHidden/>
    <w:rsid w:val="00F709B1"/>
    <w:rPr>
      <w:rFonts w:ascii="標楷體" w:eastAsia="標楷體" w:hAnsi="Times New Roman" w:cs="Times New Roman"/>
      <w:sz w:val="20"/>
      <w:szCs w:val="20"/>
    </w:rPr>
  </w:style>
  <w:style w:type="paragraph" w:customStyle="1" w:styleId="32">
    <w:name w:val="段落樣式3"/>
    <w:basedOn w:val="21"/>
    <w:qFormat/>
    <w:rsid w:val="00F709B1"/>
    <w:pPr>
      <w:ind w:leftChars="400" w:left="400"/>
    </w:pPr>
  </w:style>
  <w:style w:type="character" w:styleId="af1">
    <w:name w:val="Hyperlink"/>
    <w:basedOn w:val="a7"/>
    <w:uiPriority w:val="99"/>
    <w:rsid w:val="00F709B1"/>
    <w:rPr>
      <w:color w:val="0000FF"/>
      <w:u w:val="single"/>
    </w:rPr>
  </w:style>
  <w:style w:type="paragraph" w:customStyle="1" w:styleId="af2">
    <w:name w:val="簽名日期"/>
    <w:basedOn w:val="a6"/>
    <w:rsid w:val="00F709B1"/>
    <w:pPr>
      <w:kinsoku w:val="0"/>
      <w:jc w:val="distribute"/>
    </w:pPr>
    <w:rPr>
      <w:kern w:val="0"/>
    </w:rPr>
  </w:style>
  <w:style w:type="paragraph" w:customStyle="1" w:styleId="0">
    <w:name w:val="段落樣式0"/>
    <w:basedOn w:val="21"/>
    <w:qFormat/>
    <w:rsid w:val="00F709B1"/>
    <w:pPr>
      <w:ind w:leftChars="200" w:left="200" w:firstLineChars="0" w:firstLine="0"/>
    </w:pPr>
  </w:style>
  <w:style w:type="paragraph" w:customStyle="1" w:styleId="af3">
    <w:name w:val="附件"/>
    <w:basedOn w:val="ac"/>
    <w:rsid w:val="00F709B1"/>
    <w:pPr>
      <w:spacing w:before="0"/>
      <w:ind w:left="1047" w:hangingChars="300" w:hanging="1047"/>
    </w:pPr>
    <w:rPr>
      <w:snapToGrid/>
      <w:spacing w:val="0"/>
      <w:kern w:val="0"/>
    </w:rPr>
  </w:style>
  <w:style w:type="paragraph" w:customStyle="1" w:styleId="42">
    <w:name w:val="段落樣式4"/>
    <w:basedOn w:val="32"/>
    <w:qFormat/>
    <w:rsid w:val="00F709B1"/>
    <w:pPr>
      <w:ind w:leftChars="500" w:left="500"/>
    </w:pPr>
  </w:style>
  <w:style w:type="paragraph" w:customStyle="1" w:styleId="52">
    <w:name w:val="段落樣式5"/>
    <w:basedOn w:val="42"/>
    <w:qFormat/>
    <w:rsid w:val="00F709B1"/>
    <w:pPr>
      <w:ind w:leftChars="600" w:left="600"/>
    </w:pPr>
  </w:style>
  <w:style w:type="paragraph" w:customStyle="1" w:styleId="62">
    <w:name w:val="段落樣式6"/>
    <w:basedOn w:val="52"/>
    <w:qFormat/>
    <w:rsid w:val="00F709B1"/>
    <w:pPr>
      <w:ind w:leftChars="700" w:left="700"/>
    </w:pPr>
  </w:style>
  <w:style w:type="paragraph" w:customStyle="1" w:styleId="72">
    <w:name w:val="段落樣式7"/>
    <w:basedOn w:val="62"/>
    <w:qFormat/>
    <w:rsid w:val="00F709B1"/>
    <w:pPr>
      <w:ind w:leftChars="800" w:left="800"/>
    </w:pPr>
  </w:style>
  <w:style w:type="paragraph" w:customStyle="1" w:styleId="82">
    <w:name w:val="段落樣式8"/>
    <w:basedOn w:val="72"/>
    <w:qFormat/>
    <w:rsid w:val="00F709B1"/>
    <w:pPr>
      <w:ind w:leftChars="900" w:left="900"/>
    </w:pPr>
  </w:style>
  <w:style w:type="paragraph" w:customStyle="1" w:styleId="a0">
    <w:name w:val="附表樣式"/>
    <w:basedOn w:val="a6"/>
    <w:qFormat/>
    <w:rsid w:val="00F709B1"/>
    <w:pPr>
      <w:keepNext/>
      <w:numPr>
        <w:numId w:val="1"/>
      </w:numPr>
      <w:outlineLvl w:val="0"/>
    </w:pPr>
    <w:rPr>
      <w:kern w:val="32"/>
    </w:rPr>
  </w:style>
  <w:style w:type="paragraph" w:styleId="af4">
    <w:name w:val="Body Text Indent"/>
    <w:basedOn w:val="a6"/>
    <w:link w:val="af5"/>
    <w:semiHidden/>
    <w:rsid w:val="00F709B1"/>
    <w:pPr>
      <w:ind w:left="698" w:hangingChars="200" w:hanging="698"/>
    </w:pPr>
  </w:style>
  <w:style w:type="character" w:customStyle="1" w:styleId="af5">
    <w:name w:val="本文縮排 字元"/>
    <w:basedOn w:val="a7"/>
    <w:link w:val="af4"/>
    <w:semiHidden/>
    <w:rsid w:val="00F709B1"/>
    <w:rPr>
      <w:rFonts w:ascii="標楷體" w:eastAsia="標楷體" w:hAnsi="Times New Roman" w:cs="Times New Roman"/>
      <w:sz w:val="32"/>
      <w:szCs w:val="20"/>
    </w:rPr>
  </w:style>
  <w:style w:type="paragraph" w:customStyle="1" w:styleId="af6">
    <w:name w:val="調查報告"/>
    <w:basedOn w:val="ac"/>
    <w:rsid w:val="00F709B1"/>
    <w:pPr>
      <w:adjustRightInd w:val="0"/>
      <w:spacing w:before="0"/>
      <w:ind w:left="0" w:firstLine="0"/>
      <w:jc w:val="center"/>
    </w:pPr>
    <w:rPr>
      <w:b/>
      <w:snapToGrid/>
      <w:spacing w:val="200"/>
      <w:kern w:val="0"/>
      <w:sz w:val="40"/>
    </w:rPr>
  </w:style>
  <w:style w:type="paragraph" w:customStyle="1" w:styleId="14">
    <w:name w:val="表格14"/>
    <w:basedOn w:val="a6"/>
    <w:rsid w:val="00F709B1"/>
    <w:pPr>
      <w:adjustRightInd w:val="0"/>
      <w:snapToGrid w:val="0"/>
      <w:spacing w:line="360" w:lineRule="exact"/>
    </w:pPr>
    <w:rPr>
      <w:snapToGrid w:val="0"/>
      <w:spacing w:val="-14"/>
      <w:kern w:val="0"/>
      <w:sz w:val="28"/>
    </w:rPr>
  </w:style>
  <w:style w:type="paragraph" w:customStyle="1" w:styleId="a">
    <w:name w:val="附圖樣式"/>
    <w:basedOn w:val="a6"/>
    <w:qFormat/>
    <w:rsid w:val="00F709B1"/>
    <w:pPr>
      <w:keepNext/>
      <w:numPr>
        <w:numId w:val="5"/>
      </w:numPr>
      <w:outlineLvl w:val="0"/>
    </w:pPr>
    <w:rPr>
      <w:kern w:val="32"/>
    </w:rPr>
  </w:style>
  <w:style w:type="paragraph" w:styleId="af7">
    <w:name w:val="footer"/>
    <w:basedOn w:val="a6"/>
    <w:link w:val="af8"/>
    <w:semiHidden/>
    <w:rsid w:val="00F709B1"/>
    <w:pPr>
      <w:tabs>
        <w:tab w:val="center" w:pos="4153"/>
        <w:tab w:val="right" w:pos="8306"/>
      </w:tabs>
      <w:snapToGrid w:val="0"/>
    </w:pPr>
    <w:rPr>
      <w:sz w:val="20"/>
    </w:rPr>
  </w:style>
  <w:style w:type="character" w:customStyle="1" w:styleId="af8">
    <w:name w:val="頁尾 字元"/>
    <w:basedOn w:val="a7"/>
    <w:link w:val="af7"/>
    <w:semiHidden/>
    <w:rsid w:val="00F709B1"/>
    <w:rPr>
      <w:rFonts w:ascii="標楷體" w:eastAsia="標楷體" w:hAnsi="Times New Roman" w:cs="Times New Roman"/>
      <w:sz w:val="20"/>
      <w:szCs w:val="20"/>
    </w:rPr>
  </w:style>
  <w:style w:type="paragraph" w:styleId="af9">
    <w:name w:val="table of figures"/>
    <w:basedOn w:val="a6"/>
    <w:next w:val="a6"/>
    <w:semiHidden/>
    <w:rsid w:val="00F709B1"/>
    <w:pPr>
      <w:ind w:left="400" w:hangingChars="400" w:hanging="400"/>
    </w:pPr>
  </w:style>
  <w:style w:type="paragraph" w:customStyle="1" w:styleId="140">
    <w:name w:val="表格標題14"/>
    <w:basedOn w:val="a6"/>
    <w:rsid w:val="00F709B1"/>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F709B1"/>
    <w:pPr>
      <w:keepNext/>
      <w:widowControl w:val="0"/>
      <w:numPr>
        <w:numId w:val="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cs="Times New Roman"/>
      <w:bCs/>
      <w:spacing w:val="-10"/>
      <w:kern w:val="28"/>
      <w:sz w:val="28"/>
      <w:szCs w:val="28"/>
    </w:rPr>
  </w:style>
  <w:style w:type="paragraph" w:customStyle="1" w:styleId="afa">
    <w:name w:val="資料來源"/>
    <w:basedOn w:val="a6"/>
    <w:rsid w:val="00F709B1"/>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F709B1"/>
    <w:pPr>
      <w:numPr>
        <w:numId w:val="8"/>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F709B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F709B1"/>
    <w:pPr>
      <w:spacing w:line="240" w:lineRule="exact"/>
    </w:pPr>
    <w:rPr>
      <w:sz w:val="24"/>
      <w:szCs w:val="24"/>
    </w:rPr>
  </w:style>
  <w:style w:type="paragraph" w:customStyle="1" w:styleId="121">
    <w:name w:val="表格12"/>
    <w:basedOn w:val="14"/>
    <w:rsid w:val="00F709B1"/>
    <w:pPr>
      <w:spacing w:line="300" w:lineRule="exact"/>
    </w:pPr>
    <w:rPr>
      <w:sz w:val="24"/>
      <w:szCs w:val="24"/>
    </w:rPr>
  </w:style>
  <w:style w:type="paragraph" w:customStyle="1" w:styleId="a4">
    <w:name w:val="附錄"/>
    <w:basedOn w:val="a6"/>
    <w:qFormat/>
    <w:rsid w:val="00F709B1"/>
    <w:pPr>
      <w:keepNext/>
      <w:numPr>
        <w:numId w:val="6"/>
      </w:numPr>
      <w:outlineLvl w:val="0"/>
    </w:pPr>
    <w:rPr>
      <w:kern w:val="32"/>
    </w:rPr>
  </w:style>
  <w:style w:type="paragraph" w:styleId="afc">
    <w:name w:val="List Paragraph"/>
    <w:basedOn w:val="a6"/>
    <w:uiPriority w:val="34"/>
    <w:qFormat/>
    <w:rsid w:val="00F709B1"/>
    <w:pPr>
      <w:ind w:leftChars="200" w:left="480"/>
    </w:pPr>
  </w:style>
  <w:style w:type="paragraph" w:styleId="afd">
    <w:name w:val="Balloon Text"/>
    <w:basedOn w:val="a6"/>
    <w:link w:val="afe"/>
    <w:uiPriority w:val="99"/>
    <w:semiHidden/>
    <w:unhideWhenUsed/>
    <w:rsid w:val="00F709B1"/>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F709B1"/>
    <w:rPr>
      <w:rFonts w:asciiTheme="majorHAnsi" w:eastAsiaTheme="majorEastAsia" w:hAnsiTheme="majorHAnsi" w:cstheme="majorBidi"/>
      <w:sz w:val="18"/>
      <w:szCs w:val="18"/>
    </w:rPr>
  </w:style>
  <w:style w:type="paragraph" w:customStyle="1" w:styleId="a5">
    <w:name w:val="照片標題"/>
    <w:qFormat/>
    <w:rsid w:val="00F709B1"/>
    <w:pPr>
      <w:numPr>
        <w:numId w:val="7"/>
      </w:numPr>
      <w:adjustRightInd w:val="0"/>
      <w:snapToGrid w:val="0"/>
      <w:spacing w:before="40" w:after="240"/>
      <w:jc w:val="both"/>
    </w:pPr>
    <w:rPr>
      <w:rFonts w:ascii="標楷體" w:eastAsia="標楷體" w:hAnsi="華康楷書體W5(P)" w:cs="Times New Roman"/>
      <w:bCs/>
      <w:spacing w:val="-10"/>
      <w:kern w:val="28"/>
      <w:sz w:val="28"/>
      <w:szCs w:val="28"/>
    </w:rPr>
  </w:style>
  <w:style w:type="paragraph" w:customStyle="1" w:styleId="a2">
    <w:name w:val="附件樣式"/>
    <w:basedOn w:val="a6"/>
    <w:qFormat/>
    <w:rsid w:val="00F709B1"/>
    <w:pPr>
      <w:keepNext/>
      <w:numPr>
        <w:numId w:val="3"/>
      </w:numPr>
      <w:outlineLvl w:val="0"/>
    </w:pPr>
    <w:rPr>
      <w:kern w:val="32"/>
    </w:rPr>
  </w:style>
  <w:style w:type="paragraph" w:customStyle="1" w:styleId="92">
    <w:name w:val="段落樣式9"/>
    <w:basedOn w:val="82"/>
    <w:qFormat/>
    <w:rsid w:val="00F709B1"/>
    <w:pPr>
      <w:ind w:leftChars="1000" w:left="1000"/>
    </w:pPr>
  </w:style>
  <w:style w:type="paragraph" w:styleId="aff">
    <w:name w:val="Plain Text"/>
    <w:basedOn w:val="a6"/>
    <w:link w:val="aff0"/>
    <w:uiPriority w:val="99"/>
    <w:semiHidden/>
    <w:unhideWhenUsed/>
    <w:rsid w:val="00F709B1"/>
    <w:pPr>
      <w:overflowPunct/>
      <w:autoSpaceDE/>
      <w:autoSpaceDN/>
      <w:jc w:val="left"/>
    </w:pPr>
    <w:rPr>
      <w:rFonts w:ascii="Calibri" w:hAnsi="Courier New" w:cs="Courier New"/>
      <w:color w:val="1F4E79" w:themeColor="accent1" w:themeShade="80"/>
      <w:kern w:val="0"/>
      <w:sz w:val="28"/>
      <w:szCs w:val="24"/>
    </w:rPr>
  </w:style>
  <w:style w:type="character" w:customStyle="1" w:styleId="aff0">
    <w:name w:val="純文字 字元"/>
    <w:basedOn w:val="a7"/>
    <w:link w:val="aff"/>
    <w:uiPriority w:val="99"/>
    <w:semiHidden/>
    <w:rsid w:val="00F709B1"/>
    <w:rPr>
      <w:rFonts w:ascii="Calibri" w:eastAsia="標楷體" w:hAnsi="Courier New" w:cs="Courier New"/>
      <w:color w:val="1F4E79" w:themeColor="accent1" w:themeShade="80"/>
      <w:kern w:val="0"/>
      <w:sz w:val="28"/>
      <w:szCs w:val="24"/>
    </w:rPr>
  </w:style>
  <w:style w:type="paragraph" w:customStyle="1" w:styleId="aff1">
    <w:name w:val="分項段落"/>
    <w:basedOn w:val="a6"/>
    <w:rsid w:val="00F709B1"/>
    <w:pPr>
      <w:overflowPunct/>
      <w:autoSpaceDE/>
      <w:autoSpaceDN/>
      <w:jc w:val="left"/>
    </w:pPr>
    <w:rPr>
      <w:rFonts w:ascii="Times New Roman" w:eastAsia="新細明體"/>
      <w:sz w:val="24"/>
    </w:rPr>
  </w:style>
  <w:style w:type="paragraph" w:styleId="HTML">
    <w:name w:val="HTML Preformatted"/>
    <w:basedOn w:val="a6"/>
    <w:link w:val="HTML0"/>
    <w:uiPriority w:val="99"/>
    <w:rsid w:val="00F709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Courier New" w:cs="Courier New"/>
      <w:kern w:val="0"/>
      <w:sz w:val="20"/>
    </w:rPr>
  </w:style>
  <w:style w:type="character" w:customStyle="1" w:styleId="HTML0">
    <w:name w:val="HTML 預設格式 字元"/>
    <w:basedOn w:val="a7"/>
    <w:link w:val="HTML"/>
    <w:uiPriority w:val="99"/>
    <w:rsid w:val="00F709B1"/>
    <w:rPr>
      <w:rFonts w:ascii="細明體" w:eastAsia="細明體" w:hAnsi="Courier New" w:cs="Courier New"/>
      <w:kern w:val="0"/>
      <w:sz w:val="20"/>
      <w:szCs w:val="20"/>
    </w:rPr>
  </w:style>
  <w:style w:type="paragraph" w:customStyle="1" w:styleId="13">
    <w:name w:val="清單段落1"/>
    <w:basedOn w:val="a6"/>
    <w:rsid w:val="00F709B1"/>
    <w:pPr>
      <w:overflowPunct/>
      <w:autoSpaceDE/>
      <w:autoSpaceDN/>
      <w:ind w:leftChars="200" w:left="480"/>
      <w:jc w:val="left"/>
    </w:pPr>
    <w:rPr>
      <w:rFonts w:ascii="Calibri" w:eastAsia="新細明體" w:hAnsi="Calibri"/>
      <w:sz w:val="24"/>
      <w:szCs w:val="22"/>
    </w:rPr>
  </w:style>
  <w:style w:type="character" w:customStyle="1" w:styleId="highlight1">
    <w:name w:val="highlight1"/>
    <w:basedOn w:val="a7"/>
    <w:rsid w:val="00F709B1"/>
    <w:rPr>
      <w:color w:val="FF0000"/>
    </w:rPr>
  </w:style>
  <w:style w:type="paragraph" w:styleId="aff2">
    <w:name w:val="footnote text"/>
    <w:basedOn w:val="a6"/>
    <w:link w:val="aff3"/>
    <w:uiPriority w:val="99"/>
    <w:semiHidden/>
    <w:unhideWhenUsed/>
    <w:rsid w:val="00F709B1"/>
    <w:pPr>
      <w:snapToGrid w:val="0"/>
      <w:jc w:val="left"/>
    </w:pPr>
    <w:rPr>
      <w:sz w:val="20"/>
    </w:rPr>
  </w:style>
  <w:style w:type="character" w:customStyle="1" w:styleId="aff3">
    <w:name w:val="註腳文字 字元"/>
    <w:basedOn w:val="a7"/>
    <w:link w:val="aff2"/>
    <w:uiPriority w:val="99"/>
    <w:semiHidden/>
    <w:rsid w:val="00F709B1"/>
    <w:rPr>
      <w:rFonts w:ascii="標楷體" w:eastAsia="標楷體" w:hAnsi="Times New Roman" w:cs="Times New Roman"/>
      <w:sz w:val="20"/>
      <w:szCs w:val="20"/>
    </w:rPr>
  </w:style>
  <w:style w:type="character" w:styleId="aff4">
    <w:name w:val="footnote reference"/>
    <w:basedOn w:val="a7"/>
    <w:uiPriority w:val="99"/>
    <w:semiHidden/>
    <w:unhideWhenUsed/>
    <w:rsid w:val="00F709B1"/>
    <w:rPr>
      <w:vertAlign w:val="superscript"/>
    </w:rPr>
  </w:style>
  <w:style w:type="character" w:customStyle="1" w:styleId="summary1">
    <w:name w:val="summary1"/>
    <w:basedOn w:val="a7"/>
    <w:rsid w:val="00F709B1"/>
    <w:rPr>
      <w:color w:val="444444"/>
    </w:rPr>
  </w:style>
  <w:style w:type="character" w:customStyle="1" w:styleId="highlight">
    <w:name w:val="highlight"/>
    <w:basedOn w:val="a7"/>
    <w:rsid w:val="00F709B1"/>
  </w:style>
  <w:style w:type="character" w:styleId="aff5">
    <w:name w:val="Emphasis"/>
    <w:basedOn w:val="a7"/>
    <w:uiPriority w:val="20"/>
    <w:qFormat/>
    <w:rsid w:val="00F709B1"/>
    <w:rPr>
      <w:b w:val="0"/>
      <w:bCs w:val="0"/>
      <w:i w:val="0"/>
      <w:iCs w:val="0"/>
      <w:color w:val="DD4B39"/>
    </w:rPr>
  </w:style>
  <w:style w:type="character" w:customStyle="1" w:styleId="st1">
    <w:name w:val="st1"/>
    <w:basedOn w:val="a7"/>
    <w:rsid w:val="00F709B1"/>
  </w:style>
  <w:style w:type="character" w:styleId="aff6">
    <w:name w:val="FollowedHyperlink"/>
    <w:basedOn w:val="a7"/>
    <w:uiPriority w:val="99"/>
    <w:semiHidden/>
    <w:unhideWhenUsed/>
    <w:rsid w:val="00F70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judicial.gov.tw/FJUD/defaul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3AB7-3831-414C-B613-876A3B09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2587</Words>
  <Characters>14752</Characters>
  <Application>Microsoft Office Word</Application>
  <DocSecurity>0</DocSecurity>
  <Lines>122</Lines>
  <Paragraphs>34</Paragraphs>
  <ScaleCrop>false</ScaleCrop>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楊華璇</dc:creator>
  <cp:keywords/>
  <dc:description/>
  <cp:lastModifiedBy>楊華璇</cp:lastModifiedBy>
  <cp:revision>3</cp:revision>
  <dcterms:created xsi:type="dcterms:W3CDTF">2020-07-31T08:17:00Z</dcterms:created>
  <dcterms:modified xsi:type="dcterms:W3CDTF">2020-07-31T08:19:00Z</dcterms:modified>
</cp:coreProperties>
</file>