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F00705" w:rsidRDefault="00D75644" w:rsidP="00F37D7B">
      <w:pPr>
        <w:pStyle w:val="af2"/>
      </w:pPr>
      <w:bookmarkStart w:id="0" w:name="_GoBack"/>
      <w:r w:rsidRPr="00F00705">
        <w:rPr>
          <w:rFonts w:hint="eastAsia"/>
        </w:rPr>
        <w:t>調查報告</w:t>
      </w:r>
    </w:p>
    <w:p w:rsidR="00F00705" w:rsidRPr="00F00705" w:rsidRDefault="00E25849" w:rsidP="00D0786B">
      <w:pPr>
        <w:pStyle w:val="1"/>
        <w:ind w:left="2380" w:hanging="2380"/>
      </w:pPr>
      <w:bookmarkStart w:id="1" w:name="_Toc524892368"/>
      <w:bookmarkStart w:id="2" w:name="_Toc524895638"/>
      <w:bookmarkStart w:id="3" w:name="_Toc524896184"/>
      <w:bookmarkStart w:id="4" w:name="_Toc524896214"/>
      <w:bookmarkStart w:id="5" w:name="_Toc524902720"/>
      <w:bookmarkStart w:id="6" w:name="_Toc525066139"/>
      <w:bookmarkStart w:id="7" w:name="_Toc525070829"/>
      <w:bookmarkStart w:id="8" w:name="_Toc525938369"/>
      <w:bookmarkStart w:id="9" w:name="_Toc525939217"/>
      <w:bookmarkStart w:id="10" w:name="_Toc525939722"/>
      <w:bookmarkStart w:id="11" w:name="_Toc422834150"/>
      <w:bookmarkStart w:id="12" w:name="_Toc421794865"/>
      <w:bookmarkStart w:id="13" w:name="_Toc529218256"/>
      <w:bookmarkStart w:id="14" w:name="_Toc529222679"/>
      <w:bookmarkStart w:id="15" w:name="_Toc529223101"/>
      <w:bookmarkStart w:id="16" w:name="_Toc529223852"/>
      <w:bookmarkStart w:id="17" w:name="_Toc529228248"/>
      <w:bookmarkStart w:id="18" w:name="_Toc2400384"/>
      <w:bookmarkStart w:id="19" w:name="_Toc4316179"/>
      <w:bookmarkStart w:id="20" w:name="_Toc4473320"/>
      <w:bookmarkStart w:id="21" w:name="_Toc69556887"/>
      <w:bookmarkStart w:id="22" w:name="_Toc69556936"/>
      <w:bookmarkStart w:id="23" w:name="_Toc69609810"/>
      <w:bookmarkStart w:id="24" w:name="_Toc70241806"/>
      <w:bookmarkStart w:id="25" w:name="_Toc70242195"/>
      <w:r w:rsidRPr="00F00705">
        <w:rPr>
          <w:rFonts w:hint="eastAsia"/>
        </w:rPr>
        <w:t>案　　由：</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r w:rsidR="004A3826" w:rsidRPr="00F00705">
        <w:rPr>
          <w:rFonts w:hint="eastAsia"/>
        </w:rPr>
        <w:t>據訴</w:t>
      </w:r>
      <w:r w:rsidR="004A3826" w:rsidRPr="00F00705">
        <w:rPr>
          <w:rFonts w:ascii="新細明體" w:eastAsia="新細明體" w:hAnsi="新細明體" w:hint="eastAsia"/>
        </w:rPr>
        <w:t>，</w:t>
      </w:r>
      <w:r w:rsidR="00CE1750" w:rsidRPr="00F00705">
        <w:fldChar w:fldCharType="begin"/>
      </w:r>
      <w:r w:rsidR="00CE1750" w:rsidRPr="00F00705">
        <w:instrText xml:space="preserve"> MERGEFIELD </w:instrText>
      </w:r>
      <w:r w:rsidR="00CE1750" w:rsidRPr="00F00705">
        <w:rPr>
          <w:rFonts w:hint="eastAsia"/>
        </w:rPr>
        <w:instrText>案由</w:instrText>
      </w:r>
      <w:r w:rsidR="00CE1750" w:rsidRPr="00F00705">
        <w:instrText xml:space="preserve"> </w:instrText>
      </w:r>
      <w:r w:rsidR="00CE1750" w:rsidRPr="00F00705">
        <w:fldChar w:fldCharType="separate"/>
      </w:r>
      <w:r w:rsidR="00CE1750" w:rsidRPr="00F00705">
        <w:rPr>
          <w:rFonts w:hint="eastAsia"/>
          <w:noProof/>
        </w:rPr>
        <w:t>臺灣存託憑證</w:t>
      </w:r>
      <w:r w:rsidR="004A3826" w:rsidRPr="00F00705">
        <w:rPr>
          <w:rFonts w:hint="eastAsia"/>
          <w:noProof/>
        </w:rPr>
        <w:t>係</w:t>
      </w:r>
      <w:r w:rsidR="00CE1750" w:rsidRPr="00F00705">
        <w:rPr>
          <w:rFonts w:hint="eastAsia"/>
          <w:noProof/>
        </w:rPr>
        <w:t>於民國101</w:t>
      </w:r>
      <w:r w:rsidR="004A3826" w:rsidRPr="00F00705">
        <w:rPr>
          <w:rFonts w:hint="eastAsia"/>
          <w:noProof/>
        </w:rPr>
        <w:t>年證券交易法修法</w:t>
      </w:r>
      <w:r w:rsidR="00CE1750" w:rsidRPr="00F00705">
        <w:rPr>
          <w:rFonts w:hint="eastAsia"/>
          <w:noProof/>
        </w:rPr>
        <w:t>納管，</w:t>
      </w:r>
      <w:r w:rsidR="004A3826" w:rsidRPr="00F00705">
        <w:rPr>
          <w:rFonts w:hint="eastAsia"/>
          <w:noProof/>
        </w:rPr>
        <w:t>渠等所涉</w:t>
      </w:r>
      <w:r w:rsidR="00CE1750" w:rsidRPr="00F00705">
        <w:rPr>
          <w:rFonts w:hint="eastAsia"/>
          <w:noProof/>
        </w:rPr>
        <w:t>案件均在修法之前，因而若無吸金等違反銀行法之行為，依罪刑法定原則，</w:t>
      </w:r>
      <w:r w:rsidR="00641AC6" w:rsidRPr="00F00705">
        <w:rPr>
          <w:rFonts w:hint="eastAsia"/>
          <w:noProof/>
        </w:rPr>
        <w:t>似</w:t>
      </w:r>
      <w:r w:rsidR="00CE1750" w:rsidRPr="00F00705">
        <w:rPr>
          <w:rFonts w:hint="eastAsia"/>
          <w:noProof/>
        </w:rPr>
        <w:t>無犯罪之虞</w:t>
      </w:r>
      <w:r w:rsidR="004A3826" w:rsidRPr="00F00705">
        <w:rPr>
          <w:rFonts w:ascii="新細明體" w:eastAsia="新細明體" w:hAnsi="新細明體" w:hint="eastAsia"/>
          <w:noProof/>
        </w:rPr>
        <w:t>，</w:t>
      </w:r>
      <w:r w:rsidR="00CE1750" w:rsidRPr="00F00705">
        <w:rPr>
          <w:rFonts w:hint="eastAsia"/>
          <w:noProof/>
        </w:rPr>
        <w:t>然經</w:t>
      </w:r>
      <w:r w:rsidR="004A3826" w:rsidRPr="00F00705">
        <w:rPr>
          <w:rFonts w:hint="eastAsia"/>
          <w:noProof/>
        </w:rPr>
        <w:t>法院</w:t>
      </w:r>
      <w:r w:rsidR="00CE1750" w:rsidRPr="00F00705">
        <w:rPr>
          <w:rFonts w:hint="eastAsia"/>
          <w:noProof/>
        </w:rPr>
        <w:t>依財政部76</w:t>
      </w:r>
      <w:r w:rsidR="004A3826" w:rsidRPr="00F00705">
        <w:rPr>
          <w:rFonts w:hint="eastAsia"/>
          <w:noProof/>
        </w:rPr>
        <w:t>年之函釋認定違法，</w:t>
      </w:r>
      <w:r w:rsidR="00CE1750" w:rsidRPr="00F00705">
        <w:rPr>
          <w:rFonts w:hint="eastAsia"/>
          <w:noProof/>
        </w:rPr>
        <w:t>而</w:t>
      </w:r>
      <w:r w:rsidR="004A3826" w:rsidRPr="00F00705">
        <w:rPr>
          <w:rFonts w:hint="eastAsia"/>
          <w:noProof/>
        </w:rPr>
        <w:t>遭</w:t>
      </w:r>
      <w:r w:rsidR="00CE1750" w:rsidRPr="00F00705">
        <w:rPr>
          <w:rFonts w:hint="eastAsia"/>
          <w:noProof/>
        </w:rPr>
        <w:t>判刑確定，</w:t>
      </w:r>
      <w:r w:rsidR="004A3826" w:rsidRPr="00F00705">
        <w:rPr>
          <w:rFonts w:hint="eastAsia"/>
          <w:noProof/>
        </w:rPr>
        <w:t>又</w:t>
      </w:r>
      <w:r w:rsidR="00CE1750" w:rsidRPr="00F00705">
        <w:rPr>
          <w:rFonts w:hint="eastAsia"/>
          <w:noProof/>
        </w:rPr>
        <w:t>TDR修法前是否違法</w:t>
      </w:r>
      <w:r w:rsidR="004A3826" w:rsidRPr="00F00705">
        <w:rPr>
          <w:rFonts w:ascii="新細明體" w:eastAsia="新細明體" w:hAnsi="新細明體" w:hint="eastAsia"/>
          <w:noProof/>
        </w:rPr>
        <w:t>，</w:t>
      </w:r>
      <w:r w:rsidR="004A3826" w:rsidRPr="00F00705">
        <w:rPr>
          <w:rFonts w:hint="eastAsia"/>
          <w:noProof/>
        </w:rPr>
        <w:t>業經法官聲請大法官</w:t>
      </w:r>
      <w:r w:rsidR="00CE1750" w:rsidRPr="00F00705">
        <w:rPr>
          <w:rFonts w:hint="eastAsia"/>
          <w:noProof/>
        </w:rPr>
        <w:t>解釋</w:t>
      </w:r>
      <w:r w:rsidR="004A3826" w:rsidRPr="00F00705">
        <w:rPr>
          <w:rFonts w:hint="eastAsia"/>
          <w:noProof/>
        </w:rPr>
        <w:t>並宣告系爭規定違憲等情</w:t>
      </w:r>
      <w:r w:rsidR="00CE1750" w:rsidRPr="00F00705">
        <w:rPr>
          <w:rFonts w:hint="eastAsia"/>
          <w:noProof/>
        </w:rPr>
        <w:t>案。</w:t>
      </w:r>
      <w:r w:rsidR="00CE1750" w:rsidRPr="00F00705">
        <w:fldChar w:fldCharType="end"/>
      </w:r>
      <w:bookmarkStart w:id="26" w:name="_Toc524895641"/>
      <w:bookmarkStart w:id="27" w:name="_Toc524896187"/>
      <w:bookmarkStart w:id="28" w:name="_Toc524896217"/>
      <w:bookmarkStart w:id="29" w:name="_Toc525066142"/>
      <w:bookmarkStart w:id="30" w:name="_Toc4316182"/>
      <w:bookmarkStart w:id="31" w:name="_Toc4473323"/>
      <w:bookmarkStart w:id="32" w:name="_Toc69556890"/>
      <w:bookmarkStart w:id="33" w:name="_Toc69556939"/>
      <w:bookmarkStart w:id="34" w:name="_Toc69609813"/>
      <w:bookmarkStart w:id="35" w:name="_Toc70241809"/>
      <w:bookmarkStart w:id="36" w:name="_Toc524895646"/>
      <w:bookmarkStart w:id="37" w:name="_Toc524896192"/>
      <w:bookmarkStart w:id="38" w:name="_Toc524896222"/>
      <w:bookmarkStart w:id="39" w:name="_Toc524902729"/>
      <w:bookmarkStart w:id="40" w:name="_Toc525066145"/>
      <w:bookmarkStart w:id="41" w:name="_Toc525070836"/>
      <w:bookmarkStart w:id="42" w:name="_Toc525938376"/>
      <w:bookmarkStart w:id="43" w:name="_Toc525939224"/>
      <w:bookmarkStart w:id="44" w:name="_Toc525939729"/>
      <w:bookmarkStart w:id="45" w:name="_Toc529218269"/>
      <w:bookmarkStart w:id="46" w:name="_Toc529222686"/>
      <w:bookmarkStart w:id="47" w:name="_Toc529223108"/>
      <w:bookmarkStart w:id="48" w:name="_Toc529223859"/>
      <w:bookmarkStart w:id="49" w:name="_Toc529228262"/>
      <w:bookmarkStart w:id="50" w:name="_Toc2400392"/>
      <w:bookmarkStart w:id="51" w:name="_Toc4316186"/>
      <w:bookmarkStart w:id="52" w:name="_Toc4473327"/>
      <w:bookmarkStart w:id="53" w:name="_Toc69556894"/>
      <w:bookmarkStart w:id="54" w:name="_Toc69556943"/>
      <w:bookmarkStart w:id="55" w:name="_Toc69609817"/>
      <w:bookmarkStart w:id="56" w:name="_Toc70241813"/>
      <w:bookmarkStart w:id="57" w:name="_Toc70242202"/>
      <w:bookmarkStart w:id="58" w:name="_Toc421794872"/>
      <w:bookmarkStart w:id="59" w:name="_Toc422834157"/>
      <w:bookmarkEnd w:id="26"/>
      <w:bookmarkEnd w:id="27"/>
      <w:bookmarkEnd w:id="28"/>
      <w:bookmarkEnd w:id="29"/>
      <w:bookmarkEnd w:id="30"/>
      <w:bookmarkEnd w:id="31"/>
      <w:bookmarkEnd w:id="32"/>
      <w:bookmarkEnd w:id="33"/>
      <w:bookmarkEnd w:id="34"/>
      <w:bookmarkEnd w:id="35"/>
    </w:p>
    <w:p w:rsidR="00E25849" w:rsidRPr="00F00705" w:rsidRDefault="00E649A6" w:rsidP="00D0786B">
      <w:pPr>
        <w:pStyle w:val="1"/>
        <w:ind w:left="2380" w:hanging="2380"/>
      </w:pPr>
      <w:r w:rsidRPr="00F00705">
        <w:rPr>
          <w:rFonts w:hint="eastAsia"/>
        </w:rPr>
        <w:t>調查意見：</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p>
    <w:p w:rsidR="004F6710" w:rsidRPr="00F00705" w:rsidRDefault="0083533E" w:rsidP="00A639F4">
      <w:pPr>
        <w:pStyle w:val="10"/>
        <w:ind w:left="680" w:firstLine="680"/>
        <w:rPr>
          <w:rFonts w:hAnsi="標楷體"/>
        </w:rPr>
      </w:pPr>
      <w:bookmarkStart w:id="60" w:name="_Toc524902730"/>
      <w:r w:rsidRPr="00F00705">
        <w:rPr>
          <w:rFonts w:hint="eastAsia"/>
        </w:rPr>
        <w:t>本案緣於民眾陳訴：渠等於民國（下同）9</w:t>
      </w:r>
      <w:r w:rsidRPr="00F00705">
        <w:t>6</w:t>
      </w:r>
      <w:r w:rsidRPr="00F00705">
        <w:rPr>
          <w:rFonts w:hint="eastAsia"/>
        </w:rPr>
        <w:t>至</w:t>
      </w:r>
      <w:r w:rsidR="00185331" w:rsidRPr="00F00705">
        <w:rPr>
          <w:rFonts w:hint="eastAsia"/>
        </w:rPr>
        <w:t>1</w:t>
      </w:r>
      <w:r w:rsidR="00185331" w:rsidRPr="00F00705">
        <w:t>00</w:t>
      </w:r>
      <w:r w:rsidRPr="00F00705">
        <w:rPr>
          <w:rFonts w:hint="eastAsia"/>
        </w:rPr>
        <w:t>年間因被訴操控臺灣存託憑證（T</w:t>
      </w:r>
      <w:r w:rsidRPr="00F00705">
        <w:t>aiwan Depositary Receipts</w:t>
      </w:r>
      <w:r w:rsidRPr="00F00705">
        <w:rPr>
          <w:rFonts w:hint="eastAsia"/>
        </w:rPr>
        <w:t>；下稱T</w:t>
      </w:r>
      <w:r w:rsidRPr="00F00705">
        <w:t>DR</w:t>
      </w:r>
      <w:r w:rsidRPr="00F00705">
        <w:rPr>
          <w:rFonts w:hint="eastAsia"/>
        </w:rPr>
        <w:t>）罪嫌起訴，經法院判決認定TDR屬證券交易法（下稱證交法）第6條第1項後段經主管機關核定之有價證券，而依違反</w:t>
      </w:r>
      <w:r w:rsidRPr="00F00705">
        <w:t>證交法</w:t>
      </w:r>
      <w:r w:rsidRPr="00F00705">
        <w:rPr>
          <w:rFonts w:hint="eastAsia"/>
        </w:rPr>
        <w:t>第15</w:t>
      </w:r>
      <w:r w:rsidRPr="00F00705">
        <w:t>5</w:t>
      </w:r>
      <w:r w:rsidRPr="00F00705">
        <w:rPr>
          <w:rFonts w:hint="eastAsia"/>
        </w:rPr>
        <w:t>條第1項第4款、第5款之規定，判處有期徒刑參年肆月、壹年捌月確定</w:t>
      </w:r>
      <w:r w:rsidR="00D108F7" w:rsidRPr="00F00705">
        <w:rPr>
          <w:rStyle w:val="aff"/>
        </w:rPr>
        <w:footnoteReference w:id="1"/>
      </w:r>
      <w:r w:rsidRPr="00F00705">
        <w:rPr>
          <w:rFonts w:hint="eastAsia"/>
        </w:rPr>
        <w:t>，惟TDR於上開行為時，並非當時證交法第6條所涵蓋之有價證券，涉有冤抑等情。</w:t>
      </w:r>
      <w:r w:rsidR="00B05BE8" w:rsidRPr="00F00705">
        <w:rPr>
          <w:rFonts w:hint="eastAsia"/>
        </w:rPr>
        <w:t>本院先前即曾就相類爭議案件</w:t>
      </w:r>
      <w:r w:rsidR="00D06C65" w:rsidRPr="00F00705">
        <w:rPr>
          <w:rFonts w:hint="eastAsia"/>
        </w:rPr>
        <w:t>立案</w:t>
      </w:r>
      <w:r w:rsidR="00B05BE8" w:rsidRPr="00F00705">
        <w:rPr>
          <w:rFonts w:hAnsi="標楷體" w:hint="eastAsia"/>
        </w:rPr>
        <w:t>調查</w:t>
      </w:r>
      <w:r w:rsidR="00D06C65" w:rsidRPr="00F00705">
        <w:rPr>
          <w:rFonts w:hAnsi="標楷體" w:hint="eastAsia"/>
        </w:rPr>
        <w:t>有</w:t>
      </w:r>
      <w:r w:rsidR="00B05BE8" w:rsidRPr="00F00705">
        <w:rPr>
          <w:rFonts w:hAnsi="標楷體" w:hint="eastAsia"/>
        </w:rPr>
        <w:t>案</w:t>
      </w:r>
      <w:r w:rsidR="00B05BE8" w:rsidRPr="00F00705">
        <w:rPr>
          <w:rStyle w:val="aff"/>
          <w:rFonts w:hAnsi="標楷體"/>
        </w:rPr>
        <w:footnoteReference w:id="2"/>
      </w:r>
      <w:r w:rsidR="00D06C65" w:rsidRPr="00F00705">
        <w:rPr>
          <w:rFonts w:hAnsi="標楷體" w:hint="eastAsia"/>
        </w:rPr>
        <w:t>，本案因</w:t>
      </w:r>
      <w:r w:rsidR="002300E6" w:rsidRPr="00F00705">
        <w:rPr>
          <w:rFonts w:hAnsi="標楷體" w:hint="eastAsia"/>
        </w:rPr>
        <w:t>所訴內容，涉及證交法相關法令規定是否有欠周延，為瞭解相關實情，</w:t>
      </w:r>
      <w:r w:rsidR="00D06C65" w:rsidRPr="00F00705">
        <w:rPr>
          <w:rFonts w:hAnsi="標楷體" w:hint="eastAsia"/>
        </w:rPr>
        <w:t>再</w:t>
      </w:r>
      <w:r w:rsidR="002300E6" w:rsidRPr="00F00705">
        <w:rPr>
          <w:rFonts w:hAnsi="標楷體" w:hint="eastAsia"/>
        </w:rPr>
        <w:t>經本院詳閱相關法院判決，深入研析各方學說見解，調閱臺灣臺北地</w:t>
      </w:r>
      <w:r w:rsidR="00CE2C51" w:rsidRPr="00F00705">
        <w:rPr>
          <w:rFonts w:hAnsi="標楷體" w:hint="eastAsia"/>
        </w:rPr>
        <w:t>方法</w:t>
      </w:r>
      <w:r w:rsidR="002300E6" w:rsidRPr="00F00705">
        <w:rPr>
          <w:rFonts w:hAnsi="標楷體" w:hint="eastAsia"/>
        </w:rPr>
        <w:t>院</w:t>
      </w:r>
      <w:r w:rsidR="00CE2C51" w:rsidRPr="00F00705">
        <w:rPr>
          <w:rFonts w:hAnsi="標楷體" w:hint="eastAsia"/>
        </w:rPr>
        <w:t>（下稱臺北地院）</w:t>
      </w:r>
      <w:r w:rsidR="002300E6" w:rsidRPr="00F00705">
        <w:rPr>
          <w:rFonts w:hAnsi="標楷體" w:hint="eastAsia"/>
        </w:rPr>
        <w:t>法官釋憲聲請案資料，並就相關爭點函詢金融監督管理委員會（下稱金管會），</w:t>
      </w:r>
      <w:r w:rsidR="00FB501B" w:rsidRPr="00F00705">
        <w:rPr>
          <w:rFonts w:hAnsi="標楷體" w:hint="eastAsia"/>
        </w:rPr>
        <w:t>已調查竣</w:t>
      </w:r>
      <w:r w:rsidR="00307A76" w:rsidRPr="00F00705">
        <w:rPr>
          <w:rFonts w:hAnsi="標楷體" w:hint="eastAsia"/>
        </w:rPr>
        <w:t>事</w:t>
      </w:r>
      <w:r w:rsidR="00FB501B" w:rsidRPr="00F00705">
        <w:rPr>
          <w:rFonts w:hAnsi="標楷體" w:hint="eastAsia"/>
        </w:rPr>
        <w:t>，</w:t>
      </w:r>
      <w:r w:rsidR="00307A76" w:rsidRPr="00F00705">
        <w:rPr>
          <w:rFonts w:hAnsi="標楷體" w:hint="eastAsia"/>
        </w:rPr>
        <w:t>茲臚</w:t>
      </w:r>
      <w:r w:rsidR="00FB501B" w:rsidRPr="00F00705">
        <w:rPr>
          <w:rFonts w:hAnsi="標楷體" w:hint="eastAsia"/>
        </w:rPr>
        <w:t>列調查意見如下：</w:t>
      </w:r>
    </w:p>
    <w:p w:rsidR="00073CB5" w:rsidRPr="00F00705" w:rsidRDefault="00CD3E99" w:rsidP="00DE4238">
      <w:pPr>
        <w:pStyle w:val="2"/>
        <w:rPr>
          <w:rFonts w:hAnsi="標楷體"/>
          <w:b/>
        </w:rPr>
      </w:pPr>
      <w:r w:rsidRPr="00F00705">
        <w:rPr>
          <w:rFonts w:hAnsi="標楷體" w:hint="eastAsia"/>
          <w:b/>
        </w:rPr>
        <w:t>證交法第6條</w:t>
      </w:r>
      <w:r w:rsidR="00372B9B" w:rsidRPr="00F00705">
        <w:rPr>
          <w:rFonts w:hAnsi="標楷體" w:hint="eastAsia"/>
          <w:b/>
        </w:rPr>
        <w:t>之有價證券</w:t>
      </w:r>
      <w:r w:rsidR="004C7EB0" w:rsidRPr="00F00705">
        <w:rPr>
          <w:rFonts w:hAnsi="標楷體" w:hint="eastAsia"/>
          <w:b/>
        </w:rPr>
        <w:t>，</w:t>
      </w:r>
      <w:r w:rsidR="00926888" w:rsidRPr="00F00705">
        <w:rPr>
          <w:rFonts w:hAnsi="標楷體"/>
          <w:b/>
          <w:lang w:val="ja-JP"/>
        </w:rPr>
        <w:t>為</w:t>
      </w:r>
      <w:r w:rsidR="00926888" w:rsidRPr="00F00705">
        <w:rPr>
          <w:rFonts w:hAnsi="標楷體" w:hint="eastAsia"/>
          <w:b/>
          <w:lang w:val="ja-JP"/>
        </w:rPr>
        <w:t>該法</w:t>
      </w:r>
      <w:r w:rsidR="00926888" w:rsidRPr="00F00705">
        <w:rPr>
          <w:rFonts w:hAnsi="標楷體"/>
          <w:b/>
          <w:lang w:val="ja-JP"/>
        </w:rPr>
        <w:t>證券詐欺、操縱市場</w:t>
      </w:r>
      <w:r w:rsidR="003870AF" w:rsidRPr="00F00705">
        <w:rPr>
          <w:rFonts w:hAnsi="標楷體" w:hint="eastAsia"/>
          <w:b/>
          <w:lang w:val="ja-JP"/>
        </w:rPr>
        <w:t>、</w:t>
      </w:r>
      <w:r w:rsidR="003870AF" w:rsidRPr="00F00705">
        <w:rPr>
          <w:rFonts w:hAnsi="標楷體"/>
          <w:b/>
          <w:lang w:val="ja-JP"/>
        </w:rPr>
        <w:t>内線交易</w:t>
      </w:r>
      <w:r w:rsidR="00926888" w:rsidRPr="00F00705">
        <w:rPr>
          <w:rFonts w:hAnsi="標楷體"/>
          <w:b/>
          <w:lang w:val="ja-JP"/>
        </w:rPr>
        <w:t>等刑事責任之構成要件，</w:t>
      </w:r>
      <w:r w:rsidR="00BF59F5" w:rsidRPr="00F00705">
        <w:rPr>
          <w:rFonts w:hAnsi="標楷體" w:hint="eastAsia"/>
          <w:b/>
          <w:lang w:val="ja-JP"/>
        </w:rPr>
        <w:t>涉及人身自由</w:t>
      </w:r>
      <w:r w:rsidR="00A91950" w:rsidRPr="00F00705">
        <w:rPr>
          <w:rFonts w:hAnsi="標楷體" w:hint="eastAsia"/>
          <w:b/>
          <w:lang w:val="ja-JP"/>
        </w:rPr>
        <w:lastRenderedPageBreak/>
        <w:t>限制</w:t>
      </w:r>
      <w:r w:rsidR="00BF59F5" w:rsidRPr="00F00705">
        <w:rPr>
          <w:rFonts w:hAnsi="標楷體" w:hint="eastAsia"/>
          <w:b/>
          <w:lang w:val="ja-JP"/>
        </w:rPr>
        <w:t>之嚴刑峻罰</w:t>
      </w:r>
      <w:r w:rsidR="00926888" w:rsidRPr="00F00705">
        <w:rPr>
          <w:rFonts w:hAnsi="標楷體"/>
          <w:b/>
          <w:lang w:val="ja-JP"/>
        </w:rPr>
        <w:t>，</w:t>
      </w:r>
      <w:r w:rsidR="004412A4" w:rsidRPr="00F00705">
        <w:rPr>
          <w:rFonts w:hAnsi="標楷體" w:hint="eastAsia"/>
          <w:b/>
          <w:lang w:val="ja-JP"/>
        </w:rPr>
        <w:t>該條第</w:t>
      </w:r>
      <w:r w:rsidR="004412A4" w:rsidRPr="00F00705">
        <w:rPr>
          <w:rFonts w:hAnsi="標楷體" w:hint="eastAsia"/>
          <w:b/>
        </w:rPr>
        <w:t>1項</w:t>
      </w:r>
      <w:r w:rsidR="002A60A2" w:rsidRPr="00F00705">
        <w:rPr>
          <w:rFonts w:hAnsi="標楷體" w:hint="eastAsia"/>
          <w:b/>
        </w:rPr>
        <w:t>後段</w:t>
      </w:r>
      <w:r w:rsidR="004412A4" w:rsidRPr="00F00705">
        <w:rPr>
          <w:rFonts w:hAnsi="標楷體" w:hint="eastAsia"/>
          <w:b/>
        </w:rPr>
        <w:t>「經主管機關核定之其他有價證券」，</w:t>
      </w:r>
      <w:r w:rsidR="00ED3C97" w:rsidRPr="00F00705">
        <w:rPr>
          <w:rFonts w:hAnsi="標楷體" w:hint="eastAsia"/>
          <w:b/>
        </w:rPr>
        <w:t>其</w:t>
      </w:r>
      <w:r w:rsidR="00926888" w:rsidRPr="00F00705">
        <w:rPr>
          <w:rFonts w:hAnsi="標楷體"/>
          <w:b/>
          <w:lang w:val="ja-JP"/>
        </w:rPr>
        <w:t>核定依據</w:t>
      </w:r>
      <w:r w:rsidR="004412A4" w:rsidRPr="00F00705">
        <w:rPr>
          <w:rFonts w:hAnsi="標楷體"/>
          <w:b/>
          <w:lang w:val="ja-JP"/>
        </w:rPr>
        <w:t>應</w:t>
      </w:r>
      <w:r w:rsidR="008D59B0" w:rsidRPr="00F00705">
        <w:rPr>
          <w:rFonts w:hAnsi="標楷體" w:hint="eastAsia"/>
          <w:b/>
          <w:lang w:val="ja-JP"/>
        </w:rPr>
        <w:t>力求</w:t>
      </w:r>
      <w:r w:rsidR="004412A4" w:rsidRPr="00F00705">
        <w:rPr>
          <w:rFonts w:hAnsi="標楷體"/>
          <w:b/>
          <w:lang w:val="ja-JP"/>
        </w:rPr>
        <w:t>具體明確</w:t>
      </w:r>
      <w:r w:rsidR="004412A4" w:rsidRPr="00F00705">
        <w:rPr>
          <w:rFonts w:hAnsi="標楷體" w:hint="eastAsia"/>
          <w:b/>
          <w:lang w:val="ja-JP"/>
        </w:rPr>
        <w:t>。</w:t>
      </w:r>
      <w:r w:rsidRPr="00F00705">
        <w:rPr>
          <w:rFonts w:hAnsi="標楷體" w:hint="eastAsia"/>
          <w:b/>
        </w:rPr>
        <w:t>金管會</w:t>
      </w:r>
      <w:r w:rsidR="0073439B" w:rsidRPr="00F00705">
        <w:rPr>
          <w:rFonts w:hAnsi="標楷體" w:hint="eastAsia"/>
          <w:b/>
        </w:rPr>
        <w:t>主張</w:t>
      </w:r>
      <w:r w:rsidRPr="00F00705">
        <w:rPr>
          <w:rFonts w:hAnsi="標楷體" w:hint="eastAsia"/>
          <w:b/>
        </w:rPr>
        <w:t>財政部76年9月12日（76）</w:t>
      </w:r>
      <w:r w:rsidR="005B31F4" w:rsidRPr="00F00705">
        <w:rPr>
          <w:rFonts w:hAnsi="標楷體" w:hint="eastAsia"/>
          <w:b/>
        </w:rPr>
        <w:t>台財</w:t>
      </w:r>
      <w:r w:rsidRPr="00F00705">
        <w:rPr>
          <w:rFonts w:hAnsi="標楷體" w:hint="eastAsia"/>
          <w:b/>
        </w:rPr>
        <w:t>證（二）字</w:t>
      </w:r>
      <w:r w:rsidR="008928C1" w:rsidRPr="00F00705">
        <w:rPr>
          <w:rFonts w:hAnsi="標楷體" w:hint="eastAsia"/>
          <w:b/>
        </w:rPr>
        <w:t>第900號公告</w:t>
      </w:r>
      <w:r w:rsidRPr="00F00705">
        <w:rPr>
          <w:rFonts w:hAnsi="標楷體" w:hint="eastAsia"/>
          <w:b/>
        </w:rPr>
        <w:t>為</w:t>
      </w:r>
      <w:r w:rsidR="00067A05" w:rsidRPr="00F00705">
        <w:rPr>
          <w:rFonts w:hAnsi="標楷體" w:hint="eastAsia"/>
          <w:b/>
        </w:rPr>
        <w:t>TDR</w:t>
      </w:r>
      <w:r w:rsidR="0090675A" w:rsidRPr="00F00705">
        <w:rPr>
          <w:rFonts w:hAnsi="標楷體" w:hint="eastAsia"/>
          <w:b/>
        </w:rPr>
        <w:t>業經主管機關行使核定權之依據</w:t>
      </w:r>
      <w:r w:rsidR="0090675A" w:rsidRPr="00F00705">
        <w:rPr>
          <w:rFonts w:ascii="新細明體" w:eastAsia="新細明體" w:hAnsi="新細明體" w:hint="eastAsia"/>
          <w:b/>
        </w:rPr>
        <w:t>，</w:t>
      </w:r>
      <w:r w:rsidR="00A85BAD" w:rsidRPr="00F00705">
        <w:rPr>
          <w:rFonts w:hAnsi="標楷體" w:hint="eastAsia"/>
          <w:b/>
        </w:rPr>
        <w:t>而有</w:t>
      </w:r>
      <w:r w:rsidR="00067A05" w:rsidRPr="00F00705">
        <w:rPr>
          <w:rFonts w:hAnsi="標楷體" w:hint="eastAsia"/>
          <w:b/>
        </w:rPr>
        <w:t>證交法</w:t>
      </w:r>
      <w:r w:rsidR="004A3610" w:rsidRPr="00F00705">
        <w:rPr>
          <w:rFonts w:hAnsi="標楷體" w:hint="eastAsia"/>
          <w:b/>
        </w:rPr>
        <w:t>第6條</w:t>
      </w:r>
      <w:r w:rsidR="00372B9B" w:rsidRPr="00F00705">
        <w:rPr>
          <w:rFonts w:hAnsi="標楷體" w:hint="eastAsia"/>
          <w:b/>
        </w:rPr>
        <w:t>第1項</w:t>
      </w:r>
      <w:r w:rsidR="00A85BAD" w:rsidRPr="00F00705">
        <w:rPr>
          <w:rFonts w:hAnsi="標楷體" w:hint="eastAsia"/>
          <w:b/>
        </w:rPr>
        <w:t>之適用</w:t>
      </w:r>
      <w:r w:rsidR="0073439B" w:rsidRPr="00F00705">
        <w:rPr>
          <w:rFonts w:hAnsi="標楷體" w:hint="eastAsia"/>
          <w:b/>
        </w:rPr>
        <w:t>。</w:t>
      </w:r>
      <w:r w:rsidR="000D5643" w:rsidRPr="00F00705">
        <w:rPr>
          <w:rFonts w:hAnsi="標楷體" w:hint="eastAsia"/>
          <w:b/>
        </w:rPr>
        <w:t>惟</w:t>
      </w:r>
      <w:r w:rsidR="00101E7D" w:rsidRPr="00F00705">
        <w:rPr>
          <w:rFonts w:hAnsi="標楷體" w:hint="eastAsia"/>
          <w:b/>
        </w:rPr>
        <w:t>查</w:t>
      </w:r>
      <w:r w:rsidR="008D6900" w:rsidRPr="00F00705">
        <w:rPr>
          <w:rFonts w:ascii="新細明體" w:eastAsia="新細明體" w:hAnsi="新細明體" w:hint="eastAsia"/>
          <w:b/>
        </w:rPr>
        <w:t>，</w:t>
      </w:r>
      <w:r w:rsidR="0090675A" w:rsidRPr="00F00705">
        <w:rPr>
          <w:rFonts w:hAnsi="標楷體" w:hint="eastAsia"/>
          <w:b/>
        </w:rPr>
        <w:t>上開</w:t>
      </w:r>
      <w:r w:rsidR="00350CDF" w:rsidRPr="00F00705">
        <w:rPr>
          <w:rFonts w:hAnsi="標楷體" w:hint="eastAsia"/>
          <w:b/>
        </w:rPr>
        <w:t>公告</w:t>
      </w:r>
      <w:r w:rsidR="008D6900" w:rsidRPr="00F00705">
        <w:rPr>
          <w:rFonts w:hAnsi="標楷體" w:hint="eastAsia"/>
          <w:b/>
        </w:rPr>
        <w:t>係以</w:t>
      </w:r>
      <w:r w:rsidR="004A3610" w:rsidRPr="00F00705">
        <w:rPr>
          <w:rFonts w:hAnsi="標楷體" w:hint="eastAsia"/>
          <w:b/>
        </w:rPr>
        <w:t>「外國……其他具有投資性質之有價證券」</w:t>
      </w:r>
      <w:r w:rsidR="008D6900" w:rsidRPr="00F00705">
        <w:rPr>
          <w:rFonts w:hAnsi="標楷體" w:hint="eastAsia"/>
          <w:b/>
        </w:rPr>
        <w:t>之</w:t>
      </w:r>
      <w:r w:rsidR="00200616" w:rsidRPr="00F00705">
        <w:rPr>
          <w:rFonts w:hAnsi="標楷體" w:hint="eastAsia"/>
          <w:b/>
        </w:rPr>
        <w:t>概括規定</w:t>
      </w:r>
      <w:r w:rsidR="008D6900" w:rsidRPr="00F00705">
        <w:rPr>
          <w:rFonts w:ascii="新細明體" w:eastAsia="新細明體" w:hAnsi="新細明體" w:hint="eastAsia"/>
          <w:b/>
        </w:rPr>
        <w:t>，</w:t>
      </w:r>
      <w:r w:rsidR="00200616" w:rsidRPr="00F00705">
        <w:rPr>
          <w:rFonts w:hAnsi="標楷體" w:hint="eastAsia"/>
          <w:b/>
        </w:rPr>
        <w:t>補充解釋</w:t>
      </w:r>
      <w:r w:rsidR="000D5643" w:rsidRPr="00F00705">
        <w:rPr>
          <w:rFonts w:hAnsi="標楷體" w:hint="eastAsia"/>
          <w:b/>
        </w:rPr>
        <w:t>證交法第6條</w:t>
      </w:r>
      <w:r w:rsidR="00372B9B" w:rsidRPr="00F00705">
        <w:rPr>
          <w:rFonts w:hAnsi="標楷體" w:hint="eastAsia"/>
          <w:b/>
        </w:rPr>
        <w:t>第1項</w:t>
      </w:r>
      <w:r w:rsidR="0047442B" w:rsidRPr="00F00705">
        <w:rPr>
          <w:rFonts w:hAnsi="標楷體" w:hint="eastAsia"/>
          <w:b/>
        </w:rPr>
        <w:t>後段之</w:t>
      </w:r>
      <w:r w:rsidR="00200616" w:rsidRPr="00F00705">
        <w:rPr>
          <w:rFonts w:hAnsi="標楷體" w:hint="eastAsia"/>
          <w:b/>
        </w:rPr>
        <w:t>概括</w:t>
      </w:r>
      <w:r w:rsidR="00A85BAD" w:rsidRPr="00F00705">
        <w:rPr>
          <w:rFonts w:hAnsi="標楷體" w:hint="eastAsia"/>
          <w:b/>
        </w:rPr>
        <w:t>核定</w:t>
      </w:r>
      <w:r w:rsidR="00A074EA" w:rsidRPr="00F00705">
        <w:rPr>
          <w:rFonts w:hAnsi="標楷體" w:hint="eastAsia"/>
          <w:b/>
        </w:rPr>
        <w:t>權</w:t>
      </w:r>
      <w:r w:rsidR="0073439B" w:rsidRPr="00F00705">
        <w:rPr>
          <w:rFonts w:hAnsi="標楷體" w:hint="eastAsia"/>
          <w:b/>
        </w:rPr>
        <w:t>，顯</w:t>
      </w:r>
      <w:r w:rsidR="00F11133" w:rsidRPr="00F00705">
        <w:rPr>
          <w:rFonts w:hAnsi="標楷體" w:hint="eastAsia"/>
          <w:b/>
        </w:rPr>
        <w:t>有</w:t>
      </w:r>
      <w:r w:rsidR="0073439B" w:rsidRPr="00F00705">
        <w:rPr>
          <w:rFonts w:hAnsi="標楷體" w:hint="eastAsia"/>
          <w:b/>
        </w:rPr>
        <w:t>循環論證</w:t>
      </w:r>
      <w:r w:rsidR="00F11133" w:rsidRPr="00F00705">
        <w:rPr>
          <w:rFonts w:hAnsi="標楷體" w:hint="eastAsia"/>
          <w:b/>
        </w:rPr>
        <w:t>問題</w:t>
      </w:r>
      <w:r w:rsidR="00200616" w:rsidRPr="00F00705">
        <w:rPr>
          <w:rFonts w:hAnsi="標楷體" w:hint="eastAsia"/>
          <w:b/>
        </w:rPr>
        <w:t>，</w:t>
      </w:r>
      <w:r w:rsidR="0073439B" w:rsidRPr="00F00705">
        <w:rPr>
          <w:rFonts w:hAnsi="標楷體" w:hint="eastAsia"/>
          <w:b/>
        </w:rPr>
        <w:t>有價證券之範圍恣意擴張，</w:t>
      </w:r>
      <w:r w:rsidR="0047442B" w:rsidRPr="00F00705">
        <w:rPr>
          <w:rFonts w:hAnsi="標楷體" w:hint="eastAsia"/>
          <w:b/>
        </w:rPr>
        <w:t>肇</w:t>
      </w:r>
      <w:r w:rsidR="004A06B5" w:rsidRPr="00F00705">
        <w:rPr>
          <w:rFonts w:hAnsi="標楷體" w:hint="eastAsia"/>
          <w:b/>
        </w:rPr>
        <w:t>生</w:t>
      </w:r>
      <w:r w:rsidR="00200616" w:rsidRPr="00F00705">
        <w:rPr>
          <w:rFonts w:hAnsi="標楷體" w:hint="eastAsia"/>
          <w:b/>
        </w:rPr>
        <w:t>TDR是否確經主管機關行使核定權</w:t>
      </w:r>
      <w:r w:rsidR="0047442B" w:rsidRPr="00F00705">
        <w:rPr>
          <w:rFonts w:hAnsi="標楷體" w:hint="eastAsia"/>
          <w:b/>
        </w:rPr>
        <w:t>的</w:t>
      </w:r>
      <w:r w:rsidR="004A06B5" w:rsidRPr="00F00705">
        <w:rPr>
          <w:rFonts w:hAnsi="標楷體" w:hint="eastAsia"/>
          <w:b/>
        </w:rPr>
        <w:t>重大爭議</w:t>
      </w:r>
      <w:r w:rsidR="00200616" w:rsidRPr="00F00705">
        <w:rPr>
          <w:rFonts w:hAnsi="標楷體" w:hint="eastAsia"/>
          <w:b/>
        </w:rPr>
        <w:t>，不僅一般人民難以理解</w:t>
      </w:r>
      <w:r w:rsidR="001D0B7B" w:rsidRPr="00F00705">
        <w:rPr>
          <w:rFonts w:ascii="新細明體" w:eastAsia="新細明體" w:hAnsi="新細明體" w:hint="eastAsia"/>
          <w:b/>
        </w:rPr>
        <w:t>，</w:t>
      </w:r>
      <w:r w:rsidR="00200616" w:rsidRPr="00F00705">
        <w:rPr>
          <w:rFonts w:hAnsi="標楷體" w:hint="eastAsia"/>
          <w:b/>
        </w:rPr>
        <w:t>學說及司法實務上</w:t>
      </w:r>
      <w:r w:rsidR="00101E7D" w:rsidRPr="00F00705">
        <w:rPr>
          <w:rFonts w:hAnsi="標楷體" w:hint="eastAsia"/>
          <w:b/>
        </w:rPr>
        <w:t>亦</w:t>
      </w:r>
      <w:r w:rsidR="004A06B5" w:rsidRPr="00F00705">
        <w:rPr>
          <w:rFonts w:hAnsi="標楷體" w:hint="eastAsia"/>
          <w:b/>
        </w:rPr>
        <w:t>爭</w:t>
      </w:r>
      <w:r w:rsidR="000D5643" w:rsidRPr="00F00705">
        <w:rPr>
          <w:rFonts w:hAnsi="標楷體" w:hint="eastAsia"/>
          <w:b/>
        </w:rPr>
        <w:t>議</w:t>
      </w:r>
      <w:r w:rsidR="00101E7D" w:rsidRPr="00F00705">
        <w:rPr>
          <w:rFonts w:hAnsi="標楷體" w:hint="eastAsia"/>
          <w:b/>
        </w:rPr>
        <w:t>不斷</w:t>
      </w:r>
      <w:r w:rsidR="00200616" w:rsidRPr="00F00705">
        <w:rPr>
          <w:rFonts w:hAnsi="標楷體" w:hint="eastAsia"/>
          <w:b/>
        </w:rPr>
        <w:t>，</w:t>
      </w:r>
      <w:r w:rsidR="00931187" w:rsidRPr="00F00705">
        <w:rPr>
          <w:rFonts w:hAnsi="標楷體" w:hint="eastAsia"/>
          <w:b/>
        </w:rPr>
        <w:t>認</w:t>
      </w:r>
      <w:r w:rsidR="00E45DC4" w:rsidRPr="00F00705">
        <w:rPr>
          <w:rFonts w:hAnsi="標楷體" w:hint="eastAsia"/>
          <w:b/>
        </w:rPr>
        <w:t>顯</w:t>
      </w:r>
      <w:r w:rsidR="001D0B7B" w:rsidRPr="00F00705">
        <w:rPr>
          <w:rFonts w:hAnsi="標楷體" w:hint="eastAsia"/>
          <w:b/>
        </w:rPr>
        <w:t>有違</w:t>
      </w:r>
      <w:r w:rsidR="00931187" w:rsidRPr="00F00705">
        <w:rPr>
          <w:rFonts w:hAnsi="標楷體" w:hint="eastAsia"/>
          <w:b/>
        </w:rPr>
        <w:t>反</w:t>
      </w:r>
      <w:r w:rsidR="00372B9B" w:rsidRPr="00F00705">
        <w:rPr>
          <w:rFonts w:hAnsi="標楷體" w:hint="eastAsia"/>
          <w:b/>
        </w:rPr>
        <w:t>憲法</w:t>
      </w:r>
      <w:r w:rsidR="00551A6F" w:rsidRPr="00F00705">
        <w:rPr>
          <w:rFonts w:hAnsi="標楷體" w:hint="eastAsia"/>
          <w:b/>
        </w:rPr>
        <w:t>所</w:t>
      </w:r>
      <w:r w:rsidR="001D0B7B" w:rsidRPr="00F00705">
        <w:rPr>
          <w:rFonts w:hAnsi="標楷體" w:hint="eastAsia"/>
          <w:b/>
        </w:rPr>
        <w:t>要求之「</w:t>
      </w:r>
      <w:r w:rsidR="00A13E62" w:rsidRPr="00F00705">
        <w:rPr>
          <w:rFonts w:hAnsi="標楷體" w:hint="eastAsia"/>
          <w:b/>
        </w:rPr>
        <w:t>授權明確性原則</w:t>
      </w:r>
      <w:r w:rsidR="001D0B7B" w:rsidRPr="00F00705">
        <w:rPr>
          <w:rFonts w:hAnsi="標楷體" w:hint="eastAsia"/>
          <w:b/>
        </w:rPr>
        <w:t>」</w:t>
      </w:r>
      <w:r w:rsidR="00A85BAD" w:rsidRPr="00F00705">
        <w:rPr>
          <w:rFonts w:ascii="新細明體" w:eastAsia="新細明體" w:hAnsi="新細明體" w:hint="eastAsia"/>
          <w:b/>
        </w:rPr>
        <w:t>、</w:t>
      </w:r>
      <w:r w:rsidR="00A85BAD" w:rsidRPr="00F00705">
        <w:rPr>
          <w:rFonts w:hAnsi="標楷體" w:hint="eastAsia"/>
          <w:b/>
        </w:rPr>
        <w:t>「法律保留原則」</w:t>
      </w:r>
      <w:r w:rsidR="00A13E62" w:rsidRPr="00F00705">
        <w:rPr>
          <w:rFonts w:hAnsi="標楷體" w:hint="eastAsia"/>
          <w:b/>
        </w:rPr>
        <w:t>及</w:t>
      </w:r>
      <w:r w:rsidR="001D0B7B" w:rsidRPr="00F00705">
        <w:rPr>
          <w:rFonts w:hAnsi="標楷體" w:hint="eastAsia"/>
          <w:b/>
        </w:rPr>
        <w:t>「</w:t>
      </w:r>
      <w:r w:rsidR="00A13E62" w:rsidRPr="00F00705">
        <w:rPr>
          <w:rFonts w:hAnsi="標楷體" w:hint="eastAsia"/>
          <w:b/>
        </w:rPr>
        <w:t>罪刑法定原則</w:t>
      </w:r>
      <w:r w:rsidR="001D0B7B" w:rsidRPr="00F00705">
        <w:rPr>
          <w:rFonts w:hAnsi="標楷體" w:hint="eastAsia"/>
          <w:b/>
        </w:rPr>
        <w:t>」之虞</w:t>
      </w:r>
      <w:r w:rsidR="008C6B0C" w:rsidRPr="00F00705">
        <w:rPr>
          <w:rFonts w:hAnsi="標楷體" w:hint="eastAsia"/>
          <w:b/>
        </w:rPr>
        <w:t>，</w:t>
      </w:r>
      <w:r w:rsidR="00351DB0" w:rsidRPr="00F00705">
        <w:rPr>
          <w:rFonts w:hAnsi="標楷體" w:hint="eastAsia"/>
          <w:b/>
        </w:rPr>
        <w:t>誠非妥適</w:t>
      </w:r>
      <w:r w:rsidR="00351DB0" w:rsidRPr="00F00705">
        <w:rPr>
          <w:rFonts w:ascii="新細明體" w:eastAsia="新細明體" w:hAnsi="新細明體" w:hint="eastAsia"/>
          <w:b/>
        </w:rPr>
        <w:t>，</w:t>
      </w:r>
      <w:r w:rsidR="00101E7D" w:rsidRPr="00F00705">
        <w:rPr>
          <w:rFonts w:hAnsi="標楷體" w:hint="eastAsia"/>
          <w:b/>
        </w:rPr>
        <w:t>本於法治國原則及人權保障</w:t>
      </w:r>
      <w:r w:rsidR="001B5604" w:rsidRPr="00F00705">
        <w:rPr>
          <w:rFonts w:hAnsi="標楷體" w:hint="eastAsia"/>
          <w:b/>
        </w:rPr>
        <w:t>意旨</w:t>
      </w:r>
      <w:r w:rsidR="00101E7D" w:rsidRPr="00F00705">
        <w:rPr>
          <w:rFonts w:hAnsi="標楷體" w:hint="eastAsia"/>
          <w:b/>
        </w:rPr>
        <w:t>，</w:t>
      </w:r>
      <w:r w:rsidR="00372B9B" w:rsidRPr="00F00705">
        <w:rPr>
          <w:rFonts w:hAnsi="標楷體" w:hint="eastAsia"/>
          <w:b/>
        </w:rPr>
        <w:t>應請</w:t>
      </w:r>
      <w:r w:rsidR="00551A6F" w:rsidRPr="00F00705">
        <w:rPr>
          <w:rFonts w:hAnsi="標楷體" w:hint="eastAsia"/>
          <w:b/>
        </w:rPr>
        <w:t>主管機關</w:t>
      </w:r>
      <w:r w:rsidR="0044766A" w:rsidRPr="00F00705">
        <w:rPr>
          <w:rFonts w:hAnsi="標楷體" w:hint="eastAsia"/>
          <w:b/>
        </w:rPr>
        <w:t>從法制上</w:t>
      </w:r>
      <w:r w:rsidR="008C6B0C" w:rsidRPr="00F00705">
        <w:rPr>
          <w:rFonts w:hAnsi="標楷體" w:hint="eastAsia"/>
          <w:b/>
        </w:rPr>
        <w:t>確實</w:t>
      </w:r>
      <w:r w:rsidR="00200616" w:rsidRPr="00F00705">
        <w:rPr>
          <w:rFonts w:hAnsi="標楷體" w:hint="eastAsia"/>
          <w:b/>
        </w:rPr>
        <w:t>檢討改善</w:t>
      </w:r>
      <w:r w:rsidR="009617A1" w:rsidRPr="00F00705">
        <w:rPr>
          <w:rFonts w:hAnsi="標楷體" w:hint="eastAsia"/>
          <w:b/>
        </w:rPr>
        <w:t>，以</w:t>
      </w:r>
      <w:r w:rsidR="00CD243B" w:rsidRPr="00F00705">
        <w:rPr>
          <w:rFonts w:hAnsi="標楷體" w:hint="eastAsia"/>
          <w:b/>
        </w:rPr>
        <w:t>澈底</w:t>
      </w:r>
      <w:r w:rsidR="007177EB" w:rsidRPr="00F00705">
        <w:rPr>
          <w:rFonts w:hAnsi="標楷體" w:hint="eastAsia"/>
          <w:b/>
        </w:rPr>
        <w:t>解決爭端</w:t>
      </w:r>
      <w:r w:rsidR="00200616" w:rsidRPr="00F00705">
        <w:rPr>
          <w:rFonts w:hAnsi="標楷體" w:hint="eastAsia"/>
          <w:b/>
        </w:rPr>
        <w:t>。</w:t>
      </w:r>
    </w:p>
    <w:p w:rsidR="00135960" w:rsidRPr="00F00705" w:rsidRDefault="00135960" w:rsidP="00B6276A">
      <w:pPr>
        <w:pStyle w:val="3"/>
      </w:pPr>
      <w:r w:rsidRPr="00F00705">
        <w:rPr>
          <w:rFonts w:hint="eastAsia"/>
        </w:rPr>
        <w:t>基本人權之尊重</w:t>
      </w:r>
    </w:p>
    <w:p w:rsidR="00135960" w:rsidRPr="00F00705" w:rsidRDefault="00135960" w:rsidP="0044766A">
      <w:pPr>
        <w:pStyle w:val="3"/>
        <w:numPr>
          <w:ilvl w:val="0"/>
          <w:numId w:val="0"/>
        </w:numPr>
        <w:ind w:leftChars="417" w:left="1418" w:firstLineChars="208" w:firstLine="708"/>
      </w:pPr>
      <w:r w:rsidRPr="00F00705">
        <w:rPr>
          <w:rFonts w:hint="eastAsia"/>
        </w:rPr>
        <w:t>守護並尊重基本人權為任何法治國家最重要的前提，對外除可成為民主國家宣揚之典範，亦係以人民為國家主人之具體表現，不容有任何侵犯。刑事處罰因係國家對犯罪者剝奪其生命、自由、財產及其他公民之權利，在民主法治國家必已屆最後不得已之手段，方能為之，故刑法及其特別法莫不標榜須以「罪刑法定主義」為其適用之最高原則，苟法律無規定，縱其行為違背道德或行政事項等社會規範甚鉅，仍不得以刑事處罰相繩；至法律究有無規定其為犯罪、可否加以刑事處罰，或是法律規定不明確致生疑義時，應尋求「嚴格」之解釋，視該適用法條有無違背解釋罪刑法定之「法律明確性原則」、「授權明確性原則」、「法律保留原則」等疑慮，必待上開原則等均無瑕疵後，方能引為處罰渉案人之法律依據。此乃民主國家維護人權之基本表</w:t>
      </w:r>
      <w:r w:rsidRPr="00F00705">
        <w:rPr>
          <w:rFonts w:hint="eastAsia"/>
        </w:rPr>
        <w:lastRenderedPageBreak/>
        <w:t>徵，自不待言，我國自詡為民主法治之先進國家，並以此為立國之本，自不容有任何之差池</w:t>
      </w:r>
      <w:r w:rsidRPr="00F00705">
        <w:rPr>
          <w:rFonts w:hAnsi="標楷體" w:hint="eastAsia"/>
        </w:rPr>
        <w:t>。</w:t>
      </w:r>
    </w:p>
    <w:p w:rsidR="003E2822" w:rsidRPr="00F00705" w:rsidRDefault="003E2822" w:rsidP="00175B9C">
      <w:pPr>
        <w:pStyle w:val="3"/>
      </w:pPr>
      <w:r w:rsidRPr="00F00705">
        <w:rPr>
          <w:rFonts w:hint="eastAsia"/>
        </w:rPr>
        <w:t>證交法第6條第1項後段規定：「本法所稱有價證券，指……經主管機關核定之其他有價證券」</w:t>
      </w:r>
      <w:r w:rsidR="00975A5F" w:rsidRPr="00F00705">
        <w:rPr>
          <w:rFonts w:hAnsi="標楷體" w:hint="eastAsia"/>
        </w:rPr>
        <w:t>，</w:t>
      </w:r>
      <w:r w:rsidRPr="00F00705">
        <w:rPr>
          <w:rFonts w:hint="eastAsia"/>
        </w:rPr>
        <w:t>有違反「授權明確性原則」之虞</w:t>
      </w:r>
    </w:p>
    <w:p w:rsidR="00135960" w:rsidRPr="00F00705" w:rsidRDefault="00135960" w:rsidP="003E2822">
      <w:pPr>
        <w:pStyle w:val="4"/>
      </w:pPr>
      <w:r w:rsidRPr="00F00705">
        <w:rPr>
          <w:rFonts w:hint="eastAsia"/>
        </w:rPr>
        <w:t>按司法院大法官釋憲實務所建立之標準，刑罰法規關係人民生命、自由及財產權益等至鉅，自應依循「罪刑法定原則」，以制定「法律」之方式規定之。關於人民自由權利之限制，如法律授權主管機關發布命令為補充規定者，須自授權之法律規定中得預見其行為之可罰，即應由授權之母法整體觀察，是否足以使人民預見行為有受處罰之可能，且授權之目的、內容及範圍應具體明確，授權始為明確</w:t>
      </w:r>
      <w:r w:rsidRPr="00F00705">
        <w:rPr>
          <w:rFonts w:hAnsi="標楷體" w:hint="eastAsia"/>
        </w:rPr>
        <w:t>。</w:t>
      </w:r>
    </w:p>
    <w:p w:rsidR="00111B86" w:rsidRPr="00F00705" w:rsidRDefault="00111B86" w:rsidP="003E2822">
      <w:pPr>
        <w:pStyle w:val="4"/>
      </w:pPr>
      <w:r w:rsidRPr="00F00705">
        <w:rPr>
          <w:rFonts w:hint="eastAsia"/>
        </w:rPr>
        <w:t>因「刑罰」涉及侵害人民基本權益甚為重大，故關於刑罰本身及刑罰規定之授權，必須採取「嚴格」審查基準，即由授權之母法整體觀察，是否足使人民預見行為有受處罰之可能，且授權之目的、內容及範圍均須具體明確，授權之目的、內容及範圍三者皆應分別於授權之法律明確規定，其授權始為明確，方符刑罰明確性原則要求；而立法者得授權尋求行政機關協助者，僅限於執行該法律之相關細節性、技術性事項而已。</w:t>
      </w:r>
    </w:p>
    <w:p w:rsidR="00B6276A" w:rsidRPr="00F00705" w:rsidRDefault="002D7E39" w:rsidP="003E2822">
      <w:pPr>
        <w:pStyle w:val="4"/>
      </w:pPr>
      <w:r w:rsidRPr="00F00705">
        <w:rPr>
          <w:lang w:val="ja-JP"/>
        </w:rPr>
        <w:t>司法院釋字第522號解釋理由書指出：「立法機關得以委任立法之方式，授權行政機關發布命令，以為法律之補充，雖為憲法之所許，惟其授權之目的、内容及範圍應具體明確，始符憲法第23條之意旨，迭經本院解釋在案。至於授權條款之明確程度，則應與所授權訂定之法規命令對人民權利之影響相稱。刑罰法規關係人民生命、自由及</w:t>
      </w:r>
      <w:r w:rsidRPr="00F00705">
        <w:rPr>
          <w:lang w:val="ja-JP"/>
        </w:rPr>
        <w:lastRenderedPageBreak/>
        <w:t>財產權益至鉅，自應依循罪刑法定主義，以制定法律之方式為之，如法律授權主管機關發布命令為補充規定時，須自授權之法律規定中得預見其行為之可罰，方符刑罰明確性原則。」</w:t>
      </w:r>
      <w:r w:rsidR="00E061EC" w:rsidRPr="00F00705">
        <w:rPr>
          <w:lang w:val="ja-JP"/>
        </w:rPr>
        <w:t>證交法第</w:t>
      </w:r>
      <w:r w:rsidR="00E061EC" w:rsidRPr="00F00705">
        <w:rPr>
          <w:rFonts w:hint="eastAsia"/>
          <w:lang w:val="ja-JP"/>
        </w:rPr>
        <w:t>6條第1項規定：「本法所稱有價證券，指政府債券、公司股票、公司債券及經主管機關核定之其他有價證券。」採</w:t>
      </w:r>
      <w:r w:rsidR="00BB044E" w:rsidRPr="00F00705">
        <w:rPr>
          <w:rFonts w:hint="eastAsia"/>
          <w:lang w:val="ja-JP"/>
        </w:rPr>
        <w:t>取</w:t>
      </w:r>
      <w:r w:rsidR="00BB044E" w:rsidRPr="00F00705">
        <w:rPr>
          <w:rFonts w:hAnsi="標楷體" w:hint="eastAsia"/>
          <w:lang w:val="ja-JP"/>
        </w:rPr>
        <w:t>「</w:t>
      </w:r>
      <w:r w:rsidR="00E061EC" w:rsidRPr="00F00705">
        <w:rPr>
          <w:rFonts w:hint="eastAsia"/>
          <w:lang w:val="ja-JP"/>
        </w:rPr>
        <w:t>有限列舉</w:t>
      </w:r>
      <w:r w:rsidR="00BB044E" w:rsidRPr="00F00705">
        <w:rPr>
          <w:rFonts w:hAnsi="標楷體" w:hint="eastAsia"/>
          <w:lang w:val="ja-JP"/>
        </w:rPr>
        <w:t>」</w:t>
      </w:r>
      <w:r w:rsidR="00E061EC" w:rsidRPr="00F00705">
        <w:rPr>
          <w:rFonts w:hint="eastAsia"/>
          <w:lang w:val="ja-JP"/>
        </w:rPr>
        <w:t>及</w:t>
      </w:r>
      <w:r w:rsidR="00BB044E" w:rsidRPr="00F00705">
        <w:rPr>
          <w:rFonts w:hAnsi="標楷體" w:hint="eastAsia"/>
          <w:lang w:val="ja-JP"/>
        </w:rPr>
        <w:t>「</w:t>
      </w:r>
      <w:r w:rsidR="00E061EC" w:rsidRPr="00F00705">
        <w:rPr>
          <w:rFonts w:hint="eastAsia"/>
          <w:lang w:val="ja-JP"/>
        </w:rPr>
        <w:t>概括核定</w:t>
      </w:r>
      <w:r w:rsidR="00A91950" w:rsidRPr="00F00705">
        <w:rPr>
          <w:rFonts w:hint="eastAsia"/>
          <w:lang w:val="ja-JP"/>
        </w:rPr>
        <w:t>授權</w:t>
      </w:r>
      <w:r w:rsidR="00BB044E" w:rsidRPr="00F00705">
        <w:rPr>
          <w:rFonts w:hAnsi="標楷體" w:hint="eastAsia"/>
          <w:lang w:val="ja-JP"/>
        </w:rPr>
        <w:t>」</w:t>
      </w:r>
      <w:r w:rsidR="00E061EC" w:rsidRPr="00F00705">
        <w:rPr>
          <w:rFonts w:hint="eastAsia"/>
          <w:lang w:val="ja-JP"/>
        </w:rPr>
        <w:t>之立法模式，固有</w:t>
      </w:r>
      <w:r w:rsidR="00BB044E" w:rsidRPr="00F00705">
        <w:rPr>
          <w:rFonts w:hint="eastAsia"/>
          <w:lang w:val="ja-JP"/>
        </w:rPr>
        <w:t>便於</w:t>
      </w:r>
      <w:r w:rsidR="00E061EC" w:rsidRPr="00F00705">
        <w:rPr>
          <w:rFonts w:hint="eastAsia"/>
          <w:lang w:val="ja-JP"/>
        </w:rPr>
        <w:t>適應金融商品多變性的優</w:t>
      </w:r>
      <w:r w:rsidR="00BB044E" w:rsidRPr="00F00705">
        <w:rPr>
          <w:rFonts w:hint="eastAsia"/>
          <w:lang w:val="ja-JP"/>
        </w:rPr>
        <w:t>勢</w:t>
      </w:r>
      <w:r w:rsidR="00E061EC" w:rsidRPr="00F00705">
        <w:rPr>
          <w:rFonts w:hint="eastAsia"/>
          <w:lang w:val="ja-JP"/>
        </w:rPr>
        <w:t>，然因</w:t>
      </w:r>
      <w:r w:rsidR="00AC1400" w:rsidRPr="00F00705">
        <w:rPr>
          <w:rFonts w:hint="eastAsia"/>
          <w:lang w:val="ja-JP"/>
        </w:rPr>
        <w:t>是否屬於</w:t>
      </w:r>
      <w:r w:rsidRPr="00F00705">
        <w:rPr>
          <w:lang w:val="ja-JP"/>
        </w:rPr>
        <w:t>證交法第6</w:t>
      </w:r>
      <w:r w:rsidR="00F534D3" w:rsidRPr="00F00705">
        <w:rPr>
          <w:lang w:val="ja-JP"/>
        </w:rPr>
        <w:t>條</w:t>
      </w:r>
      <w:r w:rsidRPr="00F00705">
        <w:rPr>
          <w:lang w:val="ja-JP"/>
        </w:rPr>
        <w:t>之有價證券，為</w:t>
      </w:r>
      <w:r w:rsidR="006955AD" w:rsidRPr="00F00705">
        <w:rPr>
          <w:rFonts w:hint="eastAsia"/>
          <w:lang w:val="ja-JP"/>
        </w:rPr>
        <w:t>該法</w:t>
      </w:r>
      <w:r w:rsidRPr="00F00705">
        <w:rPr>
          <w:lang w:val="ja-JP"/>
        </w:rPr>
        <w:t>證券詐欺、操縱市場</w:t>
      </w:r>
      <w:r w:rsidR="00C765F6" w:rsidRPr="00F00705">
        <w:rPr>
          <w:rFonts w:ascii="新細明體" w:eastAsia="新細明體" w:hAnsi="新細明體" w:hint="eastAsia"/>
          <w:lang w:val="ja-JP"/>
        </w:rPr>
        <w:t>、</w:t>
      </w:r>
      <w:r w:rsidR="00C765F6" w:rsidRPr="00F00705">
        <w:rPr>
          <w:lang w:val="ja-JP"/>
        </w:rPr>
        <w:t>内線交易</w:t>
      </w:r>
      <w:r w:rsidRPr="00F00705">
        <w:rPr>
          <w:lang w:val="ja-JP"/>
        </w:rPr>
        <w:t>等刑事責任之</w:t>
      </w:r>
      <w:r w:rsidR="00AC1400" w:rsidRPr="00F00705">
        <w:rPr>
          <w:rFonts w:hint="eastAsia"/>
          <w:lang w:val="ja-JP"/>
        </w:rPr>
        <w:t>前提</w:t>
      </w:r>
      <w:r w:rsidRPr="00F00705">
        <w:rPr>
          <w:lang w:val="ja-JP"/>
        </w:rPr>
        <w:t>構</w:t>
      </w:r>
      <w:r w:rsidRPr="00F00705">
        <w:rPr>
          <w:rFonts w:hAnsi="標楷體"/>
          <w:lang w:val="ja-JP"/>
        </w:rPr>
        <w:t>成要件，</w:t>
      </w:r>
      <w:r w:rsidR="00AC1400" w:rsidRPr="00F00705">
        <w:rPr>
          <w:rFonts w:hAnsi="標楷體" w:hint="eastAsia"/>
          <w:lang w:val="ja-JP"/>
        </w:rPr>
        <w:t>又</w:t>
      </w:r>
      <w:r w:rsidRPr="00F00705">
        <w:rPr>
          <w:rFonts w:hAnsi="標楷體"/>
          <w:lang w:val="ja-JP"/>
        </w:rPr>
        <w:t>為</w:t>
      </w:r>
      <w:r w:rsidR="0065040E" w:rsidRPr="00F00705">
        <w:rPr>
          <w:rFonts w:hAnsi="標楷體" w:hint="eastAsia"/>
          <w:lang w:val="ja-JP"/>
        </w:rPr>
        <w:t>3年以上</w:t>
      </w:r>
      <w:r w:rsidRPr="00F00705">
        <w:rPr>
          <w:rFonts w:hAnsi="標楷體"/>
          <w:lang w:val="ja-JP"/>
        </w:rPr>
        <w:t>重度刑責</w:t>
      </w:r>
      <w:r w:rsidR="00372B9B" w:rsidRPr="00F00705">
        <w:rPr>
          <w:rStyle w:val="aff"/>
          <w:rFonts w:hAnsi="標楷體"/>
          <w:lang w:val="ja-JP"/>
        </w:rPr>
        <w:footnoteReference w:id="3"/>
      </w:r>
      <w:r w:rsidRPr="00F00705">
        <w:rPr>
          <w:rFonts w:hAnsi="標楷體"/>
          <w:lang w:val="ja-JP"/>
        </w:rPr>
        <w:t>，</w:t>
      </w:r>
      <w:r w:rsidR="00A91950" w:rsidRPr="00F00705">
        <w:rPr>
          <w:rFonts w:hAnsi="標楷體" w:hint="eastAsia"/>
          <w:lang w:val="ja-JP"/>
        </w:rPr>
        <w:t>是以，</w:t>
      </w:r>
      <w:r w:rsidR="006F4C9B" w:rsidRPr="00F00705">
        <w:rPr>
          <w:rFonts w:hAnsi="標楷體" w:hint="eastAsia"/>
          <w:lang w:val="ja-JP"/>
        </w:rPr>
        <w:t>「經主管機關核定之其他有價證券」</w:t>
      </w:r>
      <w:r w:rsidR="00ED3C97" w:rsidRPr="00F00705">
        <w:rPr>
          <w:rFonts w:ascii="新細明體" w:eastAsia="新細明體" w:hAnsi="新細明體" w:hint="eastAsia"/>
          <w:lang w:val="ja-JP"/>
        </w:rPr>
        <w:t>，</w:t>
      </w:r>
      <w:r w:rsidR="00ED3C97" w:rsidRPr="00F00705">
        <w:rPr>
          <w:rFonts w:hAnsi="標楷體" w:hint="eastAsia"/>
          <w:lang w:val="ja-JP"/>
        </w:rPr>
        <w:t>其</w:t>
      </w:r>
      <w:r w:rsidR="006F4C9B" w:rsidRPr="00F00705">
        <w:rPr>
          <w:rFonts w:hAnsi="標楷體" w:hint="eastAsia"/>
          <w:lang w:val="ja-JP"/>
        </w:rPr>
        <w:t>核定依據</w:t>
      </w:r>
      <w:r w:rsidR="00D0162B" w:rsidRPr="00F00705">
        <w:rPr>
          <w:rFonts w:hAnsi="標楷體" w:hint="eastAsia"/>
          <w:lang w:val="ja-JP"/>
        </w:rPr>
        <w:t>，</w:t>
      </w:r>
      <w:r w:rsidR="006F4C9B" w:rsidRPr="00F00705">
        <w:rPr>
          <w:rFonts w:hAnsi="標楷體" w:hint="eastAsia"/>
          <w:lang w:val="ja-JP"/>
        </w:rPr>
        <w:t>應</w:t>
      </w:r>
      <w:r w:rsidR="00E061EC" w:rsidRPr="00F00705">
        <w:rPr>
          <w:rFonts w:hAnsi="標楷體" w:hint="eastAsia"/>
          <w:lang w:val="ja-JP"/>
        </w:rPr>
        <w:t>力</w:t>
      </w:r>
      <w:r w:rsidR="00B71CA6" w:rsidRPr="00F00705">
        <w:rPr>
          <w:rFonts w:hAnsi="標楷體" w:hint="eastAsia"/>
          <w:lang w:val="ja-JP"/>
        </w:rPr>
        <w:t>求</w:t>
      </w:r>
      <w:r w:rsidRPr="00F00705">
        <w:rPr>
          <w:rFonts w:hAnsi="標楷體"/>
          <w:lang w:val="ja-JP"/>
        </w:rPr>
        <w:t>具體明確</w:t>
      </w:r>
      <w:r w:rsidR="00AC1400" w:rsidRPr="00F00705">
        <w:rPr>
          <w:rFonts w:ascii="新細明體" w:eastAsia="新細明體" w:hAnsi="新細明體" w:hint="eastAsia"/>
          <w:lang w:val="ja-JP"/>
        </w:rPr>
        <w:t>，</w:t>
      </w:r>
      <w:r w:rsidR="00BB044E" w:rsidRPr="00F00705">
        <w:rPr>
          <w:rFonts w:hAnsi="標楷體" w:hint="eastAsia"/>
          <w:lang w:val="ja-JP"/>
        </w:rPr>
        <w:t>方符合前揭司法院釋字第522</w:t>
      </w:r>
      <w:r w:rsidR="00B30CAA" w:rsidRPr="00F00705">
        <w:rPr>
          <w:rFonts w:hAnsi="標楷體" w:hint="eastAsia"/>
          <w:lang w:val="ja-JP"/>
        </w:rPr>
        <w:t>號</w:t>
      </w:r>
      <w:r w:rsidR="00BB044E" w:rsidRPr="00F00705">
        <w:rPr>
          <w:rFonts w:hAnsi="標楷體" w:hint="eastAsia"/>
          <w:lang w:val="ja-JP"/>
        </w:rPr>
        <w:t>解釋意旨</w:t>
      </w:r>
      <w:r w:rsidR="004412A4" w:rsidRPr="00F00705">
        <w:rPr>
          <w:rFonts w:hAnsi="標楷體" w:hint="eastAsia"/>
          <w:lang w:val="ja-JP"/>
        </w:rPr>
        <w:t>。</w:t>
      </w:r>
    </w:p>
    <w:p w:rsidR="00656EED" w:rsidRPr="00F00705" w:rsidRDefault="00C82CAC" w:rsidP="00135960">
      <w:pPr>
        <w:pStyle w:val="4"/>
        <w:rPr>
          <w:lang w:val="ja-JP"/>
        </w:rPr>
      </w:pPr>
      <w:r w:rsidRPr="00F00705">
        <w:rPr>
          <w:rFonts w:hint="eastAsia"/>
          <w:lang w:val="ja-JP"/>
        </w:rPr>
        <w:t>經查，</w:t>
      </w:r>
      <w:r w:rsidR="00F20B89" w:rsidRPr="00F00705">
        <w:rPr>
          <w:rFonts w:hint="eastAsia"/>
          <w:lang w:val="ja-JP"/>
        </w:rPr>
        <w:t>證交法於57年公布施行，主管機關原為經濟部證券管理委員會，70年7月證券管理委員會改隸財政部，以財政部為主管機關</w:t>
      </w:r>
      <w:r w:rsidR="00F20B89" w:rsidRPr="00F00705">
        <w:rPr>
          <w:rFonts w:ascii="新細明體" w:eastAsia="新細明體" w:hAnsi="新細明體" w:hint="eastAsia"/>
          <w:lang w:val="ja-JP"/>
        </w:rPr>
        <w:t>，</w:t>
      </w:r>
      <w:r w:rsidR="00F20B89" w:rsidRPr="00F00705">
        <w:rPr>
          <w:rFonts w:hint="eastAsia"/>
          <w:lang w:val="ja-JP"/>
        </w:rPr>
        <w:t>財政部曾於76年9月12日以</w:t>
      </w:r>
      <w:r w:rsidR="00F20B89" w:rsidRPr="00F00705">
        <w:rPr>
          <w:rFonts w:ascii="新細明體" w:eastAsia="新細明體" w:hAnsi="新細明體" w:hint="eastAsia"/>
          <w:lang w:val="ja-JP"/>
        </w:rPr>
        <w:t>（</w:t>
      </w:r>
      <w:r w:rsidR="00F20B89" w:rsidRPr="00F00705">
        <w:rPr>
          <w:rFonts w:hint="eastAsia"/>
          <w:lang w:val="ja-JP"/>
        </w:rPr>
        <w:t>76）</w:t>
      </w:r>
      <w:r w:rsidR="005B31F4" w:rsidRPr="00F00705">
        <w:rPr>
          <w:rFonts w:hint="eastAsia"/>
          <w:lang w:val="ja-JP"/>
        </w:rPr>
        <w:t>台財</w:t>
      </w:r>
      <w:r w:rsidR="0038058E" w:rsidRPr="00F00705">
        <w:rPr>
          <w:rFonts w:hint="eastAsia"/>
          <w:lang w:val="ja-JP"/>
        </w:rPr>
        <w:t>證</w:t>
      </w:r>
      <w:r w:rsidR="005B31F4" w:rsidRPr="00F00705">
        <w:rPr>
          <w:rFonts w:hint="eastAsia"/>
          <w:lang w:val="ja-JP"/>
        </w:rPr>
        <w:t>(二)字</w:t>
      </w:r>
      <w:r w:rsidR="008928C1" w:rsidRPr="00F00705">
        <w:rPr>
          <w:rFonts w:hint="eastAsia"/>
          <w:lang w:val="ja-JP"/>
        </w:rPr>
        <w:t>第900號公告</w:t>
      </w:r>
      <w:r w:rsidR="00A37F1C" w:rsidRPr="00F00705">
        <w:rPr>
          <w:rFonts w:ascii="新細明體" w:eastAsia="新細明體" w:hAnsi="新細明體" w:hint="eastAsia"/>
          <w:lang w:val="ja-JP"/>
        </w:rPr>
        <w:t>（</w:t>
      </w:r>
      <w:r w:rsidR="00A37F1C" w:rsidRPr="00F00705">
        <w:rPr>
          <w:rFonts w:hint="eastAsia"/>
          <w:lang w:val="ja-JP"/>
        </w:rPr>
        <w:t>下稱財政部76年台財證(二)字第900號公告）</w:t>
      </w:r>
      <w:r w:rsidR="005B31F4" w:rsidRPr="00F00705">
        <w:rPr>
          <w:rFonts w:ascii="新細明體" w:eastAsia="新細明體" w:hAnsi="新細明體" w:hint="eastAsia"/>
          <w:lang w:val="ja-JP"/>
        </w:rPr>
        <w:t>：</w:t>
      </w:r>
      <w:r w:rsidR="005B31F4" w:rsidRPr="00F00705">
        <w:rPr>
          <w:rFonts w:hint="eastAsia"/>
          <w:lang w:val="ja-JP"/>
        </w:rPr>
        <w:t>「</w:t>
      </w:r>
      <w:r w:rsidR="001B1BE1" w:rsidRPr="00F00705">
        <w:rPr>
          <w:rFonts w:hint="eastAsia"/>
          <w:lang w:val="ja-JP"/>
        </w:rPr>
        <w:t>外國之股票、公司債、政府債券、受益憑證及</w:t>
      </w:r>
      <w:r w:rsidR="001B1BE1" w:rsidRPr="00F00705">
        <w:rPr>
          <w:rFonts w:hint="eastAsia"/>
          <w:lang w:val="ja-JP"/>
        </w:rPr>
        <w:lastRenderedPageBreak/>
        <w:t>其他具有投資性質之有價證券，凡在我國境內募集、發行</w:t>
      </w:r>
      <w:r w:rsidR="006A0F74" w:rsidRPr="00F00705">
        <w:rPr>
          <w:rFonts w:hint="eastAsia"/>
          <w:lang w:val="ja-JP"/>
        </w:rPr>
        <w:t>、買賣、或從事上開有價證券之投資服務，</w:t>
      </w:r>
      <w:r w:rsidR="00347126" w:rsidRPr="00F00705">
        <w:rPr>
          <w:rFonts w:hint="eastAsia"/>
          <w:lang w:val="ja-JP"/>
        </w:rPr>
        <w:t>均應受我國證券管理法令之規範。」其後</w:t>
      </w:r>
      <w:r w:rsidR="006A0F74" w:rsidRPr="00F00705">
        <w:rPr>
          <w:rFonts w:hint="eastAsia"/>
          <w:lang w:val="ja-JP"/>
        </w:rPr>
        <w:t>證交法主管機關</w:t>
      </w:r>
      <w:r w:rsidR="00347126" w:rsidRPr="00F00705">
        <w:rPr>
          <w:rFonts w:hint="eastAsia"/>
          <w:lang w:val="ja-JP"/>
        </w:rPr>
        <w:t>改隸</w:t>
      </w:r>
      <w:r w:rsidR="006A0F74" w:rsidRPr="00F00705">
        <w:rPr>
          <w:rFonts w:hint="eastAsia"/>
          <w:lang w:val="ja-JP"/>
        </w:rPr>
        <w:t>金管會</w:t>
      </w:r>
      <w:r w:rsidR="00347126" w:rsidRPr="00F00705">
        <w:rPr>
          <w:rFonts w:ascii="新細明體" w:eastAsia="新細明體" w:hAnsi="新細明體" w:hint="eastAsia"/>
          <w:lang w:val="ja-JP"/>
        </w:rPr>
        <w:t>，</w:t>
      </w:r>
      <w:r w:rsidR="00347126" w:rsidRPr="00F00705">
        <w:rPr>
          <w:rFonts w:hint="eastAsia"/>
          <w:lang w:val="ja-JP"/>
        </w:rPr>
        <w:t>金管會向來認為TDR為</w:t>
      </w:r>
      <w:r w:rsidR="004514F3" w:rsidRPr="00F00705">
        <w:rPr>
          <w:rFonts w:hint="eastAsia"/>
          <w:lang w:val="ja-JP"/>
        </w:rPr>
        <w:t>我國</w:t>
      </w:r>
      <w:r w:rsidR="00347126" w:rsidRPr="00F00705">
        <w:rPr>
          <w:rFonts w:hint="eastAsia"/>
          <w:lang w:val="ja-JP"/>
        </w:rPr>
        <w:t>證交法規範之有價證券</w:t>
      </w:r>
      <w:r w:rsidR="00347126" w:rsidRPr="00F00705">
        <w:rPr>
          <w:rFonts w:ascii="新細明體" w:eastAsia="新細明體" w:hAnsi="新細明體" w:hint="eastAsia"/>
          <w:lang w:val="ja-JP"/>
        </w:rPr>
        <w:t>，</w:t>
      </w:r>
      <w:r w:rsidR="00347126" w:rsidRPr="00F00705">
        <w:rPr>
          <w:rFonts w:hint="eastAsia"/>
          <w:lang w:val="ja-JP"/>
        </w:rPr>
        <w:t>並曾</w:t>
      </w:r>
      <w:r w:rsidR="006A0F74" w:rsidRPr="00F00705">
        <w:rPr>
          <w:rFonts w:hint="eastAsia"/>
          <w:lang w:val="ja-JP"/>
        </w:rPr>
        <w:t>以104年11月9日金管證發字第1040045954號函</w:t>
      </w:r>
      <w:r w:rsidR="004514F3" w:rsidRPr="00F00705">
        <w:rPr>
          <w:rFonts w:hint="eastAsia"/>
          <w:lang w:val="ja-JP"/>
        </w:rPr>
        <w:t>說明</w:t>
      </w:r>
      <w:r w:rsidR="00A37F1C" w:rsidRPr="00F00705">
        <w:rPr>
          <w:rFonts w:hint="eastAsia"/>
          <w:lang w:val="ja-JP"/>
        </w:rPr>
        <w:t>，財政部76年台財證(二)字第900號公告即</w:t>
      </w:r>
      <w:r w:rsidR="00347126" w:rsidRPr="00F00705">
        <w:rPr>
          <w:rFonts w:hint="eastAsia"/>
          <w:lang w:val="ja-JP"/>
        </w:rPr>
        <w:t>為</w:t>
      </w:r>
      <w:r w:rsidR="00A37F1C" w:rsidRPr="00F00705">
        <w:rPr>
          <w:rFonts w:hint="eastAsia"/>
          <w:lang w:val="ja-JP"/>
        </w:rPr>
        <w:t>TDR</w:t>
      </w:r>
      <w:r w:rsidR="00347126" w:rsidRPr="00F00705">
        <w:rPr>
          <w:rFonts w:hint="eastAsia"/>
          <w:lang w:val="ja-JP"/>
        </w:rPr>
        <w:t>經主管</w:t>
      </w:r>
      <w:r w:rsidR="00C237C5" w:rsidRPr="00F00705">
        <w:rPr>
          <w:rFonts w:hint="eastAsia"/>
          <w:lang w:val="ja-JP"/>
        </w:rPr>
        <w:t>行使</w:t>
      </w:r>
      <w:r w:rsidR="00347126" w:rsidRPr="00F00705">
        <w:rPr>
          <w:rFonts w:hint="eastAsia"/>
          <w:lang w:val="ja-JP"/>
        </w:rPr>
        <w:t>核定</w:t>
      </w:r>
      <w:r w:rsidR="00C237C5" w:rsidRPr="00F00705">
        <w:rPr>
          <w:rFonts w:hint="eastAsia"/>
          <w:lang w:val="ja-JP"/>
        </w:rPr>
        <w:t>權</w:t>
      </w:r>
      <w:r w:rsidR="00A37F1C" w:rsidRPr="00F00705">
        <w:rPr>
          <w:rFonts w:hint="eastAsia"/>
          <w:lang w:val="ja-JP"/>
        </w:rPr>
        <w:t>之依據</w:t>
      </w:r>
      <w:r w:rsidR="003028A8" w:rsidRPr="00F00705">
        <w:rPr>
          <w:rFonts w:hAnsi="標楷體" w:hint="eastAsia"/>
          <w:lang w:val="ja-JP"/>
        </w:rPr>
        <w:t>。</w:t>
      </w:r>
      <w:r w:rsidR="00ED3C97" w:rsidRPr="00F00705">
        <w:rPr>
          <w:rFonts w:hint="eastAsia"/>
          <w:lang w:val="ja-JP"/>
        </w:rPr>
        <w:t>該會於</w:t>
      </w:r>
      <w:r w:rsidR="00A37F1C" w:rsidRPr="00F00705">
        <w:rPr>
          <w:rFonts w:hint="eastAsia"/>
          <w:lang w:val="ja-JP"/>
        </w:rPr>
        <w:t>本院詢問</w:t>
      </w:r>
      <w:r w:rsidR="00347126" w:rsidRPr="00F00705">
        <w:rPr>
          <w:rFonts w:hint="eastAsia"/>
          <w:lang w:val="ja-JP"/>
        </w:rPr>
        <w:t>時</w:t>
      </w:r>
      <w:r w:rsidR="00A37F1C" w:rsidRPr="00F00705">
        <w:rPr>
          <w:rFonts w:ascii="新細明體" w:eastAsia="新細明體" w:hAnsi="新細明體" w:hint="eastAsia"/>
          <w:lang w:val="ja-JP"/>
        </w:rPr>
        <w:t>，</w:t>
      </w:r>
      <w:r w:rsidR="00A37F1C" w:rsidRPr="00F00705">
        <w:rPr>
          <w:rFonts w:hint="eastAsia"/>
          <w:lang w:val="ja-JP"/>
        </w:rPr>
        <w:t>仍</w:t>
      </w:r>
      <w:r w:rsidR="004514F3" w:rsidRPr="00F00705">
        <w:rPr>
          <w:rFonts w:hint="eastAsia"/>
          <w:lang w:val="ja-JP"/>
        </w:rPr>
        <w:t>於</w:t>
      </w:r>
      <w:r w:rsidR="00347126" w:rsidRPr="00F00705">
        <w:rPr>
          <w:rFonts w:hint="eastAsia"/>
          <w:lang w:val="ja-JP"/>
        </w:rPr>
        <w:t>109年1月17日函復略</w:t>
      </w:r>
      <w:r w:rsidR="00A37F1C" w:rsidRPr="00F00705">
        <w:rPr>
          <w:rFonts w:hint="eastAsia"/>
          <w:lang w:val="ja-JP"/>
        </w:rPr>
        <w:t>稱</w:t>
      </w:r>
      <w:r w:rsidR="00347126" w:rsidRPr="00F00705">
        <w:rPr>
          <w:rFonts w:ascii="新細明體" w:eastAsia="新細明體" w:hAnsi="新細明體" w:hint="eastAsia"/>
          <w:lang w:val="ja-JP"/>
        </w:rPr>
        <w:t>：</w:t>
      </w:r>
      <w:r w:rsidR="00A37F1C" w:rsidRPr="00F00705">
        <w:rPr>
          <w:rFonts w:hint="eastAsia"/>
          <w:lang w:val="ja-JP"/>
        </w:rPr>
        <w:t>財政部76年台財證(二)字第900號公告為</w:t>
      </w:r>
      <w:r w:rsidR="00F9005D" w:rsidRPr="00F00705">
        <w:rPr>
          <w:rFonts w:hint="eastAsia"/>
          <w:lang w:val="ja-JP"/>
        </w:rPr>
        <w:t>TDR</w:t>
      </w:r>
      <w:r w:rsidR="00A37F1C" w:rsidRPr="00F00705">
        <w:rPr>
          <w:rFonts w:hint="eastAsia"/>
          <w:lang w:val="ja-JP"/>
        </w:rPr>
        <w:t>業經主管機關行使核定權之依據</w:t>
      </w:r>
      <w:r w:rsidR="00347126" w:rsidRPr="00F00705">
        <w:rPr>
          <w:rStyle w:val="aff"/>
          <w:rFonts w:hAnsi="標楷體"/>
          <w:lang w:val="ja-JP"/>
        </w:rPr>
        <w:footnoteReference w:id="4"/>
      </w:r>
      <w:r w:rsidR="00A37F1C" w:rsidRPr="00F00705">
        <w:rPr>
          <w:rFonts w:hint="eastAsia"/>
          <w:lang w:val="ja-JP"/>
        </w:rPr>
        <w:t>。</w:t>
      </w:r>
    </w:p>
    <w:p w:rsidR="009029E6" w:rsidRPr="00F00705" w:rsidRDefault="00975A5F" w:rsidP="00135960">
      <w:pPr>
        <w:pStyle w:val="4"/>
        <w:rPr>
          <w:lang w:val="ja-JP"/>
        </w:rPr>
      </w:pPr>
      <w:r w:rsidRPr="00F00705">
        <w:rPr>
          <w:rFonts w:hint="eastAsia"/>
          <w:lang w:val="ja-JP"/>
        </w:rPr>
        <w:t>惟查，TDR是否業經主管機關行使核定權，而有證交法相關規範之適用，不無疑義。按</w:t>
      </w:r>
      <w:r w:rsidR="00D620AA" w:rsidRPr="00F00705">
        <w:rPr>
          <w:rFonts w:hint="eastAsia"/>
          <w:lang w:val="ja-JP"/>
        </w:rPr>
        <w:t>TDR</w:t>
      </w:r>
      <w:r w:rsidR="004514F3" w:rsidRPr="00F00705">
        <w:rPr>
          <w:rFonts w:hint="eastAsia"/>
          <w:lang w:val="ja-JP"/>
        </w:rPr>
        <w:t>的性質究屬</w:t>
      </w:r>
      <w:r w:rsidR="00D620AA" w:rsidRPr="00F00705">
        <w:rPr>
          <w:rFonts w:hint="eastAsia"/>
          <w:lang w:val="ja-JP"/>
        </w:rPr>
        <w:t>「我國有價證券」</w:t>
      </w:r>
      <w:r w:rsidR="00C82CAC" w:rsidRPr="00F00705">
        <w:rPr>
          <w:rFonts w:hint="eastAsia"/>
          <w:lang w:val="ja-JP"/>
        </w:rPr>
        <w:t>抑或「外國有</w:t>
      </w:r>
      <w:r w:rsidR="00F20B89" w:rsidRPr="00F00705">
        <w:rPr>
          <w:rFonts w:hint="eastAsia"/>
          <w:lang w:val="ja-JP"/>
        </w:rPr>
        <w:t>價證券」</w:t>
      </w:r>
      <w:r w:rsidR="00C237C5" w:rsidRPr="00F00705">
        <w:rPr>
          <w:rFonts w:hint="eastAsia"/>
          <w:lang w:val="ja-JP"/>
        </w:rPr>
        <w:t>？不論學說或</w:t>
      </w:r>
      <w:r w:rsidR="00D620AA" w:rsidRPr="00F00705">
        <w:rPr>
          <w:rFonts w:hint="eastAsia"/>
          <w:lang w:val="ja-JP"/>
        </w:rPr>
        <w:t>司法實務</w:t>
      </w:r>
      <w:r w:rsidR="00F20B89" w:rsidRPr="00F00705">
        <w:rPr>
          <w:rFonts w:hint="eastAsia"/>
          <w:lang w:val="ja-JP"/>
        </w:rPr>
        <w:t>，</w:t>
      </w:r>
      <w:r w:rsidR="00D620AA" w:rsidRPr="00F00705">
        <w:rPr>
          <w:rFonts w:hint="eastAsia"/>
          <w:lang w:val="ja-JP"/>
        </w:rPr>
        <w:t>均存在歧見</w:t>
      </w:r>
      <w:r w:rsidR="00656EED" w:rsidRPr="00F00705">
        <w:rPr>
          <w:rFonts w:hint="eastAsia"/>
          <w:lang w:val="ja-JP"/>
        </w:rPr>
        <w:t>。</w:t>
      </w:r>
      <w:r w:rsidR="00F9005D" w:rsidRPr="00F00705">
        <w:rPr>
          <w:rFonts w:hint="eastAsia"/>
          <w:lang w:val="ja-JP"/>
        </w:rPr>
        <w:t>學說上</w:t>
      </w:r>
      <w:r w:rsidR="00AD1C82" w:rsidRPr="00F00705">
        <w:rPr>
          <w:rFonts w:ascii="新細明體" w:eastAsia="新細明體" w:hAnsi="新細明體" w:hint="eastAsia"/>
          <w:lang w:val="ja-JP"/>
        </w:rPr>
        <w:t>，</w:t>
      </w:r>
      <w:r w:rsidR="00AD1C82" w:rsidRPr="00F00705">
        <w:rPr>
          <w:rFonts w:hint="eastAsia"/>
          <w:lang w:val="ja-JP"/>
        </w:rPr>
        <w:t>有主張</w:t>
      </w:r>
      <w:r w:rsidR="00F9005D" w:rsidRPr="00F00705">
        <w:rPr>
          <w:rFonts w:hint="eastAsia"/>
          <w:lang w:val="ja-JP"/>
        </w:rPr>
        <w:t>TDR係依我國法募集、發行，</w:t>
      </w:r>
      <w:r w:rsidR="009C088C" w:rsidRPr="00F00705">
        <w:rPr>
          <w:rFonts w:hint="eastAsia"/>
          <w:lang w:val="ja-JP"/>
        </w:rPr>
        <w:t>準據法係我國法，係</w:t>
      </w:r>
      <w:r w:rsidR="00F9005D" w:rsidRPr="00F00705">
        <w:rPr>
          <w:rFonts w:hint="eastAsia"/>
          <w:lang w:val="ja-JP"/>
        </w:rPr>
        <w:t>屬我國有價證券</w:t>
      </w:r>
      <w:r w:rsidR="00405955" w:rsidRPr="00F00705">
        <w:rPr>
          <w:rFonts w:hint="eastAsia"/>
          <w:lang w:val="ja-JP"/>
        </w:rPr>
        <w:t>，而非外國有價證券</w:t>
      </w:r>
      <w:r w:rsidR="00F9005D" w:rsidRPr="00F00705">
        <w:rPr>
          <w:rStyle w:val="aff"/>
          <w:rFonts w:hAnsi="標楷體"/>
          <w:lang w:val="ja-JP"/>
        </w:rPr>
        <w:footnoteReference w:id="5"/>
      </w:r>
      <w:r w:rsidR="00416AD6" w:rsidRPr="00F00705">
        <w:rPr>
          <w:rFonts w:hint="eastAsia"/>
          <w:lang w:val="ja-JP"/>
        </w:rPr>
        <w:t>；</w:t>
      </w:r>
      <w:r w:rsidR="00656EED" w:rsidRPr="00F00705">
        <w:rPr>
          <w:rFonts w:hint="eastAsia"/>
          <w:lang w:val="ja-JP"/>
        </w:rPr>
        <w:t>有主張</w:t>
      </w:r>
      <w:r w:rsidR="007A7952" w:rsidRPr="00F00705">
        <w:rPr>
          <w:rFonts w:hint="eastAsia"/>
          <w:lang w:val="ja-JP"/>
        </w:rPr>
        <w:t>TDR係屬外國有價證券</w:t>
      </w:r>
      <w:r w:rsidR="007A7952" w:rsidRPr="00F00705">
        <w:rPr>
          <w:rStyle w:val="aff"/>
          <w:rFonts w:hAnsi="標楷體"/>
          <w:lang w:val="ja-JP"/>
        </w:rPr>
        <w:footnoteReference w:id="6"/>
      </w:r>
      <w:r w:rsidR="00D1696A" w:rsidRPr="00F00705">
        <w:rPr>
          <w:rFonts w:hint="eastAsia"/>
          <w:lang w:val="ja-JP"/>
        </w:rPr>
        <w:t>；有</w:t>
      </w:r>
      <w:r w:rsidR="009B7586" w:rsidRPr="00F00705">
        <w:rPr>
          <w:rFonts w:hint="eastAsia"/>
          <w:lang w:val="ja-JP"/>
        </w:rPr>
        <w:t>主張</w:t>
      </w:r>
      <w:r w:rsidR="00A51B90" w:rsidRPr="00F00705">
        <w:rPr>
          <w:rFonts w:hint="eastAsia"/>
          <w:lang w:val="ja-JP"/>
        </w:rPr>
        <w:t>TDR兼具</w:t>
      </w:r>
      <w:r w:rsidR="009B7586" w:rsidRPr="00F00705">
        <w:rPr>
          <w:rFonts w:hint="eastAsia"/>
          <w:lang w:val="ja-JP"/>
        </w:rPr>
        <w:t>我</w:t>
      </w:r>
      <w:r w:rsidR="00A51B90" w:rsidRPr="00F00705">
        <w:rPr>
          <w:rFonts w:hint="eastAsia"/>
          <w:lang w:val="ja-JP"/>
        </w:rPr>
        <w:t>國及外國有價證券性質</w:t>
      </w:r>
      <w:r w:rsidR="00A51B90" w:rsidRPr="00F00705">
        <w:rPr>
          <w:rStyle w:val="aff"/>
          <w:rFonts w:hAnsi="標楷體"/>
          <w:lang w:val="ja-JP"/>
        </w:rPr>
        <w:footnoteReference w:id="7"/>
      </w:r>
      <w:r w:rsidR="00E053BB" w:rsidRPr="00F00705">
        <w:rPr>
          <w:rFonts w:hint="eastAsia"/>
          <w:lang w:val="ja-JP"/>
        </w:rPr>
        <w:t>；</w:t>
      </w:r>
      <w:r w:rsidR="009C088C" w:rsidRPr="00F00705">
        <w:rPr>
          <w:rFonts w:hint="eastAsia"/>
          <w:lang w:val="ja-JP"/>
        </w:rPr>
        <w:t>有</w:t>
      </w:r>
      <w:r w:rsidR="009B7586" w:rsidRPr="00F00705">
        <w:rPr>
          <w:rFonts w:hint="eastAsia"/>
          <w:lang w:val="ja-JP"/>
        </w:rPr>
        <w:t>主張</w:t>
      </w:r>
      <w:r w:rsidR="00416AD6" w:rsidRPr="00F00705">
        <w:rPr>
          <w:rFonts w:hint="eastAsia"/>
          <w:lang w:val="ja-JP"/>
        </w:rPr>
        <w:t>TDR指表彰存放於保管機構的外國有價證券之憑證</w:t>
      </w:r>
      <w:r w:rsidR="00416AD6" w:rsidRPr="00F00705">
        <w:rPr>
          <w:rStyle w:val="aff"/>
          <w:rFonts w:hAnsi="標楷體"/>
          <w:lang w:val="ja-JP"/>
        </w:rPr>
        <w:footnoteReference w:id="8"/>
      </w:r>
      <w:r w:rsidR="009C088C" w:rsidRPr="00F00705">
        <w:rPr>
          <w:rFonts w:hint="eastAsia"/>
          <w:lang w:val="ja-JP"/>
        </w:rPr>
        <w:t>；司法實務上</w:t>
      </w:r>
      <w:r w:rsidR="005A5864" w:rsidRPr="00F00705">
        <w:rPr>
          <w:rFonts w:hint="eastAsia"/>
          <w:lang w:val="ja-JP"/>
        </w:rPr>
        <w:t>，</w:t>
      </w:r>
      <w:r w:rsidR="009029E6" w:rsidRPr="00F00705">
        <w:rPr>
          <w:rFonts w:hint="eastAsia"/>
          <w:lang w:val="ja-JP"/>
        </w:rPr>
        <w:t>對於</w:t>
      </w:r>
      <w:r w:rsidR="004514F3" w:rsidRPr="00F00705">
        <w:rPr>
          <w:rFonts w:hint="eastAsia"/>
          <w:lang w:val="ja-JP"/>
        </w:rPr>
        <w:t>TDR</w:t>
      </w:r>
      <w:r w:rsidR="009029E6" w:rsidRPr="00F00705">
        <w:rPr>
          <w:rFonts w:hint="eastAsia"/>
          <w:lang w:val="ja-JP"/>
        </w:rPr>
        <w:t>究係</w:t>
      </w:r>
      <w:r w:rsidR="004514F3" w:rsidRPr="00F00705">
        <w:rPr>
          <w:rFonts w:hint="eastAsia"/>
          <w:lang w:val="ja-JP"/>
        </w:rPr>
        <w:t>我國有價證券</w:t>
      </w:r>
      <w:r w:rsidR="009029E6" w:rsidRPr="00F00705">
        <w:rPr>
          <w:rFonts w:hint="eastAsia"/>
          <w:lang w:val="ja-JP"/>
        </w:rPr>
        <w:t>或外國有價證券</w:t>
      </w:r>
      <w:r w:rsidR="009C088C" w:rsidRPr="00F00705">
        <w:rPr>
          <w:rFonts w:ascii="新細明體" w:eastAsia="新細明體" w:hAnsi="新細明體" w:hint="eastAsia"/>
          <w:lang w:val="ja-JP"/>
        </w:rPr>
        <w:t>，</w:t>
      </w:r>
      <w:r w:rsidR="009C088C" w:rsidRPr="00F00705">
        <w:rPr>
          <w:rFonts w:hint="eastAsia"/>
          <w:lang w:val="ja-JP"/>
        </w:rPr>
        <w:t>定性</w:t>
      </w:r>
      <w:r w:rsidR="009029E6" w:rsidRPr="00F00705">
        <w:rPr>
          <w:rFonts w:hint="eastAsia"/>
          <w:lang w:val="ja-JP"/>
        </w:rPr>
        <w:t>亦</w:t>
      </w:r>
      <w:r w:rsidR="009C088C" w:rsidRPr="00F00705">
        <w:rPr>
          <w:rFonts w:hint="eastAsia"/>
          <w:lang w:val="ja-JP"/>
        </w:rPr>
        <w:t>莫衷一是</w:t>
      </w:r>
      <w:r w:rsidR="009029E6" w:rsidRPr="00F00705">
        <w:rPr>
          <w:vertAlign w:val="superscript"/>
          <w:lang w:val="ja-JP"/>
        </w:rPr>
        <w:footnoteReference w:id="9"/>
      </w:r>
      <w:r w:rsidR="004514F3" w:rsidRPr="00F00705">
        <w:rPr>
          <w:rFonts w:hint="eastAsia"/>
          <w:lang w:val="ja-JP"/>
        </w:rPr>
        <w:t>。</w:t>
      </w:r>
      <w:r w:rsidR="000938BD" w:rsidRPr="00F00705">
        <w:rPr>
          <w:rFonts w:hint="eastAsia"/>
          <w:lang w:val="ja-JP"/>
        </w:rPr>
        <w:t>主張</w:t>
      </w:r>
      <w:r w:rsidR="00FD096C" w:rsidRPr="00F00705">
        <w:rPr>
          <w:rFonts w:hint="eastAsia"/>
          <w:lang w:val="ja-JP"/>
        </w:rPr>
        <w:t>TDR</w:t>
      </w:r>
      <w:r w:rsidR="00C237C5" w:rsidRPr="00F00705">
        <w:rPr>
          <w:rFonts w:hint="eastAsia"/>
          <w:lang w:val="ja-JP"/>
        </w:rPr>
        <w:t>為</w:t>
      </w:r>
      <w:r w:rsidR="000938BD" w:rsidRPr="00F00705">
        <w:rPr>
          <w:rFonts w:hint="eastAsia"/>
          <w:lang w:val="ja-JP"/>
        </w:rPr>
        <w:t>我國有價證券</w:t>
      </w:r>
      <w:r w:rsidR="00856576" w:rsidRPr="00F00705">
        <w:rPr>
          <w:rFonts w:hint="eastAsia"/>
          <w:lang w:val="ja-JP"/>
        </w:rPr>
        <w:t>者</w:t>
      </w:r>
      <w:r w:rsidR="009C088C" w:rsidRPr="00F00705">
        <w:rPr>
          <w:rFonts w:hint="eastAsia"/>
          <w:lang w:val="ja-JP"/>
        </w:rPr>
        <w:t>認為</w:t>
      </w:r>
      <w:r w:rsidR="00856576" w:rsidRPr="00F00705">
        <w:rPr>
          <w:rFonts w:ascii="新細明體" w:eastAsia="新細明體" w:hAnsi="新細明體" w:hint="eastAsia"/>
          <w:lang w:val="ja-JP"/>
        </w:rPr>
        <w:t>，</w:t>
      </w:r>
      <w:r w:rsidR="00C237C5" w:rsidRPr="00F00705">
        <w:rPr>
          <w:rFonts w:hint="eastAsia"/>
          <w:lang w:val="ja-JP"/>
        </w:rPr>
        <w:t>財</w:t>
      </w:r>
      <w:r w:rsidR="00C237C5" w:rsidRPr="00F00705">
        <w:rPr>
          <w:rFonts w:hint="eastAsia"/>
          <w:lang w:val="ja-JP"/>
        </w:rPr>
        <w:lastRenderedPageBreak/>
        <w:t>政部76年台財證(二)字第900號公告既係規範「外國其他具有投資性質之有價證券」，</w:t>
      </w:r>
      <w:r w:rsidR="009C088C" w:rsidRPr="00F00705">
        <w:rPr>
          <w:rFonts w:hint="eastAsia"/>
          <w:lang w:val="ja-JP"/>
        </w:rPr>
        <w:t>而TDR</w:t>
      </w:r>
      <w:r w:rsidR="00C237C5" w:rsidRPr="00F00705">
        <w:rPr>
          <w:rFonts w:hint="eastAsia"/>
          <w:lang w:val="ja-JP"/>
        </w:rPr>
        <w:t>屬於我國有價證券</w:t>
      </w:r>
      <w:r w:rsidR="009C088C" w:rsidRPr="00F00705">
        <w:rPr>
          <w:rFonts w:ascii="新細明體" w:eastAsia="新細明體" w:hAnsi="新細明體" w:hint="eastAsia"/>
          <w:lang w:val="ja-JP"/>
        </w:rPr>
        <w:t>，</w:t>
      </w:r>
      <w:r w:rsidR="009C088C" w:rsidRPr="00F00705">
        <w:rPr>
          <w:rFonts w:hint="eastAsia"/>
          <w:lang w:val="ja-JP"/>
        </w:rPr>
        <w:t>自非該號公告範圍所及</w:t>
      </w:r>
      <w:r w:rsidR="00EE7CB3" w:rsidRPr="00F00705">
        <w:rPr>
          <w:rFonts w:hint="eastAsia"/>
          <w:lang w:val="ja-JP"/>
        </w:rPr>
        <w:t>，</w:t>
      </w:r>
      <w:r w:rsidR="00ED3C97" w:rsidRPr="00F00705">
        <w:rPr>
          <w:rFonts w:hint="eastAsia"/>
          <w:lang w:val="ja-JP"/>
        </w:rPr>
        <w:t>因此</w:t>
      </w:r>
      <w:r w:rsidR="000938BD" w:rsidRPr="00F00705">
        <w:rPr>
          <w:rFonts w:hint="eastAsia"/>
          <w:lang w:val="ja-JP"/>
        </w:rPr>
        <w:t>認為TDR</w:t>
      </w:r>
      <w:r w:rsidR="00ED3C97" w:rsidRPr="00F00705">
        <w:rPr>
          <w:rFonts w:hint="eastAsia"/>
          <w:lang w:val="ja-JP"/>
        </w:rPr>
        <w:t>並</w:t>
      </w:r>
      <w:r w:rsidR="000938BD" w:rsidRPr="00F00705">
        <w:rPr>
          <w:rFonts w:hint="eastAsia"/>
          <w:lang w:val="ja-JP"/>
        </w:rPr>
        <w:t>未經</w:t>
      </w:r>
      <w:r w:rsidR="00EE7CB3" w:rsidRPr="00F00705">
        <w:rPr>
          <w:rFonts w:hint="eastAsia"/>
          <w:lang w:val="ja-JP"/>
        </w:rPr>
        <w:t>主管機關行使核定權。</w:t>
      </w:r>
    </w:p>
    <w:p w:rsidR="006955AD" w:rsidRPr="00F00705" w:rsidRDefault="00975A5F" w:rsidP="00135960">
      <w:pPr>
        <w:pStyle w:val="4"/>
        <w:rPr>
          <w:lang w:val="ja-JP"/>
        </w:rPr>
      </w:pPr>
      <w:r w:rsidRPr="00F00705">
        <w:rPr>
          <w:rFonts w:hint="eastAsia"/>
          <w:lang w:val="ja-JP"/>
        </w:rPr>
        <w:t>有關</w:t>
      </w:r>
      <w:r w:rsidR="009029E6" w:rsidRPr="00F00705">
        <w:rPr>
          <w:rFonts w:hint="eastAsia"/>
          <w:lang w:val="ja-JP"/>
        </w:rPr>
        <w:t>TDR</w:t>
      </w:r>
      <w:r w:rsidR="00E803E6" w:rsidRPr="00F00705">
        <w:rPr>
          <w:rFonts w:hint="eastAsia"/>
          <w:lang w:val="ja-JP"/>
        </w:rPr>
        <w:t>定性之爭</w:t>
      </w:r>
      <w:r w:rsidRPr="00F00705">
        <w:rPr>
          <w:rFonts w:hint="eastAsia"/>
          <w:lang w:val="ja-JP"/>
        </w:rPr>
        <w:t>議</w:t>
      </w:r>
      <w:r w:rsidR="006F4C9B" w:rsidRPr="00F00705">
        <w:rPr>
          <w:rFonts w:hint="eastAsia"/>
          <w:lang w:val="ja-JP"/>
        </w:rPr>
        <w:t>，雖詢據金管會函復本院表示</w:t>
      </w:r>
      <w:r w:rsidR="000217D4" w:rsidRPr="00F00705">
        <w:rPr>
          <w:rFonts w:hint="eastAsia"/>
          <w:lang w:val="ja-JP"/>
        </w:rPr>
        <w:t>：</w:t>
      </w:r>
      <w:r w:rsidR="000217D4" w:rsidRPr="00F00705">
        <w:t>TDR</w:t>
      </w:r>
      <w:r w:rsidR="000217D4" w:rsidRPr="00F00705">
        <w:rPr>
          <w:lang w:val="ja-JP"/>
        </w:rPr>
        <w:t>係存託機構在國内所發行表彰存於保管機構之外國發行人有價證券之憑證，爰持有人為外國發行公司之實質股東，得經由存託機構對於原表彰之有價證券發行公司主張股息、紅利、剩餘財產之分配，以及行使投票權，核屬財政部76年台財證（二）第900號公告所稱具有投資性質之有價證券，為證交法第6條第1項所</w:t>
      </w:r>
      <w:r w:rsidR="005517E4" w:rsidRPr="00F00705">
        <w:rPr>
          <w:lang w:val="ja-JP"/>
        </w:rPr>
        <w:t>稱經主管機關核定之其他有</w:t>
      </w:r>
      <w:r w:rsidR="005517E4" w:rsidRPr="00F00705">
        <w:rPr>
          <w:rFonts w:hint="eastAsia"/>
          <w:lang w:val="ja-JP"/>
        </w:rPr>
        <w:t>價</w:t>
      </w:r>
      <w:r w:rsidR="000217D4" w:rsidRPr="00F00705">
        <w:rPr>
          <w:lang w:val="ja-JP"/>
        </w:rPr>
        <w:t>證券</w:t>
      </w:r>
      <w:r w:rsidR="000217D4" w:rsidRPr="00F00705">
        <w:rPr>
          <w:rFonts w:ascii="新細明體" w:eastAsia="新細明體" w:hAnsi="新細明體" w:hint="eastAsia"/>
          <w:lang w:val="ja-JP"/>
        </w:rPr>
        <w:t>，</w:t>
      </w:r>
      <w:r w:rsidR="00D15B4F" w:rsidRPr="00F00705">
        <w:rPr>
          <w:rFonts w:hint="eastAsia"/>
          <w:lang w:val="ja-JP"/>
        </w:rPr>
        <w:t>國內多數學者認為TDR係屬證交法規範之有價證券</w:t>
      </w:r>
      <w:r w:rsidR="000217D4" w:rsidRPr="00F00705">
        <w:rPr>
          <w:rFonts w:hint="eastAsia"/>
          <w:lang w:val="ja-JP"/>
        </w:rPr>
        <w:t>等語。</w:t>
      </w:r>
      <w:r w:rsidRPr="00F00705">
        <w:rPr>
          <w:rFonts w:hint="eastAsia"/>
          <w:lang w:val="ja-JP"/>
        </w:rPr>
        <w:t>然</w:t>
      </w:r>
      <w:r w:rsidR="00187E58" w:rsidRPr="00F00705">
        <w:rPr>
          <w:rFonts w:hint="eastAsia"/>
          <w:lang w:val="ja-JP"/>
        </w:rPr>
        <w:t>查</w:t>
      </w:r>
      <w:r w:rsidR="00187E58" w:rsidRPr="00F00705">
        <w:rPr>
          <w:rFonts w:ascii="新細明體" w:eastAsia="新細明體" w:hAnsi="新細明體" w:hint="eastAsia"/>
          <w:lang w:val="ja-JP"/>
        </w:rPr>
        <w:t>，</w:t>
      </w:r>
      <w:r w:rsidR="000217D4" w:rsidRPr="00F00705">
        <w:rPr>
          <w:rFonts w:hint="eastAsia"/>
          <w:lang w:val="ja-JP"/>
        </w:rPr>
        <w:t>金管會</w:t>
      </w:r>
      <w:r w:rsidR="00092D14" w:rsidRPr="00F00705">
        <w:rPr>
          <w:rFonts w:hint="eastAsia"/>
          <w:lang w:val="ja-JP"/>
        </w:rPr>
        <w:t>所為</w:t>
      </w:r>
      <w:r w:rsidR="000217D4" w:rsidRPr="00F00705">
        <w:rPr>
          <w:rFonts w:hint="eastAsia"/>
          <w:lang w:val="ja-JP"/>
        </w:rPr>
        <w:t>之說</w:t>
      </w:r>
      <w:r w:rsidR="00187E58" w:rsidRPr="00F00705">
        <w:rPr>
          <w:rFonts w:hint="eastAsia"/>
          <w:lang w:val="ja-JP"/>
        </w:rPr>
        <w:t>明</w:t>
      </w:r>
      <w:r w:rsidR="000217D4" w:rsidRPr="00F00705">
        <w:rPr>
          <w:rFonts w:ascii="新細明體" w:eastAsia="新細明體" w:hAnsi="新細明體" w:hint="eastAsia"/>
          <w:lang w:val="ja-JP"/>
        </w:rPr>
        <w:t>，</w:t>
      </w:r>
      <w:r w:rsidR="009E7921" w:rsidRPr="00F00705">
        <w:rPr>
          <w:rFonts w:hint="eastAsia"/>
          <w:lang w:val="ja-JP"/>
        </w:rPr>
        <w:t>尚</w:t>
      </w:r>
      <w:r w:rsidR="00D15B4F" w:rsidRPr="00F00705">
        <w:rPr>
          <w:rFonts w:hint="eastAsia"/>
          <w:lang w:val="ja-JP"/>
        </w:rPr>
        <w:t>未能釐清TDR究屬我國有價證券或外國有價證券之定性問題</w:t>
      </w:r>
      <w:r w:rsidR="00E803E6" w:rsidRPr="00F00705">
        <w:rPr>
          <w:rFonts w:hAnsi="標楷體" w:hint="eastAsia"/>
          <w:lang w:val="ja-JP"/>
        </w:rPr>
        <w:t>，</w:t>
      </w:r>
      <w:r w:rsidR="00ED3C97" w:rsidRPr="00F00705">
        <w:rPr>
          <w:rFonts w:hint="eastAsia"/>
          <w:lang w:val="ja-JP"/>
        </w:rPr>
        <w:t>蓋</w:t>
      </w:r>
      <w:r w:rsidR="00187E58" w:rsidRPr="00F00705">
        <w:rPr>
          <w:rFonts w:hint="eastAsia"/>
          <w:lang w:val="ja-JP"/>
        </w:rPr>
        <w:t>TDR之</w:t>
      </w:r>
      <w:r w:rsidR="00D15B4F" w:rsidRPr="00F00705">
        <w:rPr>
          <w:rFonts w:hint="eastAsia"/>
          <w:lang w:val="ja-JP"/>
        </w:rPr>
        <w:t>定性</w:t>
      </w:r>
      <w:r w:rsidR="00187E58" w:rsidRPr="00F00705">
        <w:rPr>
          <w:rFonts w:ascii="新細明體" w:eastAsia="新細明體" w:hAnsi="新細明體" w:hint="eastAsia"/>
          <w:lang w:val="ja-JP"/>
        </w:rPr>
        <w:t>，</w:t>
      </w:r>
      <w:r w:rsidR="0088412F" w:rsidRPr="00F00705">
        <w:rPr>
          <w:rFonts w:hint="eastAsia"/>
          <w:lang w:val="ja-JP"/>
        </w:rPr>
        <w:t>應由</w:t>
      </w:r>
      <w:r w:rsidR="00D15B4F" w:rsidRPr="00F00705">
        <w:rPr>
          <w:rFonts w:hint="eastAsia"/>
          <w:lang w:val="ja-JP"/>
        </w:rPr>
        <w:t>法理論</w:t>
      </w:r>
      <w:r w:rsidR="0088412F" w:rsidRPr="00F00705">
        <w:rPr>
          <w:rFonts w:hint="eastAsia"/>
          <w:lang w:val="ja-JP"/>
        </w:rPr>
        <w:t>述</w:t>
      </w:r>
      <w:r w:rsidR="00D15B4F" w:rsidRPr="00F00705">
        <w:rPr>
          <w:rFonts w:hint="eastAsia"/>
          <w:lang w:val="ja-JP"/>
        </w:rPr>
        <w:t>，不宜</w:t>
      </w:r>
      <w:r w:rsidR="0088412F" w:rsidRPr="00F00705">
        <w:rPr>
          <w:rFonts w:hint="eastAsia"/>
          <w:lang w:val="ja-JP"/>
        </w:rPr>
        <w:t>遽</w:t>
      </w:r>
      <w:r w:rsidR="00D15B4F" w:rsidRPr="00F00705">
        <w:rPr>
          <w:rFonts w:hint="eastAsia"/>
          <w:lang w:val="ja-JP"/>
        </w:rPr>
        <w:t>以多數說、少數說</w:t>
      </w:r>
      <w:r w:rsidR="0088412F" w:rsidRPr="00F00705">
        <w:rPr>
          <w:rFonts w:hint="eastAsia"/>
          <w:lang w:val="ja-JP"/>
        </w:rPr>
        <w:t>予以論斷</w:t>
      </w:r>
      <w:r w:rsidR="00D15B4F" w:rsidRPr="00F00705">
        <w:rPr>
          <w:rFonts w:hint="eastAsia"/>
          <w:lang w:val="ja-JP"/>
        </w:rPr>
        <w:t>，蓋多數說或少數說，或隨時間經過而有變異</w:t>
      </w:r>
      <w:r w:rsidR="00E803E6" w:rsidRPr="00F00705">
        <w:rPr>
          <w:rFonts w:hAnsi="標楷體" w:hint="eastAsia"/>
          <w:lang w:val="ja-JP"/>
        </w:rPr>
        <w:t>。</w:t>
      </w:r>
    </w:p>
    <w:p w:rsidR="008F5551" w:rsidRPr="00F00705" w:rsidRDefault="00E803E6" w:rsidP="00E803E6">
      <w:pPr>
        <w:pStyle w:val="4"/>
        <w:rPr>
          <w:lang w:val="ja-JP"/>
        </w:rPr>
      </w:pPr>
      <w:r w:rsidRPr="00F00705">
        <w:rPr>
          <w:rFonts w:hint="eastAsia"/>
          <w:lang w:val="ja-JP"/>
        </w:rPr>
        <w:t>按</w:t>
      </w:r>
      <w:r w:rsidR="00BF4062" w:rsidRPr="00F00705">
        <w:rPr>
          <w:rFonts w:hint="eastAsia"/>
          <w:lang w:val="ja-JP"/>
        </w:rPr>
        <w:t>證交法第6條第1項</w:t>
      </w:r>
      <w:r w:rsidR="00C3310B" w:rsidRPr="00F00705">
        <w:rPr>
          <w:rFonts w:hint="eastAsia"/>
          <w:lang w:val="ja-JP"/>
        </w:rPr>
        <w:t>授權主管機關行使有價證券之核定權，因係適用證交法中刑事處罰規定之前提要件，</w:t>
      </w:r>
      <w:r w:rsidR="00425764" w:rsidRPr="00F00705">
        <w:rPr>
          <w:rFonts w:hint="eastAsia"/>
          <w:lang w:val="ja-JP"/>
        </w:rPr>
        <w:t>其性質上屬於層級化法律保留中之絕對法律保留事項，如以法律授權主管機關訂定法規命令作為補充規定，其授權亦應符合具體明確之原則</w:t>
      </w:r>
      <w:r w:rsidR="00795D2F" w:rsidRPr="00F00705">
        <w:rPr>
          <w:rFonts w:hint="eastAsia"/>
          <w:lang w:val="ja-JP"/>
        </w:rPr>
        <w:t>，</w:t>
      </w:r>
      <w:r w:rsidR="009C088C" w:rsidRPr="00F00705">
        <w:rPr>
          <w:rFonts w:hint="eastAsia"/>
          <w:lang w:val="ja-JP"/>
        </w:rPr>
        <w:t>且</w:t>
      </w:r>
      <w:r w:rsidR="00F23560" w:rsidRPr="00F00705">
        <w:rPr>
          <w:rFonts w:hint="eastAsia"/>
          <w:lang w:val="ja-JP"/>
        </w:rPr>
        <w:t>不得</w:t>
      </w:r>
      <w:r w:rsidR="00795D2F" w:rsidRPr="00F00705">
        <w:rPr>
          <w:rFonts w:hint="eastAsia"/>
          <w:lang w:val="ja-JP"/>
        </w:rPr>
        <w:t>於授權命令中，</w:t>
      </w:r>
      <w:r w:rsidR="00F23560" w:rsidRPr="00F00705">
        <w:rPr>
          <w:rFonts w:hint="eastAsia"/>
          <w:lang w:val="ja-JP"/>
        </w:rPr>
        <w:t>再</w:t>
      </w:r>
      <w:r w:rsidR="00795D2F" w:rsidRPr="00F00705">
        <w:rPr>
          <w:rFonts w:hint="eastAsia"/>
          <w:lang w:val="ja-JP"/>
        </w:rPr>
        <w:t>以概括規定補充解釋</w:t>
      </w:r>
      <w:r w:rsidR="009E2639" w:rsidRPr="00F00705">
        <w:rPr>
          <w:rFonts w:hint="eastAsia"/>
          <w:lang w:val="ja-JP"/>
        </w:rPr>
        <w:t>證交法第6條第1項之</w:t>
      </w:r>
      <w:r w:rsidR="00F23560" w:rsidRPr="00F00705">
        <w:rPr>
          <w:rFonts w:hint="eastAsia"/>
          <w:lang w:val="ja-JP"/>
        </w:rPr>
        <w:t>概括</w:t>
      </w:r>
      <w:r w:rsidR="009E2639" w:rsidRPr="00F00705">
        <w:rPr>
          <w:rFonts w:hint="eastAsia"/>
          <w:lang w:val="ja-JP"/>
        </w:rPr>
        <w:t>核定權</w:t>
      </w:r>
      <w:r w:rsidR="00425764" w:rsidRPr="00F00705">
        <w:rPr>
          <w:rFonts w:hint="eastAsia"/>
          <w:lang w:val="ja-JP"/>
        </w:rPr>
        <w:t>。又依行政程序法第1</w:t>
      </w:r>
      <w:r w:rsidR="00425764" w:rsidRPr="00F00705">
        <w:rPr>
          <w:lang w:val="ja-JP" w:eastAsia="ja-JP"/>
        </w:rPr>
        <w:t>57</w:t>
      </w:r>
      <w:r w:rsidR="00493AC1" w:rsidRPr="00F00705">
        <w:rPr>
          <w:rFonts w:cs="微軟正黑體" w:hint="eastAsia"/>
          <w:lang w:val="ja-JP"/>
        </w:rPr>
        <w:t>條規定，所謂核定，</w:t>
      </w:r>
      <w:r w:rsidR="00F23560" w:rsidRPr="00F00705">
        <w:rPr>
          <w:rFonts w:cs="微軟正黑體" w:hint="eastAsia"/>
          <w:lang w:val="ja-JP"/>
        </w:rPr>
        <w:t>應指機關之審核決定，是否為我國證交法上之有價證券，事涉嚴刑峻</w:t>
      </w:r>
      <w:r w:rsidR="00795D2F" w:rsidRPr="00F00705">
        <w:rPr>
          <w:rFonts w:cs="微軟正黑體" w:hint="eastAsia"/>
          <w:lang w:val="ja-JP"/>
        </w:rPr>
        <w:t>罰，自應審慎，應認</w:t>
      </w:r>
      <w:r w:rsidR="009E2639" w:rsidRPr="00F00705">
        <w:rPr>
          <w:rFonts w:cs="微軟正黑體" w:hint="eastAsia"/>
          <w:lang w:val="ja-JP"/>
        </w:rPr>
        <w:t>立法者</w:t>
      </w:r>
      <w:r w:rsidR="00795D2F" w:rsidRPr="00F00705">
        <w:rPr>
          <w:rFonts w:cs="微軟正黑體" w:hint="eastAsia"/>
          <w:lang w:val="ja-JP"/>
        </w:rPr>
        <w:t>係課與主管機關以個別、具體的方式行使核定權</w:t>
      </w:r>
      <w:r w:rsidR="009E2639" w:rsidRPr="00F00705">
        <w:rPr>
          <w:rFonts w:cs="微軟正黑體" w:hint="eastAsia"/>
          <w:lang w:val="ja-JP"/>
        </w:rPr>
        <w:t>，而因核定之結果，直接關係人民適用刑罰與否，其核定之目</w:t>
      </w:r>
      <w:r w:rsidR="009E2639" w:rsidRPr="00F00705">
        <w:rPr>
          <w:rFonts w:cs="微軟正黑體" w:hint="eastAsia"/>
          <w:lang w:val="ja-JP"/>
        </w:rPr>
        <w:lastRenderedPageBreak/>
        <w:t>的、內容及範圍，應由法律為具體明確之授權</w:t>
      </w:r>
      <w:r w:rsidR="00795D2F" w:rsidRPr="00F00705">
        <w:rPr>
          <w:rFonts w:cs="微軟正黑體" w:hint="eastAsia"/>
          <w:lang w:val="ja-JP"/>
        </w:rPr>
        <w:t>。</w:t>
      </w:r>
      <w:r w:rsidR="00425764" w:rsidRPr="00F00705">
        <w:rPr>
          <w:rFonts w:hint="eastAsia"/>
          <w:lang w:val="ja-JP"/>
        </w:rPr>
        <w:t>財政部76年台財證(二)字第900號公告：「外國之</w:t>
      </w:r>
      <w:r w:rsidR="00795D2F" w:rsidRPr="00F00705">
        <w:rPr>
          <w:rFonts w:hint="eastAsia"/>
          <w:lang w:val="ja-JP"/>
        </w:rPr>
        <w:t>……</w:t>
      </w:r>
      <w:r w:rsidR="00425764" w:rsidRPr="00F00705">
        <w:rPr>
          <w:rFonts w:hint="eastAsia"/>
          <w:lang w:val="ja-JP"/>
        </w:rPr>
        <w:t>其他具有投資性質之有價證券</w:t>
      </w:r>
      <w:r w:rsidR="00795D2F" w:rsidRPr="00F00705">
        <w:rPr>
          <w:rFonts w:hint="eastAsia"/>
          <w:lang w:val="ja-JP"/>
        </w:rPr>
        <w:t>」</w:t>
      </w:r>
      <w:r w:rsidR="00F23560" w:rsidRPr="00F00705">
        <w:rPr>
          <w:rFonts w:hint="eastAsia"/>
          <w:lang w:val="ja-JP"/>
        </w:rPr>
        <w:t>是否逾越母法授權之範圍，而有違法律保留原則？</w:t>
      </w:r>
      <w:r w:rsidR="00770986" w:rsidRPr="00F00705">
        <w:rPr>
          <w:rFonts w:hint="eastAsia"/>
          <w:lang w:val="ja-JP"/>
        </w:rPr>
        <w:t>又是否逾越立法者使用概括規定授權之目的、內容及範圍</w:t>
      </w:r>
      <w:r w:rsidR="00F23560" w:rsidRPr="00F00705">
        <w:rPr>
          <w:rFonts w:hint="eastAsia"/>
          <w:lang w:val="ja-JP"/>
        </w:rPr>
        <w:t>？</w:t>
      </w:r>
      <w:r w:rsidR="00770986" w:rsidRPr="00F00705">
        <w:rPr>
          <w:rFonts w:hint="eastAsia"/>
          <w:lang w:val="ja-JP"/>
        </w:rPr>
        <w:t>均</w:t>
      </w:r>
      <w:r w:rsidR="00D60443" w:rsidRPr="00F00705">
        <w:rPr>
          <w:rFonts w:hint="eastAsia"/>
          <w:lang w:val="ja-JP"/>
        </w:rPr>
        <w:t>有疑義</w:t>
      </w:r>
      <w:r w:rsidR="00D60443" w:rsidRPr="00F00705">
        <w:rPr>
          <w:rFonts w:hAnsi="標楷體" w:hint="eastAsia"/>
          <w:lang w:val="ja-JP"/>
        </w:rPr>
        <w:t>，</w:t>
      </w:r>
      <w:r w:rsidRPr="00F00705">
        <w:rPr>
          <w:rFonts w:hAnsi="標楷體" w:hint="eastAsia"/>
          <w:lang w:val="ja-JP"/>
        </w:rPr>
        <w:t>率認</w:t>
      </w:r>
      <w:r w:rsidR="00D60443" w:rsidRPr="00F00705">
        <w:rPr>
          <w:rFonts w:hAnsi="標楷體" w:hint="eastAsia"/>
          <w:lang w:val="ja-JP"/>
        </w:rPr>
        <w:t>該9</w:t>
      </w:r>
      <w:r w:rsidR="00D60443" w:rsidRPr="00F00705">
        <w:rPr>
          <w:rFonts w:hAnsi="標楷體"/>
          <w:lang w:val="ja-JP" w:eastAsia="ja-JP"/>
        </w:rPr>
        <w:t>00</w:t>
      </w:r>
      <w:r w:rsidR="00D60443" w:rsidRPr="00F00705">
        <w:rPr>
          <w:rFonts w:hAnsi="標楷體" w:hint="eastAsia"/>
          <w:lang w:val="ja-JP"/>
        </w:rPr>
        <w:t>號公告即為</w:t>
      </w:r>
      <w:r w:rsidR="00F23560" w:rsidRPr="00F00705">
        <w:rPr>
          <w:rFonts w:hAnsi="標楷體" w:hint="eastAsia"/>
          <w:lang w:val="ja-JP"/>
        </w:rPr>
        <w:t>TDR</w:t>
      </w:r>
      <w:r w:rsidRPr="00F00705">
        <w:rPr>
          <w:rFonts w:hAnsi="標楷體" w:hint="eastAsia"/>
          <w:lang w:val="ja-JP"/>
        </w:rPr>
        <w:t>業</w:t>
      </w:r>
      <w:r w:rsidR="00F23560" w:rsidRPr="00F00705">
        <w:rPr>
          <w:rFonts w:hAnsi="標楷體" w:hint="eastAsia"/>
          <w:lang w:val="ja-JP"/>
        </w:rPr>
        <w:t>經主管機關依法</w:t>
      </w:r>
      <w:r w:rsidR="00F23560" w:rsidRPr="00F00705">
        <w:rPr>
          <w:rFonts w:hint="eastAsia"/>
          <w:lang w:val="ja-JP"/>
        </w:rPr>
        <w:t>行使核定權，</w:t>
      </w:r>
      <w:r w:rsidRPr="00F00705">
        <w:rPr>
          <w:rFonts w:hint="eastAsia"/>
          <w:lang w:val="ja-JP"/>
        </w:rPr>
        <w:t>為</w:t>
      </w:r>
      <w:r w:rsidR="00F23560" w:rsidRPr="00F00705">
        <w:rPr>
          <w:rFonts w:hint="eastAsia"/>
          <w:lang w:val="ja-JP"/>
        </w:rPr>
        <w:t>證交法第6條第1項之有價證券</w:t>
      </w:r>
      <w:r w:rsidR="003125A8" w:rsidRPr="00F00705">
        <w:rPr>
          <w:rFonts w:hint="eastAsia"/>
          <w:lang w:val="ja-JP"/>
        </w:rPr>
        <w:t>，</w:t>
      </w:r>
      <w:r w:rsidRPr="00F00705">
        <w:rPr>
          <w:rFonts w:hint="eastAsia"/>
          <w:lang w:val="ja-JP"/>
        </w:rPr>
        <w:t>而</w:t>
      </w:r>
      <w:r w:rsidR="00F23560" w:rsidRPr="00F00705">
        <w:rPr>
          <w:rFonts w:hint="eastAsia"/>
          <w:lang w:val="ja-JP"/>
        </w:rPr>
        <w:t>對行為人</w:t>
      </w:r>
      <w:r w:rsidR="004E5FB1" w:rsidRPr="00F00705">
        <w:rPr>
          <w:rFonts w:hint="eastAsia"/>
          <w:lang w:val="ja-JP"/>
        </w:rPr>
        <w:t>課</w:t>
      </w:r>
      <w:r w:rsidR="00F23560" w:rsidRPr="00F00705">
        <w:rPr>
          <w:rFonts w:hint="eastAsia"/>
          <w:lang w:val="ja-JP"/>
        </w:rPr>
        <w:t>以刑事責任，</w:t>
      </w:r>
      <w:r w:rsidR="003028A8" w:rsidRPr="00F00705">
        <w:rPr>
          <w:rFonts w:hint="eastAsia"/>
          <w:lang w:val="ja-JP"/>
        </w:rPr>
        <w:t>則</w:t>
      </w:r>
      <w:r w:rsidR="00F23560" w:rsidRPr="00F00705">
        <w:rPr>
          <w:rFonts w:hint="eastAsia"/>
          <w:lang w:val="ja-JP"/>
        </w:rPr>
        <w:t>有違</w:t>
      </w:r>
      <w:r w:rsidR="00D60443" w:rsidRPr="00F00705">
        <w:rPr>
          <w:rFonts w:hint="eastAsia"/>
          <w:lang w:val="ja-JP"/>
        </w:rPr>
        <w:t>反</w:t>
      </w:r>
      <w:r w:rsidR="00F23560" w:rsidRPr="00F00705">
        <w:rPr>
          <w:rFonts w:hint="eastAsia"/>
          <w:lang w:val="ja-JP"/>
        </w:rPr>
        <w:t>「罪刑法定原則」</w:t>
      </w:r>
      <w:r w:rsidRPr="00F00705">
        <w:rPr>
          <w:rFonts w:hint="eastAsia"/>
          <w:lang w:val="ja-JP"/>
        </w:rPr>
        <w:t>之</w:t>
      </w:r>
      <w:r w:rsidR="00F23560" w:rsidRPr="00F00705">
        <w:rPr>
          <w:rFonts w:hint="eastAsia"/>
          <w:lang w:val="ja-JP"/>
        </w:rPr>
        <w:t>疑慮</w:t>
      </w:r>
      <w:r w:rsidR="00770986" w:rsidRPr="00F00705">
        <w:rPr>
          <w:rFonts w:hint="eastAsia"/>
          <w:lang w:val="ja-JP"/>
        </w:rPr>
        <w:t>。</w:t>
      </w:r>
    </w:p>
    <w:p w:rsidR="00CD2D03" w:rsidRPr="00F00705" w:rsidRDefault="001A268F" w:rsidP="00E803E6">
      <w:pPr>
        <w:pStyle w:val="4"/>
        <w:rPr>
          <w:rFonts w:hAnsi="標楷體"/>
          <w:lang w:val="ja-JP"/>
        </w:rPr>
      </w:pPr>
      <w:r w:rsidRPr="00F00705">
        <w:rPr>
          <w:rFonts w:hAnsi="標楷體" w:hint="eastAsia"/>
          <w:lang w:val="ja-JP"/>
        </w:rPr>
        <w:t>經查，臺灣臺北地方法院法官審理案件</w:t>
      </w:r>
      <w:r w:rsidR="00D60443" w:rsidRPr="00F00705">
        <w:rPr>
          <w:rFonts w:hAnsi="標楷體" w:hint="eastAsia"/>
          <w:lang w:val="ja-JP"/>
        </w:rPr>
        <w:t>時</w:t>
      </w:r>
      <w:r w:rsidRPr="00F00705">
        <w:rPr>
          <w:rFonts w:hAnsi="標楷體" w:hint="eastAsia"/>
          <w:lang w:val="ja-JP"/>
        </w:rPr>
        <w:t>，</w:t>
      </w:r>
      <w:r w:rsidR="00CD2D03" w:rsidRPr="00F00705">
        <w:rPr>
          <w:rFonts w:hAnsi="標楷體" w:hint="eastAsia"/>
          <w:lang w:val="ja-JP"/>
        </w:rPr>
        <w:t>亦</w:t>
      </w:r>
      <w:r w:rsidRPr="00F00705">
        <w:rPr>
          <w:rFonts w:hAnsi="標楷體" w:hint="eastAsia"/>
          <w:lang w:val="ja-JP"/>
        </w:rPr>
        <w:t>認</w:t>
      </w:r>
      <w:r w:rsidR="006B2C47" w:rsidRPr="00F00705">
        <w:rPr>
          <w:rFonts w:hAnsi="標楷體" w:hint="eastAsia"/>
          <w:lang w:val="ja-JP"/>
        </w:rPr>
        <w:t>為</w:t>
      </w:r>
      <w:r w:rsidRPr="00F00705">
        <w:rPr>
          <w:rFonts w:hAnsi="標楷體" w:hint="eastAsia"/>
          <w:lang w:val="ja-JP"/>
        </w:rPr>
        <w:t>證交法第6條第1項後段及「外國發行人募集</w:t>
      </w:r>
      <w:r w:rsidRPr="00F00705">
        <w:rPr>
          <w:rFonts w:hint="eastAsia"/>
          <w:lang w:val="ja-JP"/>
        </w:rPr>
        <w:t>與發行有價證券處理準則」第3條第7款</w:t>
      </w:r>
      <w:r w:rsidRPr="00F00705">
        <w:rPr>
          <w:rStyle w:val="aff"/>
          <w:rFonts w:hAnsi="標楷體"/>
          <w:lang w:val="ja-JP"/>
        </w:rPr>
        <w:footnoteReference w:id="10"/>
      </w:r>
      <w:r w:rsidRPr="00F00705">
        <w:rPr>
          <w:rFonts w:hint="eastAsia"/>
          <w:lang w:val="ja-JP"/>
        </w:rPr>
        <w:t>規定</w:t>
      </w:r>
      <w:r w:rsidRPr="00F00705">
        <w:rPr>
          <w:rFonts w:ascii="新細明體" w:eastAsia="新細明體" w:hAnsi="新細明體" w:hint="eastAsia"/>
          <w:lang w:val="ja-JP"/>
        </w:rPr>
        <w:t>，</w:t>
      </w:r>
      <w:r w:rsidRPr="00F00705">
        <w:rPr>
          <w:rFonts w:hint="eastAsia"/>
          <w:lang w:val="ja-JP"/>
        </w:rPr>
        <w:t>就涉及人身自由權利之限制之犯罪構成要件</w:t>
      </w:r>
      <w:r w:rsidRPr="00F00705">
        <w:rPr>
          <w:rFonts w:ascii="新細明體" w:eastAsia="新細明體" w:hAnsi="新細明體" w:hint="eastAsia"/>
          <w:lang w:val="ja-JP"/>
        </w:rPr>
        <w:t>，</w:t>
      </w:r>
      <w:r w:rsidRPr="00F00705">
        <w:rPr>
          <w:rFonts w:hint="eastAsia"/>
          <w:lang w:val="ja-JP"/>
        </w:rPr>
        <w:t>違背憲法</w:t>
      </w:r>
      <w:r w:rsidRPr="00F00705">
        <w:rPr>
          <w:rFonts w:hAnsi="標楷體" w:hint="eastAsia"/>
          <w:lang w:val="ja-JP"/>
        </w:rPr>
        <w:t>上「法律保留原則」與「授權明確性原則」，</w:t>
      </w:r>
      <w:r w:rsidR="006B2C47" w:rsidRPr="00F00705">
        <w:rPr>
          <w:rFonts w:hAnsi="標楷體" w:hint="eastAsia"/>
          <w:lang w:val="ja-JP"/>
        </w:rPr>
        <w:t>本於法律見解之確信，</w:t>
      </w:r>
      <w:r w:rsidRPr="00F00705">
        <w:rPr>
          <w:rFonts w:hAnsi="標楷體" w:hint="eastAsia"/>
          <w:lang w:val="ja-JP"/>
        </w:rPr>
        <w:t>聲</w:t>
      </w:r>
      <w:r w:rsidRPr="00F00705">
        <w:rPr>
          <w:rFonts w:hint="eastAsia"/>
          <w:lang w:val="ja-JP"/>
        </w:rPr>
        <w:t>請大法官解釋並宣告為違憲。</w:t>
      </w:r>
    </w:p>
    <w:p w:rsidR="006C4873" w:rsidRPr="00F00705" w:rsidRDefault="00CD2D03" w:rsidP="00E803E6">
      <w:pPr>
        <w:pStyle w:val="4"/>
        <w:rPr>
          <w:rFonts w:hAnsi="標楷體"/>
          <w:lang w:val="ja-JP"/>
        </w:rPr>
      </w:pPr>
      <w:r w:rsidRPr="00F00705">
        <w:rPr>
          <w:rFonts w:cs="微軟正黑體" w:hint="eastAsia"/>
          <w:lang w:val="ja-JP"/>
        </w:rPr>
        <w:t>由上</w:t>
      </w:r>
      <w:r w:rsidR="007E1B7A" w:rsidRPr="00F00705">
        <w:rPr>
          <w:rFonts w:cs="微軟正黑體" w:hint="eastAsia"/>
          <w:lang w:val="ja-JP"/>
        </w:rPr>
        <w:t>足見</w:t>
      </w:r>
      <w:r w:rsidRPr="00F00705">
        <w:rPr>
          <w:rFonts w:hAnsi="標楷體" w:cs="微軟正黑體" w:hint="eastAsia"/>
          <w:lang w:val="ja-JP"/>
        </w:rPr>
        <w:t>，</w:t>
      </w:r>
      <w:r w:rsidR="007E1B7A" w:rsidRPr="00F00705">
        <w:rPr>
          <w:rFonts w:cs="微軟正黑體" w:hint="eastAsia"/>
          <w:lang w:val="ja-JP"/>
        </w:rPr>
        <w:t>現行證交法令規定於TDR的適用上</w:t>
      </w:r>
      <w:r w:rsidR="007E1B7A" w:rsidRPr="00F00705">
        <w:rPr>
          <w:rFonts w:ascii="新細明體" w:eastAsia="新細明體" w:hAnsi="新細明體" w:cs="微軟正黑體" w:hint="eastAsia"/>
          <w:lang w:val="ja-JP"/>
        </w:rPr>
        <w:t>，</w:t>
      </w:r>
      <w:r w:rsidR="007E1B7A" w:rsidRPr="00F00705">
        <w:rPr>
          <w:rFonts w:cs="微軟正黑體" w:hint="eastAsia"/>
          <w:lang w:val="ja-JP"/>
        </w:rPr>
        <w:t>確</w:t>
      </w:r>
      <w:r w:rsidR="007E1B7A" w:rsidRPr="00F00705">
        <w:rPr>
          <w:rFonts w:hAnsi="標楷體" w:cs="微軟正黑體" w:hint="eastAsia"/>
          <w:lang w:val="ja-JP"/>
        </w:rPr>
        <w:t>實</w:t>
      </w:r>
      <w:r w:rsidR="00953579" w:rsidRPr="00F00705">
        <w:rPr>
          <w:rFonts w:hAnsi="標楷體" w:cs="微軟正黑體" w:hint="eastAsia"/>
          <w:lang w:val="ja-JP"/>
        </w:rPr>
        <w:t>存在</w:t>
      </w:r>
      <w:r w:rsidR="007E1B7A" w:rsidRPr="00F00705">
        <w:rPr>
          <w:rFonts w:hAnsi="標楷體" w:cs="微軟正黑體" w:hint="eastAsia"/>
          <w:lang w:val="ja-JP"/>
        </w:rPr>
        <w:t>法制不完備</w:t>
      </w:r>
      <w:r w:rsidR="00953579" w:rsidRPr="00F00705">
        <w:rPr>
          <w:rFonts w:hAnsi="標楷體" w:cs="微軟正黑體" w:hint="eastAsia"/>
          <w:lang w:val="ja-JP"/>
        </w:rPr>
        <w:t>問題</w:t>
      </w:r>
      <w:r w:rsidR="007E1B7A" w:rsidRPr="00F00705">
        <w:rPr>
          <w:rFonts w:hAnsi="標楷體" w:cs="微軟正黑體" w:hint="eastAsia"/>
          <w:lang w:val="ja-JP"/>
        </w:rPr>
        <w:t>，</w:t>
      </w:r>
      <w:r w:rsidR="00953579" w:rsidRPr="00F00705">
        <w:rPr>
          <w:rFonts w:hAnsi="標楷體" w:cs="微軟正黑體" w:hint="eastAsia"/>
          <w:lang w:val="ja-JP"/>
        </w:rPr>
        <w:t>致</w:t>
      </w:r>
      <w:r w:rsidR="007E1B7A" w:rsidRPr="00F00705">
        <w:rPr>
          <w:rFonts w:hAnsi="標楷體" w:cs="微軟正黑體" w:hint="eastAsia"/>
          <w:lang w:val="ja-JP"/>
        </w:rPr>
        <w:t>生嚴重爭端。</w:t>
      </w:r>
    </w:p>
    <w:p w:rsidR="00E75AA0" w:rsidRPr="00F00705" w:rsidRDefault="00E75AA0" w:rsidP="00E75AA0">
      <w:pPr>
        <w:pStyle w:val="3"/>
        <w:rPr>
          <w:lang w:val="ja-JP"/>
        </w:rPr>
      </w:pPr>
      <w:r w:rsidRPr="00F00705">
        <w:rPr>
          <w:rFonts w:hint="eastAsia"/>
          <w:lang w:val="ja-JP"/>
        </w:rPr>
        <w:t>財政部76年台財證(二)字第900號公告</w:t>
      </w:r>
      <w:r w:rsidRPr="00F00705">
        <w:rPr>
          <w:rFonts w:hint="eastAsia"/>
        </w:rPr>
        <w:t>「外國之其他具有投資性質之有價證券」以極空泛、抽象、未具體特定之文字進行核定，</w:t>
      </w:r>
      <w:r w:rsidR="002056A0" w:rsidRPr="00F00705">
        <w:rPr>
          <w:rFonts w:hint="eastAsia"/>
        </w:rPr>
        <w:t>如</w:t>
      </w:r>
      <w:r w:rsidRPr="00F00705">
        <w:rPr>
          <w:rFonts w:hint="eastAsia"/>
        </w:rPr>
        <w:t>同未行使核定權</w:t>
      </w:r>
      <w:r w:rsidRPr="00F00705">
        <w:rPr>
          <w:rFonts w:hAnsi="標楷體" w:hint="eastAsia"/>
        </w:rPr>
        <w:t>，</w:t>
      </w:r>
      <w:r w:rsidR="002056A0" w:rsidRPr="00F00705">
        <w:rPr>
          <w:rFonts w:hAnsi="標楷體" w:hint="eastAsia"/>
        </w:rPr>
        <w:t>有</w:t>
      </w:r>
      <w:r w:rsidRPr="00F00705">
        <w:rPr>
          <w:rFonts w:hint="eastAsia"/>
        </w:rPr>
        <w:t>違「法律明確性原則」及「授權明確性原則」</w:t>
      </w:r>
    </w:p>
    <w:p w:rsidR="008E6105" w:rsidRPr="00F00705" w:rsidRDefault="008E6105" w:rsidP="006C4873">
      <w:pPr>
        <w:pStyle w:val="4"/>
        <w:rPr>
          <w:lang w:val="ja-JP"/>
        </w:rPr>
      </w:pPr>
      <w:r w:rsidRPr="00F00705">
        <w:rPr>
          <w:rFonts w:hint="eastAsia"/>
        </w:rPr>
        <w:t>按「明確性」乃是法安定性原則之前提，亦是人民對法秩序信賴之基礎，所涉及者乃是基於法本質之要求。而刑罰與秩序罰之處罰法定亦為法治國家基本原則，有關行為可處罰性之前提要件，包括處罰之構成要件、行為態樣、法律效果、違</w:t>
      </w:r>
      <w:r w:rsidRPr="00F00705">
        <w:rPr>
          <w:rFonts w:hint="eastAsia"/>
        </w:rPr>
        <w:lastRenderedPageBreak/>
        <w:t>法性以及責任、處罰條件與免罰事由等規定，均應以法律或法律具體明確授權之命令定之，以符合人性尊嚴不可侵犯與人格自由發展應受保障之憲法根本原則。受規範者如果無法知悉規範體系內容以致未能預知其應盡之法律義務，將無法調整本身行為係法律所禁止而可能招致處罰之風險，人民對於法的信任亦將降低，故明確性原則係藉由預先告知及避免恣意執法等功能達成法安定性之目的，且所謂「明確」，應指明白正確，受規範之一般人皆可瞭解法律規定之內容，且法律規定所使用之文字可確切表達其意旨，而沒有混淆不清的空間。而「明確性原則」不僅是人民主觀權利上的要求，亦是客觀法律秩序所強調。若法規等無法正確表達其內容、易使人產生誤解或本身充滿矛盾時，法律規定自屬違反法治國之明確性原則而違憲無效。立法者雖得以「委任立法」方式，授權行政機關以行政命令補足法律之細節性、技術性規定，然於授權之母法須明定授權之目的、內容及範圍，並使人民得預見其行為之可罰，方符合「法律明確性原則」及「授權明確性原則」；據此可知，行政機關發布命令之目的，既在於補足法律之「空白構成要件」，則行政命令之內容自更應具體明確，而不應再以「概括」、「空泛」之方式，將原本有待補充之「空白構成要件」以更加抽象、不確定之文字表示，否則如坐視行政機關得恣意擴大立法所授權之行政命令範圍，無異促成行政機關濫權，而有違憲法之權力分立原則。</w:t>
      </w:r>
    </w:p>
    <w:p w:rsidR="008E6105" w:rsidRPr="00F00705" w:rsidRDefault="00FA7ECD" w:rsidP="006C4873">
      <w:pPr>
        <w:pStyle w:val="4"/>
        <w:rPr>
          <w:lang w:val="ja-JP"/>
        </w:rPr>
      </w:pPr>
      <w:r w:rsidRPr="00F00705">
        <w:rPr>
          <w:rFonts w:hint="eastAsia"/>
        </w:rPr>
        <w:t>查立法機關就何類立法事項、應符合何種條件，而得授權行政機關以行政命令補充法律之不足，</w:t>
      </w:r>
      <w:r w:rsidRPr="00F00705">
        <w:rPr>
          <w:rFonts w:hint="eastAsia"/>
        </w:rPr>
        <w:lastRenderedPageBreak/>
        <w:t>應依「規範對象、內容或法益本身及其所受限制之輕重」，而對法律保留有不同程度之要求（參照司法院釋字第443號解釋要旨），就涉及刑罰範圍，應對人民權益侵害甚鉅，故應以法律明定之，即便得由立法機關授權行政機關以行政命令補充者，立法機關授權之「目的、範圍、內容」須具體明確，</w:t>
      </w:r>
      <w:r w:rsidRPr="00F00705">
        <w:rPr>
          <w:rFonts w:hint="eastAsia"/>
          <w:lang w:val="ja-JP"/>
        </w:rPr>
        <w:t>財政部76年台財證(二)字第900號公告</w:t>
      </w:r>
      <w:r w:rsidRPr="00F00705">
        <w:rPr>
          <w:rFonts w:hint="eastAsia"/>
        </w:rPr>
        <w:t>事涉證交法特別刑法之重刑規定，即是否屬證交法上有價證券係適用證交法刑事處罰規定之前提要件，應採「嚴格」審查標準。</w:t>
      </w:r>
    </w:p>
    <w:p w:rsidR="00FA7ECD" w:rsidRPr="00F00705" w:rsidRDefault="00FA7ECD" w:rsidP="006C4873">
      <w:pPr>
        <w:pStyle w:val="4"/>
        <w:rPr>
          <w:lang w:val="ja-JP"/>
        </w:rPr>
      </w:pPr>
      <w:r w:rsidRPr="00F00705">
        <w:rPr>
          <w:rFonts w:hint="eastAsia"/>
        </w:rPr>
        <w:t>而行政機關依證交法第6條第1項後段核定證交法上有價證券時，其思考與意圖必須集中在立法者授權其解決之特定問題上，即應遵守立法者所指示之方針、目標等，其用語應特定、具體、明確等限制，不得再以概括方式行使核定權限，否則即超出立法授權之目的、內容及範圍等。惟當時證券交易主管機關財政部於</w:t>
      </w:r>
      <w:r w:rsidR="0089657C" w:rsidRPr="00F00705">
        <w:rPr>
          <w:rFonts w:hint="eastAsia"/>
        </w:rPr>
        <w:t>上開</w:t>
      </w:r>
      <w:r w:rsidRPr="00F00705">
        <w:rPr>
          <w:rFonts w:hint="eastAsia"/>
        </w:rPr>
        <w:t>900號公告之主旨概括載稱「外國之股票、公司債、政府債券、受益憑證及其他具有投資性質之有價證券，凡在我國境內募集、發行、買賣或從事上開有價證券之投資服務，均應受我國證券交易法令之規範。」顯係以另一個概括方式作為其核定權行使之內容，以極空泛、抽象、未具體特定之文字進行核定，等同未行使核定權，有行政怠惰之嫌，更落入循環論證、以問答問之態！</w:t>
      </w:r>
      <w:r w:rsidR="0089657C" w:rsidRPr="00F00705">
        <w:rPr>
          <w:rFonts w:hint="eastAsia"/>
        </w:rPr>
        <w:t>上開</w:t>
      </w:r>
      <w:r w:rsidRPr="00F00705">
        <w:rPr>
          <w:rFonts w:hint="eastAsia"/>
        </w:rPr>
        <w:t>900號公告在意義上係對適用證交法上有價證券之範圍為核定，如有價證券之範圍過於恣意擴張，勢將造成人民未能預見而有突遭刑法重刑處罰之結果，必然對人民權益影響甚鉅</w:t>
      </w:r>
      <w:r w:rsidR="00E23092" w:rsidRPr="00F00705">
        <w:rPr>
          <w:rFonts w:hAnsi="標楷體" w:hint="eastAsia"/>
        </w:rPr>
        <w:t>。</w:t>
      </w:r>
    </w:p>
    <w:p w:rsidR="004A23E6" w:rsidRPr="00F00705" w:rsidRDefault="008F5551" w:rsidP="006C4873">
      <w:pPr>
        <w:pStyle w:val="4"/>
        <w:rPr>
          <w:lang w:val="ja-JP"/>
        </w:rPr>
      </w:pPr>
      <w:r w:rsidRPr="00F00705">
        <w:rPr>
          <w:rFonts w:hint="eastAsia"/>
          <w:lang w:val="ja-JP"/>
        </w:rPr>
        <w:t>證交法第6條第1項規定之核定權，本身已是概括</w:t>
      </w:r>
      <w:r w:rsidRPr="00F00705">
        <w:rPr>
          <w:rFonts w:hint="eastAsia"/>
          <w:lang w:val="ja-JP"/>
        </w:rPr>
        <w:lastRenderedPageBreak/>
        <w:t>規定，正需透過核定權之行使，始能具體特定，主管機關行使此一核定權時，</w:t>
      </w:r>
      <w:r w:rsidR="00644F99" w:rsidRPr="00F00705">
        <w:rPr>
          <w:rFonts w:hint="eastAsia"/>
          <w:lang w:val="ja-JP"/>
        </w:rPr>
        <w:t>復</w:t>
      </w:r>
      <w:r w:rsidRPr="00F00705">
        <w:rPr>
          <w:rFonts w:hint="eastAsia"/>
          <w:lang w:val="ja-JP"/>
        </w:rPr>
        <w:t>以</w:t>
      </w:r>
      <w:r w:rsidR="00644F99" w:rsidRPr="00F00705">
        <w:rPr>
          <w:rFonts w:hAnsi="標楷體" w:hint="eastAsia"/>
          <w:lang w:val="ja-JP"/>
        </w:rPr>
        <w:t>「其他具有投資性質之有價證券」的</w:t>
      </w:r>
      <w:r w:rsidRPr="00F00705">
        <w:rPr>
          <w:rFonts w:hint="eastAsia"/>
          <w:lang w:val="ja-JP"/>
        </w:rPr>
        <w:t>另一概括</w:t>
      </w:r>
      <w:r w:rsidR="00BB1769" w:rsidRPr="00F00705">
        <w:rPr>
          <w:rFonts w:hint="eastAsia"/>
          <w:lang w:val="ja-JP"/>
        </w:rPr>
        <w:t>概念</w:t>
      </w:r>
      <w:r w:rsidR="00644F99" w:rsidRPr="00F00705">
        <w:rPr>
          <w:rFonts w:hAnsi="標楷體" w:hint="eastAsia"/>
          <w:lang w:val="ja-JP"/>
        </w:rPr>
        <w:t>，</w:t>
      </w:r>
      <w:r w:rsidR="00BB1769" w:rsidRPr="00F00705">
        <w:rPr>
          <w:rFonts w:hint="eastAsia"/>
          <w:lang w:val="ja-JP"/>
        </w:rPr>
        <w:t>作為核定權行使之內容，</w:t>
      </w:r>
      <w:r w:rsidR="00E23092" w:rsidRPr="00F00705">
        <w:rPr>
          <w:rFonts w:hint="eastAsia"/>
          <w:lang w:val="ja-JP"/>
        </w:rPr>
        <w:t>明顯</w:t>
      </w:r>
      <w:r w:rsidR="00BB1769" w:rsidRPr="00F00705">
        <w:rPr>
          <w:rFonts w:hint="eastAsia"/>
          <w:lang w:val="ja-JP"/>
        </w:rPr>
        <w:t>循環論證</w:t>
      </w:r>
      <w:r w:rsidR="007E1B7A" w:rsidRPr="00F00705">
        <w:rPr>
          <w:rFonts w:hint="eastAsia"/>
          <w:lang w:val="ja-JP"/>
        </w:rPr>
        <w:t>，</w:t>
      </w:r>
      <w:r w:rsidR="00644F99" w:rsidRPr="00F00705">
        <w:rPr>
          <w:rFonts w:hint="eastAsia"/>
          <w:lang w:val="ja-JP"/>
        </w:rPr>
        <w:t>自有</w:t>
      </w:r>
      <w:r w:rsidR="00E23092" w:rsidRPr="00F00705">
        <w:rPr>
          <w:rFonts w:hint="eastAsia"/>
        </w:rPr>
        <w:t>違反「法律明確性原則」及「授權明確性原則」</w:t>
      </w:r>
      <w:r w:rsidR="00644F99" w:rsidRPr="00F00705">
        <w:rPr>
          <w:rFonts w:hint="eastAsia"/>
        </w:rPr>
        <w:t>之虞</w:t>
      </w:r>
      <w:r w:rsidR="00E23092" w:rsidRPr="00F00705">
        <w:rPr>
          <w:rFonts w:hAnsi="標楷體" w:hint="eastAsia"/>
        </w:rPr>
        <w:t>。</w:t>
      </w:r>
    </w:p>
    <w:p w:rsidR="008F5551" w:rsidRPr="00F00705" w:rsidRDefault="004A23E6" w:rsidP="006C4873">
      <w:pPr>
        <w:pStyle w:val="4"/>
        <w:rPr>
          <w:lang w:val="ja-JP"/>
        </w:rPr>
      </w:pPr>
      <w:r w:rsidRPr="00F00705">
        <w:rPr>
          <w:rFonts w:hAnsi="標楷體" w:hint="eastAsia"/>
        </w:rPr>
        <w:t>是以</w:t>
      </w:r>
      <w:r w:rsidRPr="00F00705">
        <w:rPr>
          <w:rFonts w:hAnsi="標楷體" w:hint="eastAsia"/>
          <w:lang w:eastAsia="ja-JP"/>
        </w:rPr>
        <w:t>，</w:t>
      </w:r>
      <w:r w:rsidR="007E1B7A" w:rsidRPr="00F00705">
        <w:rPr>
          <w:rFonts w:hint="eastAsia"/>
          <w:lang w:val="ja-JP"/>
        </w:rPr>
        <w:t>金管會本於證券主管機關職責，允應正視問題，</w:t>
      </w:r>
      <w:r w:rsidR="00366F5A" w:rsidRPr="00F00705">
        <w:rPr>
          <w:rFonts w:hint="eastAsia"/>
          <w:lang w:val="ja-JP"/>
        </w:rPr>
        <w:t>完備</w:t>
      </w:r>
      <w:r w:rsidR="007E1B7A" w:rsidRPr="00F00705">
        <w:rPr>
          <w:rFonts w:hint="eastAsia"/>
          <w:lang w:val="ja-JP"/>
        </w:rPr>
        <w:t>法</w:t>
      </w:r>
      <w:r w:rsidR="00240056" w:rsidRPr="00F00705">
        <w:rPr>
          <w:rFonts w:hint="eastAsia"/>
          <w:lang w:val="ja-JP"/>
        </w:rPr>
        <w:t>制</w:t>
      </w:r>
      <w:r w:rsidR="007E1B7A" w:rsidRPr="00F00705">
        <w:rPr>
          <w:rFonts w:hint="eastAsia"/>
          <w:lang w:val="ja-JP"/>
        </w:rPr>
        <w:t>，</w:t>
      </w:r>
      <w:r w:rsidR="00366F5A" w:rsidRPr="00F00705">
        <w:rPr>
          <w:rFonts w:hint="eastAsia"/>
          <w:lang w:val="ja-JP"/>
        </w:rPr>
        <w:t>俾</w:t>
      </w:r>
      <w:r w:rsidR="002935E6" w:rsidRPr="00F00705">
        <w:rPr>
          <w:rFonts w:hint="eastAsia"/>
          <w:lang w:val="ja-JP"/>
        </w:rPr>
        <w:t>依法行政</w:t>
      </w:r>
      <w:r w:rsidR="002935E6" w:rsidRPr="00F00705">
        <w:rPr>
          <w:rFonts w:ascii="新細明體" w:eastAsia="新細明體" w:hAnsi="新細明體" w:hint="eastAsia"/>
          <w:lang w:val="ja-JP"/>
        </w:rPr>
        <w:t>，</w:t>
      </w:r>
      <w:r w:rsidR="002935E6" w:rsidRPr="00F00705">
        <w:rPr>
          <w:rFonts w:hint="eastAsia"/>
          <w:lang w:val="ja-JP"/>
        </w:rPr>
        <w:t>從根本上解決問題</w:t>
      </w:r>
      <w:r w:rsidR="002935E6" w:rsidRPr="00F00705">
        <w:rPr>
          <w:rFonts w:ascii="新細明體" w:eastAsia="新細明體" w:hAnsi="新細明體" w:hint="eastAsia"/>
          <w:lang w:val="ja-JP"/>
        </w:rPr>
        <w:t>，</w:t>
      </w:r>
      <w:r w:rsidR="007E1B7A" w:rsidRPr="00F00705">
        <w:rPr>
          <w:rFonts w:hint="eastAsia"/>
          <w:lang w:val="ja-JP"/>
        </w:rPr>
        <w:t>而非</w:t>
      </w:r>
      <w:r w:rsidR="00CE7718" w:rsidRPr="00F00705">
        <w:rPr>
          <w:rFonts w:hint="eastAsia"/>
          <w:lang w:val="ja-JP"/>
        </w:rPr>
        <w:t>消極任由法院以解釋方式填補法制闕漏</w:t>
      </w:r>
      <w:r w:rsidR="007E1B7A" w:rsidRPr="00F00705">
        <w:rPr>
          <w:rFonts w:hint="eastAsia"/>
          <w:lang w:val="ja-JP"/>
        </w:rPr>
        <w:t>，</w:t>
      </w:r>
      <w:r w:rsidR="002935E6" w:rsidRPr="00F00705">
        <w:rPr>
          <w:rFonts w:hint="eastAsia"/>
          <w:lang w:val="ja-JP"/>
        </w:rPr>
        <w:t>混淆行政權與司法權</w:t>
      </w:r>
      <w:r w:rsidR="000B038F" w:rsidRPr="00F00705">
        <w:rPr>
          <w:rFonts w:hint="eastAsia"/>
          <w:lang w:val="ja-JP"/>
        </w:rPr>
        <w:t>之</w:t>
      </w:r>
      <w:r w:rsidR="002935E6" w:rsidRPr="00F00705">
        <w:rPr>
          <w:rFonts w:hint="eastAsia"/>
          <w:lang w:val="ja-JP"/>
        </w:rPr>
        <w:t>間</w:t>
      </w:r>
      <w:r w:rsidR="000B038F" w:rsidRPr="00F00705">
        <w:rPr>
          <w:rFonts w:hint="eastAsia"/>
          <w:lang w:val="ja-JP"/>
        </w:rPr>
        <w:t>的</w:t>
      </w:r>
      <w:r w:rsidR="002935E6" w:rsidRPr="00F00705">
        <w:rPr>
          <w:rFonts w:hint="eastAsia"/>
          <w:lang w:val="ja-JP"/>
        </w:rPr>
        <w:t>界線</w:t>
      </w:r>
      <w:r w:rsidR="002935E6" w:rsidRPr="00F00705">
        <w:rPr>
          <w:rFonts w:ascii="新細明體" w:eastAsia="新細明體" w:hAnsi="新細明體" w:hint="eastAsia"/>
          <w:lang w:val="ja-JP"/>
        </w:rPr>
        <w:t>，</w:t>
      </w:r>
      <w:r w:rsidR="00CE7718" w:rsidRPr="00F00705">
        <w:rPr>
          <w:rFonts w:hint="eastAsia"/>
          <w:lang w:val="ja-JP"/>
        </w:rPr>
        <w:t>方為正辦。</w:t>
      </w:r>
    </w:p>
    <w:p w:rsidR="00E4175B" w:rsidRPr="00F00705" w:rsidRDefault="00E4175B" w:rsidP="004E5FB1">
      <w:pPr>
        <w:pStyle w:val="3"/>
        <w:rPr>
          <w:rFonts w:hAnsi="標楷體"/>
          <w:lang w:val="ja-JP"/>
        </w:rPr>
      </w:pPr>
      <w:r w:rsidRPr="00F00705">
        <w:rPr>
          <w:rFonts w:hAnsi="標楷體" w:hint="eastAsia"/>
          <w:lang w:val="ja-JP"/>
        </w:rPr>
        <w:t>綜上論述</w:t>
      </w:r>
      <w:r w:rsidRPr="00F00705">
        <w:rPr>
          <w:rFonts w:ascii="新細明體" w:eastAsia="新細明體" w:hAnsi="新細明體" w:hint="eastAsia"/>
          <w:lang w:val="ja-JP" w:eastAsia="ja-JP"/>
        </w:rPr>
        <w:t>，</w:t>
      </w:r>
      <w:r w:rsidR="00FC62E9" w:rsidRPr="00F00705">
        <w:rPr>
          <w:rFonts w:hAnsi="標楷體" w:hint="eastAsia"/>
          <w:lang w:eastAsia="ja-JP"/>
        </w:rPr>
        <w:t>證交法第6條之有價證券，</w:t>
      </w:r>
      <w:r w:rsidR="00FC62E9" w:rsidRPr="00F00705">
        <w:rPr>
          <w:rFonts w:hAnsi="標楷體"/>
          <w:lang w:eastAsia="ja-JP"/>
        </w:rPr>
        <w:t>為</w:t>
      </w:r>
      <w:r w:rsidR="00FC62E9" w:rsidRPr="00F00705">
        <w:rPr>
          <w:rFonts w:hAnsi="標楷體" w:hint="eastAsia"/>
          <w:lang w:eastAsia="ja-JP"/>
        </w:rPr>
        <w:t>該法</w:t>
      </w:r>
      <w:r w:rsidR="00FC62E9" w:rsidRPr="00F00705">
        <w:rPr>
          <w:rFonts w:hAnsi="標楷體"/>
          <w:lang w:eastAsia="ja-JP"/>
        </w:rPr>
        <w:t>證券詐欺、操縱市場</w:t>
      </w:r>
      <w:r w:rsidR="00FC62E9" w:rsidRPr="00F00705">
        <w:rPr>
          <w:rFonts w:hAnsi="標楷體" w:hint="eastAsia"/>
          <w:lang w:eastAsia="ja-JP"/>
        </w:rPr>
        <w:t>、</w:t>
      </w:r>
      <w:r w:rsidR="00FC62E9" w:rsidRPr="00F00705">
        <w:rPr>
          <w:rFonts w:hAnsi="標楷體"/>
          <w:lang w:eastAsia="ja-JP"/>
        </w:rPr>
        <w:t>内線交易等刑事責任之構成要件，</w:t>
      </w:r>
      <w:r w:rsidR="00B73943" w:rsidRPr="00F00705">
        <w:rPr>
          <w:rFonts w:hAnsi="標楷體" w:hint="eastAsia"/>
          <w:lang w:eastAsia="ja-JP"/>
        </w:rPr>
        <w:t>涉及人身自由</w:t>
      </w:r>
      <w:r w:rsidR="00FC62E9" w:rsidRPr="00F00705">
        <w:rPr>
          <w:rFonts w:hAnsi="標楷體" w:hint="eastAsia"/>
          <w:lang w:eastAsia="ja-JP"/>
        </w:rPr>
        <w:t>限制</w:t>
      </w:r>
      <w:r w:rsidR="00B73943" w:rsidRPr="00F00705">
        <w:rPr>
          <w:rFonts w:hAnsi="標楷體" w:hint="eastAsia"/>
          <w:lang w:eastAsia="ja-JP"/>
        </w:rPr>
        <w:t>之嚴刑峻罰</w:t>
      </w:r>
      <w:r w:rsidR="00FC62E9" w:rsidRPr="00F00705">
        <w:rPr>
          <w:rFonts w:hAnsi="標楷體"/>
          <w:lang w:eastAsia="ja-JP"/>
        </w:rPr>
        <w:t>，</w:t>
      </w:r>
      <w:r w:rsidR="00FC62E9" w:rsidRPr="00F00705">
        <w:rPr>
          <w:rFonts w:hAnsi="標楷體" w:hint="eastAsia"/>
          <w:lang w:eastAsia="ja-JP"/>
        </w:rPr>
        <w:t>該條第1項後段「經主管機關核定之其他有價證券」，其</w:t>
      </w:r>
      <w:r w:rsidR="00FC62E9" w:rsidRPr="00F00705">
        <w:rPr>
          <w:rFonts w:hAnsi="標楷體"/>
          <w:lang w:eastAsia="ja-JP"/>
        </w:rPr>
        <w:t>核定依據應</w:t>
      </w:r>
      <w:r w:rsidR="00FC62E9" w:rsidRPr="00F00705">
        <w:rPr>
          <w:rFonts w:hAnsi="標楷體" w:hint="eastAsia"/>
          <w:lang w:eastAsia="ja-JP"/>
        </w:rPr>
        <w:t>力求</w:t>
      </w:r>
      <w:r w:rsidR="00FC62E9" w:rsidRPr="00F00705">
        <w:rPr>
          <w:rFonts w:hAnsi="標楷體"/>
          <w:lang w:eastAsia="ja-JP"/>
        </w:rPr>
        <w:t>具體明確</w:t>
      </w:r>
      <w:r w:rsidR="00FC62E9" w:rsidRPr="00F00705">
        <w:rPr>
          <w:rFonts w:hAnsi="標楷體" w:hint="eastAsia"/>
          <w:lang w:eastAsia="ja-JP"/>
        </w:rPr>
        <w:t>。金管會認財政部76年台財證（二）字</w:t>
      </w:r>
      <w:r w:rsidR="008928C1" w:rsidRPr="00F00705">
        <w:rPr>
          <w:rFonts w:hAnsi="標楷體" w:hint="eastAsia"/>
          <w:lang w:eastAsia="ja-JP"/>
        </w:rPr>
        <w:t>第900號公告</w:t>
      </w:r>
      <w:r w:rsidR="00FC62E9" w:rsidRPr="00F00705">
        <w:rPr>
          <w:rFonts w:hAnsi="標楷體" w:hint="eastAsia"/>
          <w:lang w:eastAsia="ja-JP"/>
        </w:rPr>
        <w:t>為TDR業經主管機關行使核定權之依據，而有證交法第6條第1項之適用</w:t>
      </w:r>
      <w:r w:rsidR="00A074EA" w:rsidRPr="00F00705">
        <w:rPr>
          <w:rFonts w:hAnsi="標楷體" w:hint="eastAsia"/>
          <w:b/>
          <w:lang w:eastAsia="ja-JP"/>
        </w:rPr>
        <w:t>。</w:t>
      </w:r>
      <w:r w:rsidR="00A074EA" w:rsidRPr="00F00705">
        <w:rPr>
          <w:rFonts w:hAnsi="標楷體" w:hint="eastAsia"/>
          <w:bCs w:val="0"/>
          <w:lang w:eastAsia="ja-JP"/>
        </w:rPr>
        <w:t>惟查，上開公告係以「外國……其他具有投資性質之有價證券」之概括規定，補充解釋證交法第6條第1項後段之概括核定權，顯</w:t>
      </w:r>
      <w:r w:rsidR="00F11133" w:rsidRPr="00F00705">
        <w:rPr>
          <w:rFonts w:hAnsi="標楷體" w:hint="eastAsia"/>
          <w:bCs w:val="0"/>
        </w:rPr>
        <w:t>有</w:t>
      </w:r>
      <w:r w:rsidR="00A074EA" w:rsidRPr="00F00705">
        <w:rPr>
          <w:rFonts w:hAnsi="標楷體" w:hint="eastAsia"/>
          <w:bCs w:val="0"/>
          <w:lang w:eastAsia="ja-JP"/>
        </w:rPr>
        <w:t>循環論證</w:t>
      </w:r>
      <w:r w:rsidR="00F11133" w:rsidRPr="00F00705">
        <w:rPr>
          <w:rFonts w:hAnsi="標楷體" w:hint="eastAsia"/>
          <w:bCs w:val="0"/>
        </w:rPr>
        <w:t>問題</w:t>
      </w:r>
      <w:r w:rsidR="00A074EA" w:rsidRPr="00F00705">
        <w:rPr>
          <w:rFonts w:hAnsi="標楷體" w:hint="eastAsia"/>
          <w:bCs w:val="0"/>
          <w:lang w:eastAsia="ja-JP"/>
        </w:rPr>
        <w:t>，有價證券之範圍恣意擴張，肇生TDR是否確經主管機關行使核定權的重大爭議，不僅一般人民難以理解，學說及司法實務上亦爭議不斷，認有違反憲法所要求之「授權明確性原則」、「法律保留原則」及「罪刑法定原則」之虞，誠非妥適，本於法治國原則及人權保障意旨，應請主管機關從法制上確實檢討改善，以澈底解決爭端。</w:t>
      </w:r>
    </w:p>
    <w:p w:rsidR="004A06B5" w:rsidRPr="00F00705" w:rsidRDefault="00910EB8" w:rsidP="00DE4238">
      <w:pPr>
        <w:pStyle w:val="2"/>
        <w:rPr>
          <w:rFonts w:hAnsi="標楷體"/>
          <w:b/>
        </w:rPr>
      </w:pPr>
      <w:r w:rsidRPr="00F00705">
        <w:rPr>
          <w:rFonts w:hAnsi="標楷體" w:hint="eastAsia"/>
          <w:b/>
          <w:lang w:val="ja-JP"/>
        </w:rPr>
        <w:t>金管會</w:t>
      </w:r>
      <w:r w:rsidR="009901F3" w:rsidRPr="00F00705">
        <w:rPr>
          <w:rFonts w:hAnsi="標楷體" w:hint="eastAsia"/>
          <w:b/>
          <w:lang w:val="ja-JP"/>
        </w:rPr>
        <w:t>另</w:t>
      </w:r>
      <w:r w:rsidRPr="00F00705">
        <w:rPr>
          <w:rFonts w:hAnsi="標楷體" w:hint="eastAsia"/>
          <w:b/>
          <w:lang w:val="ja-JP"/>
        </w:rPr>
        <w:t>稱</w:t>
      </w:r>
      <w:r w:rsidR="00894D28" w:rsidRPr="00F00705">
        <w:rPr>
          <w:rFonts w:hAnsi="標楷體" w:hint="eastAsia"/>
          <w:b/>
          <w:lang w:val="ja-JP"/>
        </w:rPr>
        <w:t>「外國發行人募集與發行有價證券處理準則」</w:t>
      </w:r>
      <w:r w:rsidRPr="00F00705">
        <w:rPr>
          <w:rFonts w:hAnsi="標楷體" w:hint="eastAsia"/>
          <w:b/>
          <w:lang w:val="ja-JP"/>
        </w:rPr>
        <w:t>亦可作為TDR業經主管機關行使核定權之依據</w:t>
      </w:r>
      <w:r w:rsidR="00A074EA" w:rsidRPr="00F00705">
        <w:rPr>
          <w:rFonts w:hAnsi="標楷體" w:hint="eastAsia"/>
          <w:b/>
          <w:lang w:val="ja-JP"/>
        </w:rPr>
        <w:t>。</w:t>
      </w:r>
      <w:r w:rsidRPr="00F00705">
        <w:rPr>
          <w:rFonts w:hAnsi="標楷體" w:hint="eastAsia"/>
          <w:b/>
          <w:lang w:val="ja-JP"/>
        </w:rPr>
        <w:t>惟查，該準則</w:t>
      </w:r>
      <w:r w:rsidR="00894D28" w:rsidRPr="00F00705">
        <w:rPr>
          <w:rFonts w:hAnsi="標楷體" w:hint="eastAsia"/>
          <w:b/>
          <w:lang w:val="ja-JP"/>
        </w:rPr>
        <w:t>之授權依據係</w:t>
      </w:r>
      <w:r w:rsidR="00894D28" w:rsidRPr="00F00705">
        <w:rPr>
          <w:rFonts w:hAnsi="標楷體" w:hint="eastAsia"/>
          <w:b/>
        </w:rPr>
        <w:t>證交法22條第1項，</w:t>
      </w:r>
      <w:r w:rsidR="009901F3" w:rsidRPr="00F00705">
        <w:rPr>
          <w:rFonts w:hAnsi="標楷體" w:hint="eastAsia"/>
          <w:b/>
        </w:rPr>
        <w:t>旨</w:t>
      </w:r>
      <w:r w:rsidR="00A85BAD" w:rsidRPr="00F00705">
        <w:rPr>
          <w:rFonts w:hAnsi="標楷體" w:hint="eastAsia"/>
          <w:b/>
        </w:rPr>
        <w:t>在</w:t>
      </w:r>
      <w:r w:rsidR="00894D28" w:rsidRPr="00F00705">
        <w:rPr>
          <w:rFonts w:hAnsi="標楷體" w:hint="eastAsia"/>
          <w:b/>
        </w:rPr>
        <w:t>規範「募集與發行」，</w:t>
      </w:r>
      <w:r w:rsidRPr="00F00705">
        <w:rPr>
          <w:rFonts w:hAnsi="標楷體" w:hint="eastAsia"/>
          <w:b/>
        </w:rPr>
        <w:t>而同法</w:t>
      </w:r>
      <w:r w:rsidR="00894D28" w:rsidRPr="00F00705">
        <w:rPr>
          <w:rFonts w:hAnsi="標楷體" w:hint="eastAsia"/>
          <w:b/>
        </w:rPr>
        <w:t>第6條第1項係規範「有價證券</w:t>
      </w:r>
      <w:r w:rsidR="00894D28" w:rsidRPr="00F00705">
        <w:rPr>
          <w:rFonts w:hAnsi="標楷體" w:hint="eastAsia"/>
          <w:b/>
        </w:rPr>
        <w:lastRenderedPageBreak/>
        <w:t>之種類」，</w:t>
      </w:r>
      <w:r w:rsidRPr="00F00705">
        <w:rPr>
          <w:rFonts w:hAnsi="標楷體" w:hint="eastAsia"/>
          <w:b/>
        </w:rPr>
        <w:t>第22條第1項與第6條第1項之</w:t>
      </w:r>
      <w:r w:rsidR="00894D28" w:rsidRPr="00F00705">
        <w:rPr>
          <w:rFonts w:hAnsi="標楷體" w:hint="eastAsia"/>
          <w:b/>
        </w:rPr>
        <w:t>規範目的顯不相同，</w:t>
      </w:r>
      <w:r w:rsidR="000C644E" w:rsidRPr="00F00705">
        <w:rPr>
          <w:rFonts w:hAnsi="標楷體" w:hint="eastAsia"/>
          <w:b/>
        </w:rPr>
        <w:t>且上開準則第3條第7款僅</w:t>
      </w:r>
      <w:r w:rsidR="00805B45" w:rsidRPr="00F00705">
        <w:rPr>
          <w:rFonts w:hAnsi="標楷體" w:hint="eastAsia"/>
          <w:b/>
        </w:rPr>
        <w:t>係就</w:t>
      </w:r>
      <w:r w:rsidR="000C644E" w:rsidRPr="00F00705">
        <w:rPr>
          <w:rFonts w:hAnsi="標楷體" w:hint="eastAsia"/>
          <w:b/>
        </w:rPr>
        <w:t>TDR為定義性規定，金管會</w:t>
      </w:r>
      <w:r w:rsidR="00790634" w:rsidRPr="00F00705">
        <w:rPr>
          <w:rFonts w:hAnsi="標楷體" w:hint="eastAsia"/>
          <w:b/>
        </w:rPr>
        <w:t>率</w:t>
      </w:r>
      <w:r w:rsidR="000C644E" w:rsidRPr="00F00705">
        <w:rPr>
          <w:rFonts w:hAnsi="標楷體" w:hint="eastAsia"/>
          <w:b/>
        </w:rPr>
        <w:t>以該準則</w:t>
      </w:r>
      <w:r w:rsidR="00237550" w:rsidRPr="00F00705">
        <w:rPr>
          <w:rFonts w:hAnsi="標楷體" w:hint="eastAsia"/>
          <w:b/>
        </w:rPr>
        <w:t>作為</w:t>
      </w:r>
      <w:r w:rsidR="001E2BDB" w:rsidRPr="00F00705">
        <w:rPr>
          <w:rFonts w:hAnsi="標楷體" w:hint="eastAsia"/>
          <w:b/>
        </w:rPr>
        <w:t>主管機關已就</w:t>
      </w:r>
      <w:r w:rsidR="008F5572" w:rsidRPr="00F00705">
        <w:rPr>
          <w:rFonts w:hAnsi="標楷體" w:hint="eastAsia"/>
          <w:b/>
        </w:rPr>
        <w:t>TDR</w:t>
      </w:r>
      <w:r w:rsidR="00B6276A" w:rsidRPr="00F00705">
        <w:rPr>
          <w:rFonts w:hAnsi="標楷體" w:hint="eastAsia"/>
          <w:b/>
        </w:rPr>
        <w:t>行使核定權之</w:t>
      </w:r>
      <w:r w:rsidR="008F5572" w:rsidRPr="00F00705">
        <w:rPr>
          <w:rFonts w:hAnsi="標楷體" w:hint="eastAsia"/>
          <w:b/>
        </w:rPr>
        <w:t>依據，</w:t>
      </w:r>
      <w:r w:rsidR="00F2484E" w:rsidRPr="00F00705">
        <w:rPr>
          <w:rFonts w:hAnsi="標楷體" w:hint="eastAsia"/>
          <w:b/>
        </w:rPr>
        <w:t>亦</w:t>
      </w:r>
      <w:r w:rsidR="0088493B" w:rsidRPr="00F00705">
        <w:rPr>
          <w:rFonts w:hAnsi="標楷體" w:hint="eastAsia"/>
          <w:b/>
        </w:rPr>
        <w:t>有</w:t>
      </w:r>
      <w:r w:rsidR="000C644E" w:rsidRPr="00F00705">
        <w:rPr>
          <w:rFonts w:hAnsi="標楷體" w:hint="eastAsia"/>
          <w:b/>
        </w:rPr>
        <w:t>逾越法律授權範圍之</w:t>
      </w:r>
      <w:r w:rsidR="005972FF" w:rsidRPr="00F00705">
        <w:rPr>
          <w:rFonts w:hAnsi="標楷體" w:hint="eastAsia"/>
          <w:b/>
        </w:rPr>
        <w:t>違憲疑慮</w:t>
      </w:r>
      <w:r w:rsidR="000C644E" w:rsidRPr="00F00705">
        <w:rPr>
          <w:rFonts w:hAnsi="標楷體" w:hint="eastAsia"/>
          <w:b/>
        </w:rPr>
        <w:t>，</w:t>
      </w:r>
      <w:r w:rsidR="00046E50" w:rsidRPr="00F00705">
        <w:rPr>
          <w:rFonts w:hAnsi="標楷體" w:hint="eastAsia"/>
          <w:b/>
        </w:rPr>
        <w:t>應</w:t>
      </w:r>
      <w:r w:rsidR="00A3202E" w:rsidRPr="00F00705">
        <w:rPr>
          <w:rFonts w:hAnsi="標楷體" w:hint="eastAsia"/>
          <w:b/>
        </w:rPr>
        <w:t>請該會</w:t>
      </w:r>
      <w:r w:rsidRPr="00F00705">
        <w:rPr>
          <w:rFonts w:hAnsi="標楷體" w:hint="eastAsia"/>
          <w:b/>
        </w:rPr>
        <w:t>確實檢討</w:t>
      </w:r>
      <w:r w:rsidR="006644DF" w:rsidRPr="00F00705">
        <w:rPr>
          <w:rFonts w:hAnsi="標楷體" w:hint="eastAsia"/>
          <w:b/>
        </w:rPr>
        <w:t>改善</w:t>
      </w:r>
      <w:r w:rsidR="009901F3" w:rsidRPr="00F00705">
        <w:rPr>
          <w:rFonts w:hAnsi="標楷體" w:hint="eastAsia"/>
          <w:b/>
        </w:rPr>
        <w:t>，</w:t>
      </w:r>
      <w:r w:rsidR="00C96420" w:rsidRPr="00F00705">
        <w:rPr>
          <w:rFonts w:hAnsi="標楷體" w:hint="eastAsia"/>
          <w:b/>
        </w:rPr>
        <w:t>以杜絕爭端</w:t>
      </w:r>
      <w:r w:rsidR="00FB7BC6" w:rsidRPr="00F00705">
        <w:rPr>
          <w:rFonts w:hAnsi="標楷體" w:hint="eastAsia"/>
          <w:b/>
        </w:rPr>
        <w:t>。</w:t>
      </w:r>
    </w:p>
    <w:p w:rsidR="00354526" w:rsidRPr="00F00705" w:rsidRDefault="00354526" w:rsidP="004164B2">
      <w:pPr>
        <w:pStyle w:val="3"/>
        <w:rPr>
          <w:rFonts w:hAnsi="標楷體"/>
          <w:bCs w:val="0"/>
        </w:rPr>
      </w:pPr>
      <w:r w:rsidRPr="00F00705">
        <w:rPr>
          <w:rFonts w:hAnsi="標楷體" w:hint="eastAsia"/>
          <w:bCs w:val="0"/>
        </w:rPr>
        <w:t>行政程序法第150條第2項明定：「法規命令之內容應明列其法律授權之依據，並不得逾越法律授權之範圍與立法精神。」又依司法院釋字第394號解釋理由書要旨：「法律授權訂定命令者，如涉及限制人民之自由權利時，其授權之目的、範圍及內容須符合具體明確之要件；若法律僅為概括授權時，固應就該項法律整體所表現之關聯意義為判斷，而非拘泥於特定法條之文字；惟依此種概括授權所訂定之命令祇能就執行母法有關之細節性及技術性事項加以規定，尚不得超越法律授權之外」、司法院釋字第479號解釋理由書要旨亦重申：「行政機關依其職權執行法律，雖得訂定命令對法律為必要之補充，惟其僅能就執行母法之細節性、技術性事項加以規定，不得逾越母法之限度，此業經本院釋字第367號、第390號、第443號及第454號解釋釋示在案。」以及司法院釋字第606號解釋理由書要旨揭示：「如為便利法律之實施，以法律授權主管機關發布命令為補充規定，其內容須符合立法意旨</w:t>
      </w:r>
      <w:r w:rsidR="00A159B6" w:rsidRPr="00F00705">
        <w:rPr>
          <w:rFonts w:hAnsi="標楷體" w:hint="eastAsia"/>
          <w:bCs w:val="0"/>
        </w:rPr>
        <w:t>，且不得逾越母法規定之範圍。」由此可知，以法律授權主管機關所發布</w:t>
      </w:r>
      <w:r w:rsidRPr="00F00705">
        <w:rPr>
          <w:rFonts w:hAnsi="標楷體" w:hint="eastAsia"/>
          <w:bCs w:val="0"/>
        </w:rPr>
        <w:t>之處理準則等法規命令，其內容需符合立法意旨，更不得逾越母法規定之範圍，僅能就執行母法之細節性、技術性事項加以規定，不得逾越母法之限度，否則即屬違憲無效。</w:t>
      </w:r>
    </w:p>
    <w:p w:rsidR="0097662D" w:rsidRPr="00F00705" w:rsidRDefault="00354526" w:rsidP="00DE4238">
      <w:pPr>
        <w:pStyle w:val="3"/>
        <w:rPr>
          <w:rFonts w:hAnsi="標楷體"/>
          <w:bCs w:val="0"/>
        </w:rPr>
      </w:pPr>
      <w:r w:rsidRPr="00F00705">
        <w:rPr>
          <w:rFonts w:hAnsi="標楷體" w:hint="eastAsia"/>
          <w:bCs w:val="0"/>
          <w:lang w:val="ja-JP"/>
        </w:rPr>
        <w:t>有關TDR是否業經主管機關核定之重大爭議，</w:t>
      </w:r>
      <w:r w:rsidR="002858D8" w:rsidRPr="00F00705">
        <w:rPr>
          <w:rFonts w:hAnsi="標楷體" w:hint="eastAsia"/>
          <w:bCs w:val="0"/>
          <w:lang w:val="ja-JP"/>
        </w:rPr>
        <w:t>金管會於本院調查時</w:t>
      </w:r>
      <w:r w:rsidRPr="00F00705">
        <w:rPr>
          <w:rFonts w:hAnsi="標楷體" w:hint="eastAsia"/>
          <w:bCs w:val="0"/>
          <w:lang w:val="ja-JP"/>
        </w:rPr>
        <w:t>雖</w:t>
      </w:r>
      <w:r w:rsidR="002858D8" w:rsidRPr="00F00705">
        <w:rPr>
          <w:rFonts w:hAnsi="標楷體" w:hint="eastAsia"/>
          <w:bCs w:val="0"/>
          <w:lang w:val="ja-JP"/>
        </w:rPr>
        <w:t>另稱：</w:t>
      </w:r>
      <w:r w:rsidR="00B51F7D" w:rsidRPr="00F00705">
        <w:rPr>
          <w:rFonts w:hAnsi="標楷體" w:hint="eastAsia"/>
          <w:bCs w:val="0"/>
        </w:rPr>
        <w:t>81年訂定公布原名「</w:t>
      </w:r>
      <w:r w:rsidR="00B51F7D" w:rsidRPr="00F00705">
        <w:rPr>
          <w:rFonts w:hAnsi="標楷體" w:hint="eastAsia"/>
          <w:bCs w:val="0"/>
          <w:lang w:val="ja-JP"/>
        </w:rPr>
        <w:t>募集與</w:t>
      </w:r>
      <w:r w:rsidR="00B51F7D" w:rsidRPr="00F00705">
        <w:rPr>
          <w:rFonts w:hAnsi="標楷體" w:hint="eastAsia"/>
          <w:bCs w:val="0"/>
          <w:lang w:val="ja-JP"/>
        </w:rPr>
        <w:lastRenderedPageBreak/>
        <w:t>發行臺灣存託憑證處理準則」，85年間更名為「外國發行人募集與發行有價證券處理準則」（</w:t>
      </w:r>
      <w:r w:rsidR="00B51F7D" w:rsidRPr="00F00705">
        <w:rPr>
          <w:rFonts w:hAnsi="標楷體" w:hint="eastAsia"/>
          <w:bCs w:val="0"/>
        </w:rPr>
        <w:t>下稱「募發處理準則」）</w:t>
      </w:r>
      <w:r w:rsidR="002858D8" w:rsidRPr="00F00705">
        <w:rPr>
          <w:rFonts w:hAnsi="標楷體" w:hint="eastAsia"/>
          <w:bCs w:val="0"/>
          <w:lang w:val="ja-JP"/>
        </w:rPr>
        <w:t>亦可作為TDR業經主管機關行使核定權之依據</w:t>
      </w:r>
      <w:r w:rsidR="0097662D" w:rsidRPr="00F00705">
        <w:rPr>
          <w:rFonts w:hAnsi="標楷體" w:hint="eastAsia"/>
          <w:bCs w:val="0"/>
          <w:lang w:val="ja-JP"/>
        </w:rPr>
        <w:t>等語</w:t>
      </w:r>
      <w:r w:rsidR="002858D8" w:rsidRPr="00F00705">
        <w:rPr>
          <w:rFonts w:hAnsi="標楷體" w:hint="eastAsia"/>
          <w:bCs w:val="0"/>
          <w:lang w:val="ja-JP"/>
        </w:rPr>
        <w:t>。</w:t>
      </w:r>
    </w:p>
    <w:p w:rsidR="002858D8" w:rsidRPr="00F00705" w:rsidRDefault="002858D8" w:rsidP="00DE4238">
      <w:pPr>
        <w:pStyle w:val="3"/>
        <w:rPr>
          <w:rFonts w:hAnsi="標楷體"/>
          <w:bCs w:val="0"/>
        </w:rPr>
      </w:pPr>
      <w:r w:rsidRPr="00F00705">
        <w:rPr>
          <w:rFonts w:hAnsi="標楷體" w:hint="eastAsia"/>
          <w:bCs w:val="0"/>
          <w:lang w:val="ja-JP"/>
        </w:rPr>
        <w:t>惟查</w:t>
      </w:r>
      <w:r w:rsidRPr="00F00705">
        <w:rPr>
          <w:rFonts w:hAnsi="標楷體" w:hint="eastAsia"/>
          <w:bCs w:val="0"/>
        </w:rPr>
        <w:t>：</w:t>
      </w:r>
    </w:p>
    <w:p w:rsidR="0097662D" w:rsidRPr="00F00705" w:rsidRDefault="0097662D" w:rsidP="002858D8">
      <w:pPr>
        <w:pStyle w:val="4"/>
      </w:pPr>
      <w:r w:rsidRPr="00F00705">
        <w:rPr>
          <w:rFonts w:hint="eastAsia"/>
        </w:rPr>
        <w:t>「募發處理準則」第1條之授權依據載明：「本準則依證交法第22條第4項規定訂定之。」其法律授權依據顯係「證交法第22條第4項」，並非「證交法第6條第1項」。換言之，「募發處理準則」應受證交法第22條第4項之授權目的、內容及範圍與立法精神等拘束，不得逾越。甚且，證交法第22條第4項係針對「已屬證交易法規範之有價證券」，後續究應如何募集、發行等細節性、技術性「行政事項」所為之規定與證交法第6條第1項「有價證券種類」之核定權行使無關。基此，「募發處理準則」與其母法應同受限制，不能逾越證交法第22條第4項之授權目的、內容及範圍，逕自獨立、變質成為主管機關行使「核定權」之方式。</w:t>
      </w:r>
    </w:p>
    <w:p w:rsidR="00B51F7D" w:rsidRPr="00F00705" w:rsidRDefault="00B51F7D" w:rsidP="002858D8">
      <w:pPr>
        <w:pStyle w:val="4"/>
      </w:pPr>
      <w:r w:rsidRPr="00F00705">
        <w:rPr>
          <w:rFonts w:hAnsi="標楷體" w:hint="eastAsia"/>
          <w:bCs/>
        </w:rPr>
        <w:t>「</w:t>
      </w:r>
      <w:r w:rsidRPr="00F00705">
        <w:rPr>
          <w:rFonts w:hAnsi="標楷體" w:hint="eastAsia"/>
        </w:rPr>
        <w:t>募發處理準則</w:t>
      </w:r>
      <w:r w:rsidRPr="00F00705">
        <w:rPr>
          <w:rFonts w:hAnsi="標楷體" w:hint="eastAsia"/>
          <w:bCs/>
        </w:rPr>
        <w:t>」</w:t>
      </w:r>
      <w:r w:rsidR="007E1476" w:rsidRPr="00F00705">
        <w:rPr>
          <w:rFonts w:hint="eastAsia"/>
          <w:lang w:val="ja-JP"/>
        </w:rPr>
        <w:t>之法源依據係原證交法第</w:t>
      </w:r>
      <w:r w:rsidR="007E1476" w:rsidRPr="00F00705">
        <w:rPr>
          <w:lang w:val="ja-JP"/>
        </w:rPr>
        <w:t>22</w:t>
      </w:r>
      <w:r w:rsidR="007E1476" w:rsidRPr="00F00705">
        <w:rPr>
          <w:rFonts w:hint="eastAsia"/>
          <w:lang w:val="ja-JP"/>
        </w:rPr>
        <w:t>條第</w:t>
      </w:r>
      <w:r w:rsidR="007E1476" w:rsidRPr="00F00705">
        <w:rPr>
          <w:lang w:val="ja-JP"/>
        </w:rPr>
        <w:t>1</w:t>
      </w:r>
      <w:r w:rsidR="007E1476" w:rsidRPr="00F00705">
        <w:rPr>
          <w:rFonts w:hint="eastAsia"/>
          <w:lang w:val="ja-JP"/>
        </w:rPr>
        <w:t>項</w:t>
      </w:r>
      <w:r w:rsidR="009459ED" w:rsidRPr="00F00705">
        <w:rPr>
          <w:rFonts w:hint="eastAsia"/>
          <w:lang w:val="ja-JP"/>
        </w:rPr>
        <w:t>，</w:t>
      </w:r>
      <w:r w:rsidR="007E1476" w:rsidRPr="00F00705">
        <w:rPr>
          <w:rFonts w:hint="eastAsia"/>
          <w:lang w:val="ja-JP"/>
        </w:rPr>
        <w:t>而非第</w:t>
      </w:r>
      <w:r w:rsidR="007E1476" w:rsidRPr="00F00705">
        <w:rPr>
          <w:lang w:val="ja-JP"/>
        </w:rPr>
        <w:t>6</w:t>
      </w:r>
      <w:r w:rsidR="007E1476" w:rsidRPr="00F00705">
        <w:rPr>
          <w:rFonts w:hint="eastAsia"/>
          <w:lang w:val="ja-JP"/>
        </w:rPr>
        <w:t>條第</w:t>
      </w:r>
      <w:r w:rsidR="007E1476" w:rsidRPr="00F00705">
        <w:rPr>
          <w:lang w:val="ja-JP"/>
        </w:rPr>
        <w:t>1</w:t>
      </w:r>
      <w:r w:rsidR="007E1476" w:rsidRPr="00F00705">
        <w:rPr>
          <w:rFonts w:hint="eastAsia"/>
          <w:lang w:val="ja-JP"/>
        </w:rPr>
        <w:t>項，前者係規範「募集與發行」</w:t>
      </w:r>
      <w:r w:rsidR="009459ED" w:rsidRPr="00F00705">
        <w:rPr>
          <w:rFonts w:hint="eastAsia"/>
          <w:lang w:val="ja-JP"/>
        </w:rPr>
        <w:t>，</w:t>
      </w:r>
      <w:r w:rsidR="007E1476" w:rsidRPr="00F00705">
        <w:rPr>
          <w:rFonts w:hint="eastAsia"/>
          <w:lang w:val="ja-JP"/>
        </w:rPr>
        <w:t>後者係規範「有價證券之種類」，兩者規範功能及目的均不相同，「募集與發行」顯然與「核定」完全不同。</w:t>
      </w:r>
    </w:p>
    <w:p w:rsidR="00B51F7D" w:rsidRPr="00F00705" w:rsidRDefault="003F6F3A" w:rsidP="007677DE">
      <w:pPr>
        <w:pStyle w:val="4"/>
      </w:pPr>
      <w:r w:rsidRPr="00F00705">
        <w:rPr>
          <w:rFonts w:hint="eastAsia"/>
        </w:rPr>
        <w:t>證交法第22條第4項規定：「依前三項規定申報生效應具備之條件、應檢附之書件、審核程序及其他應遵行事項之準則，由主管機關定之。」顯見本條項之授權為一特定授權，主管機關依其特定授權</w:t>
      </w:r>
      <w:r w:rsidR="00DF38A6" w:rsidRPr="00F00705">
        <w:rPr>
          <w:rFonts w:hint="eastAsia"/>
        </w:rPr>
        <w:t>規定所訂定之法規命令</w:t>
      </w:r>
      <w:r w:rsidR="00DF38A6" w:rsidRPr="00F00705">
        <w:rPr>
          <w:rFonts w:ascii="新細明體" w:eastAsia="新細明體" w:hAnsi="新細明體" w:hint="eastAsia"/>
        </w:rPr>
        <w:t>，</w:t>
      </w:r>
      <w:r w:rsidR="00DF38A6" w:rsidRPr="00F00705">
        <w:rPr>
          <w:rFonts w:hint="eastAsia"/>
        </w:rPr>
        <w:t>其範圍必須限定在有關募集及發行有價證券之申報生效應具備之條件、應檢附之書件、審核程序及其他應遵行之</w:t>
      </w:r>
      <w:r w:rsidR="00DF38A6" w:rsidRPr="00F00705">
        <w:rPr>
          <w:rFonts w:hint="eastAsia"/>
        </w:rPr>
        <w:lastRenderedPageBreak/>
        <w:t>事項，不得任意附加其他事項，始符合授權明確性原則。</w:t>
      </w:r>
      <w:r w:rsidR="00B51F7D" w:rsidRPr="00F00705">
        <w:rPr>
          <w:rFonts w:hint="eastAsia"/>
          <w:bCs/>
        </w:rPr>
        <w:t>「</w:t>
      </w:r>
      <w:r w:rsidR="00B51F7D" w:rsidRPr="00F00705">
        <w:rPr>
          <w:rFonts w:hint="eastAsia"/>
        </w:rPr>
        <w:t>募發處理準則</w:t>
      </w:r>
      <w:r w:rsidR="00B51F7D" w:rsidRPr="00F00705">
        <w:rPr>
          <w:rFonts w:hint="eastAsia"/>
          <w:bCs/>
        </w:rPr>
        <w:t>」</w:t>
      </w:r>
      <w:r w:rsidR="00EE11B5" w:rsidRPr="00F00705">
        <w:rPr>
          <w:rFonts w:hint="eastAsia"/>
          <w:lang w:val="ja-JP"/>
        </w:rPr>
        <w:t>第1條僅明定其授權依據為證交法第22條第4項規定</w:t>
      </w:r>
      <w:r w:rsidR="00EE11B5" w:rsidRPr="00F00705">
        <w:rPr>
          <w:rFonts w:ascii="新細明體" w:eastAsia="新細明體" w:hAnsi="新細明體" w:hint="eastAsia"/>
          <w:lang w:val="ja-JP"/>
        </w:rPr>
        <w:t>，</w:t>
      </w:r>
      <w:r w:rsidR="00EE11B5" w:rsidRPr="00F00705">
        <w:rPr>
          <w:rFonts w:hint="eastAsia"/>
          <w:lang w:val="ja-JP"/>
        </w:rPr>
        <w:t>並未將證交法第6條第1項規定納入</w:t>
      </w:r>
      <w:r w:rsidR="00EE11B5" w:rsidRPr="00F00705">
        <w:rPr>
          <w:rFonts w:ascii="新細明體" w:eastAsia="新細明體" w:hAnsi="新細明體" w:hint="eastAsia"/>
          <w:lang w:val="ja-JP"/>
        </w:rPr>
        <w:t>，</w:t>
      </w:r>
      <w:r w:rsidR="00EE11B5" w:rsidRPr="00F00705">
        <w:rPr>
          <w:rFonts w:hint="eastAsia"/>
          <w:lang w:val="ja-JP"/>
        </w:rPr>
        <w:t>現行</w:t>
      </w:r>
      <w:r w:rsidR="0097662D" w:rsidRPr="00F00705">
        <w:rPr>
          <w:rFonts w:hint="eastAsia"/>
          <w:bCs/>
        </w:rPr>
        <w:t>「</w:t>
      </w:r>
      <w:r w:rsidR="0097662D" w:rsidRPr="00F00705">
        <w:rPr>
          <w:rFonts w:hint="eastAsia"/>
        </w:rPr>
        <w:t>募發處理準則</w:t>
      </w:r>
      <w:r w:rsidR="0097662D" w:rsidRPr="00F00705">
        <w:rPr>
          <w:rFonts w:hint="eastAsia"/>
          <w:bCs/>
        </w:rPr>
        <w:t>」</w:t>
      </w:r>
      <w:r w:rsidR="00EE11B5" w:rsidRPr="00F00705">
        <w:rPr>
          <w:rFonts w:hint="eastAsia"/>
          <w:lang w:val="ja-JP"/>
        </w:rPr>
        <w:t>第3條第7款雖對</w:t>
      </w:r>
      <w:r w:rsidR="002F1EF0" w:rsidRPr="00F00705">
        <w:rPr>
          <w:rFonts w:hint="eastAsia"/>
          <w:lang w:val="ja-JP"/>
        </w:rPr>
        <w:t>T</w:t>
      </w:r>
      <w:r w:rsidR="002F1EF0" w:rsidRPr="00F00705">
        <w:rPr>
          <w:rFonts w:eastAsia="MS Mincho"/>
          <w:lang w:val="ja-JP" w:eastAsia="ja-JP"/>
        </w:rPr>
        <w:t>DR</w:t>
      </w:r>
      <w:r w:rsidR="00EE11B5" w:rsidRPr="00F00705">
        <w:rPr>
          <w:rFonts w:hint="eastAsia"/>
          <w:lang w:val="ja-JP"/>
        </w:rPr>
        <w:t>有所規定，但僅為定義性規定，並非授權依據。</w:t>
      </w:r>
    </w:p>
    <w:p w:rsidR="00B51F7D" w:rsidRPr="00F00705" w:rsidRDefault="009A119B" w:rsidP="002858D8">
      <w:pPr>
        <w:pStyle w:val="4"/>
      </w:pPr>
      <w:r w:rsidRPr="00F00705">
        <w:rPr>
          <w:rFonts w:hint="eastAsia"/>
        </w:rPr>
        <w:t>由法規範之體系解釋可知，證券交易法第22條所稱之「有價證券」，必係業已通過證交法第6條第1項之檢驗，亦即經主管機關行使「核定權」後，使之成為受證券交易法規範之「有價證券」，方才發生應如何募集、發行等行政流程之遵行事宜，而有</w:t>
      </w:r>
      <w:r w:rsidR="000D2835" w:rsidRPr="00F00705">
        <w:rPr>
          <w:rFonts w:hint="eastAsia"/>
          <w:bCs/>
        </w:rPr>
        <w:t>「</w:t>
      </w:r>
      <w:r w:rsidR="000D2835" w:rsidRPr="00F00705">
        <w:rPr>
          <w:rFonts w:hint="eastAsia"/>
        </w:rPr>
        <w:t>募發處理準則</w:t>
      </w:r>
      <w:r w:rsidR="000D2835" w:rsidRPr="00F00705">
        <w:rPr>
          <w:rFonts w:hint="eastAsia"/>
          <w:bCs/>
        </w:rPr>
        <w:t>」</w:t>
      </w:r>
      <w:r w:rsidRPr="00F00705">
        <w:rPr>
          <w:rFonts w:hint="eastAsia"/>
        </w:rPr>
        <w:t>之適用。斷無尚未經過主管機關前階段核定權之行使，即跳躍適用後階段之「募發處理準則」，甚至以此作為核定權之行使之理。主管機關在未曾為前階段之「核定屬證券交易法之有價證券」下，率爾以後階段之「募發處理準則」核定TDR為證交法第6條第1項之「有價證券」，顯已逾越證交法第22條第1項之授權目的、內容及範圍，更逾越母法所授權之意旨及整體法規範目的。</w:t>
      </w:r>
    </w:p>
    <w:p w:rsidR="00A7577B" w:rsidRPr="00F00705" w:rsidRDefault="00354526" w:rsidP="00A43AD4">
      <w:pPr>
        <w:pStyle w:val="4"/>
      </w:pPr>
      <w:r w:rsidRPr="00F00705">
        <w:rPr>
          <w:rFonts w:hint="eastAsia"/>
        </w:rPr>
        <w:t>又按，證交法第22條第1項於77年1月29日修正時，將「有價證券」之募集、發行程序簡化，由原本之「審核制」，改為「審核與申報兼有制」，斯時之修法理由明示：「證券市場已建立25年，公開發行公司與市場交易量質隨著國家經濟成長而逐日增加，對於善意之有價證券取得人或出賣人因而所受之損害，應負賠償之責等改進措施，對部分得簡化審核程序之募集與發行，可採行美、日等國申報生效制，以增進募集與發行之時效，爰將現行審核制，修正兼採審核與申報制。」</w:t>
      </w:r>
      <w:r w:rsidRPr="00F00705">
        <w:rPr>
          <w:rFonts w:hint="eastAsia"/>
        </w:rPr>
        <w:lastRenderedPageBreak/>
        <w:t>可知證交法第22條及</w:t>
      </w:r>
      <w:r w:rsidRPr="00F00705">
        <w:rPr>
          <w:rFonts w:hint="eastAsia"/>
          <w:bCs/>
        </w:rPr>
        <w:t>「</w:t>
      </w:r>
      <w:r w:rsidRPr="00F00705">
        <w:rPr>
          <w:rFonts w:hint="eastAsia"/>
        </w:rPr>
        <w:t>募發處理準則</w:t>
      </w:r>
      <w:r w:rsidRPr="00F00705">
        <w:rPr>
          <w:rFonts w:hint="eastAsia"/>
          <w:bCs/>
        </w:rPr>
        <w:t>」</w:t>
      </w:r>
      <w:r w:rsidRPr="00F00705">
        <w:rPr>
          <w:rFonts w:hint="eastAsia"/>
        </w:rPr>
        <w:t>，確係針對「已屬證券交易法之有價證券」實際應如何募集、發行等行政事項，例如：申報、應附書件、審核程序等之遵行規定而為規範，且為簡化部分程序，方於77年修法。換言之，證交法第22條及其「募發處理準則」要與「證交法第6條第1項」即主管機關之「核定權」無涉，蓋「募發處理準則」之適用前提，係有價證券「已經主管機關核定而成為證券交易法規範之有價證券」，自不得倒果為因，反將「募發處理準則」用作證交法第6條第1</w:t>
      </w:r>
      <w:r w:rsidR="00333B16" w:rsidRPr="00F00705">
        <w:rPr>
          <w:rFonts w:hint="eastAsia"/>
        </w:rPr>
        <w:t>項「核定權」之行使。是如主管機關在未曾為前階段之「核定屬證交</w:t>
      </w:r>
      <w:r w:rsidRPr="00F00705">
        <w:rPr>
          <w:rFonts w:hint="eastAsia"/>
        </w:rPr>
        <w:t>法之有價證券」下，率爾以後階段之「募發處理準則」核定TDR</w:t>
      </w:r>
      <w:r w:rsidR="00333B16" w:rsidRPr="00F00705">
        <w:rPr>
          <w:rFonts w:hint="eastAsia"/>
        </w:rPr>
        <w:t>為證交</w:t>
      </w:r>
      <w:r w:rsidRPr="00F00705">
        <w:rPr>
          <w:rFonts w:hint="eastAsia"/>
        </w:rPr>
        <w:t>法第6條第1項之「有價證券」，此顯已逾越證交法第22條第1項之授權目的、內容</w:t>
      </w:r>
      <w:r w:rsidR="00301D59" w:rsidRPr="00F00705">
        <w:rPr>
          <w:rFonts w:hint="eastAsia"/>
        </w:rPr>
        <w:t>及範圍，更逾越母法所授權之意旨及整體法規範目的等，且是否屬證交法</w:t>
      </w:r>
      <w:r w:rsidRPr="00F00705">
        <w:rPr>
          <w:rFonts w:hint="eastAsia"/>
        </w:rPr>
        <w:t>上有價證券更牽涉得否適用證交法刑事處罰規定之前提要件，自應採「嚴格」審查基準，即便改採「寬鬆」或「中度」審查標準，</w:t>
      </w:r>
      <w:r w:rsidR="00045C99" w:rsidRPr="00F00705">
        <w:rPr>
          <w:rFonts w:hint="eastAsia"/>
        </w:rPr>
        <w:t>亦有</w:t>
      </w:r>
      <w:r w:rsidRPr="00F00705">
        <w:rPr>
          <w:rFonts w:hint="eastAsia"/>
        </w:rPr>
        <w:t>違反「授權明確性」原則</w:t>
      </w:r>
      <w:r w:rsidR="00045C99" w:rsidRPr="00F00705">
        <w:rPr>
          <w:rFonts w:hint="eastAsia"/>
        </w:rPr>
        <w:t>之虞</w:t>
      </w:r>
      <w:r w:rsidR="00045C99" w:rsidRPr="00F00705">
        <w:rPr>
          <w:rFonts w:hAnsi="標楷體" w:hint="eastAsia"/>
        </w:rPr>
        <w:t>。</w:t>
      </w:r>
    </w:p>
    <w:p w:rsidR="00E45DC4" w:rsidRPr="00F00705" w:rsidRDefault="00E45DC4" w:rsidP="00A43AD4">
      <w:pPr>
        <w:pStyle w:val="4"/>
      </w:pPr>
      <w:r w:rsidRPr="00F00705">
        <w:rPr>
          <w:rFonts w:hAnsi="標楷體" w:hint="eastAsia"/>
        </w:rPr>
        <w:t>臺北地院承審法官</w:t>
      </w:r>
      <w:r w:rsidR="00290CD2" w:rsidRPr="00F00705">
        <w:rPr>
          <w:rFonts w:hAnsi="標楷體" w:hint="eastAsia"/>
        </w:rPr>
        <w:t>前審理案件時，</w:t>
      </w:r>
      <w:r w:rsidR="00A7577B" w:rsidRPr="00F00705">
        <w:rPr>
          <w:rFonts w:hAnsi="標楷體" w:hint="eastAsia"/>
        </w:rPr>
        <w:t>即認</w:t>
      </w:r>
      <w:r w:rsidR="00290CD2" w:rsidRPr="00F00705">
        <w:rPr>
          <w:rFonts w:hAnsi="標楷體" w:hint="eastAsia"/>
        </w:rPr>
        <w:t>率</w:t>
      </w:r>
      <w:r w:rsidR="00A7577B" w:rsidRPr="00F00705">
        <w:rPr>
          <w:rFonts w:hAnsi="標楷體" w:hint="eastAsia"/>
        </w:rPr>
        <w:t>以「募發處理準則」作為主管機關已對TDR行使核定權之依據，有違憲之虞，而於1</w:t>
      </w:r>
      <w:r w:rsidR="00A7577B" w:rsidRPr="00F00705">
        <w:rPr>
          <w:rFonts w:hAnsi="標楷體"/>
        </w:rPr>
        <w:t>05</w:t>
      </w:r>
      <w:r w:rsidR="00A7577B" w:rsidRPr="00F00705">
        <w:rPr>
          <w:rFonts w:hAnsi="標楷體" w:hint="eastAsia"/>
        </w:rPr>
        <w:t>年間聲請大法官解釋在案。</w:t>
      </w:r>
    </w:p>
    <w:p w:rsidR="001E2BDB" w:rsidRPr="00F00705" w:rsidRDefault="00C54536" w:rsidP="003F6F3A">
      <w:pPr>
        <w:pStyle w:val="3"/>
        <w:rPr>
          <w:rFonts w:hAnsi="標楷體"/>
        </w:rPr>
      </w:pPr>
      <w:r w:rsidRPr="00F00705">
        <w:rPr>
          <w:rFonts w:hAnsi="標楷體" w:hint="eastAsia"/>
        </w:rPr>
        <w:t>綜上論述，</w:t>
      </w:r>
      <w:r w:rsidR="00045C99" w:rsidRPr="00F00705">
        <w:rPr>
          <w:rFonts w:hAnsi="標楷體" w:hint="eastAsia"/>
          <w:bCs w:val="0"/>
          <w:lang w:val="ja-JP"/>
        </w:rPr>
        <w:t>金管會另稱</w:t>
      </w:r>
      <w:r w:rsidR="00790634" w:rsidRPr="00F00705">
        <w:rPr>
          <w:rFonts w:hint="eastAsia"/>
        </w:rPr>
        <w:t>「募發處理準則」</w:t>
      </w:r>
      <w:r w:rsidR="00045C99" w:rsidRPr="00F00705">
        <w:rPr>
          <w:rFonts w:hAnsi="標楷體" w:hint="eastAsia"/>
          <w:bCs w:val="0"/>
          <w:lang w:val="ja-JP"/>
        </w:rPr>
        <w:t>亦可作為TDR業經主管機關行使核定權之依據。惟查，該準則之授權依據係</w:t>
      </w:r>
      <w:r w:rsidR="00045C99" w:rsidRPr="00F00705">
        <w:rPr>
          <w:rFonts w:hAnsi="標楷體" w:hint="eastAsia"/>
          <w:bCs w:val="0"/>
        </w:rPr>
        <w:t>原證交法22條第1項，旨在規範「募集與發行」，而同法第6條第1項係規範「有價證券之種類」，第22條第1項與第6條第1項之規範目的顯不相同，且</w:t>
      </w:r>
      <w:r w:rsidR="00790634" w:rsidRPr="00F00705">
        <w:rPr>
          <w:rFonts w:hint="eastAsia"/>
        </w:rPr>
        <w:t>「募發處理準則」</w:t>
      </w:r>
      <w:r w:rsidR="00045C99" w:rsidRPr="00F00705">
        <w:rPr>
          <w:rFonts w:hAnsi="標楷體" w:hint="eastAsia"/>
          <w:bCs w:val="0"/>
        </w:rPr>
        <w:t>第3條第7款僅係就TDR為定</w:t>
      </w:r>
      <w:r w:rsidR="00045C99" w:rsidRPr="00F00705">
        <w:rPr>
          <w:rFonts w:hAnsi="標楷體" w:hint="eastAsia"/>
          <w:bCs w:val="0"/>
        </w:rPr>
        <w:lastRenderedPageBreak/>
        <w:t>義性規定，金管會</w:t>
      </w:r>
      <w:r w:rsidR="008D7289" w:rsidRPr="00F00705">
        <w:rPr>
          <w:rFonts w:hAnsi="標楷體" w:hint="eastAsia"/>
          <w:bCs w:val="0"/>
        </w:rPr>
        <w:t>率</w:t>
      </w:r>
      <w:r w:rsidR="00045C99" w:rsidRPr="00F00705">
        <w:rPr>
          <w:rFonts w:hAnsi="標楷體" w:hint="eastAsia"/>
          <w:bCs w:val="0"/>
        </w:rPr>
        <w:t>以該準則作為主管機關已就TDR行使核定權之依據，亦有逾越法律授權範圍之</w:t>
      </w:r>
      <w:r w:rsidR="001D1099" w:rsidRPr="00F00705">
        <w:rPr>
          <w:rFonts w:hAnsi="標楷體" w:hint="eastAsia"/>
          <w:bCs w:val="0"/>
        </w:rPr>
        <w:t>違憲疑慮</w:t>
      </w:r>
      <w:r w:rsidR="00045C99" w:rsidRPr="00F00705">
        <w:rPr>
          <w:rFonts w:hAnsi="標楷體" w:hint="eastAsia"/>
          <w:bCs w:val="0"/>
        </w:rPr>
        <w:t>，應請該會確實檢討改善，以杜絕爭端</w:t>
      </w:r>
      <w:r w:rsidR="00045C99" w:rsidRPr="00F00705">
        <w:rPr>
          <w:rFonts w:hAnsi="標楷體" w:hint="eastAsia"/>
        </w:rPr>
        <w:t>。</w:t>
      </w:r>
      <w:r w:rsidRPr="00F00705">
        <w:rPr>
          <w:rFonts w:hAnsi="標楷體"/>
        </w:rPr>
        <w:t xml:space="preserve"> </w:t>
      </w:r>
    </w:p>
    <w:p w:rsidR="00E25849" w:rsidRPr="00F00705" w:rsidRDefault="00E25849" w:rsidP="004E05A1">
      <w:pPr>
        <w:pStyle w:val="1"/>
        <w:ind w:left="2380" w:hanging="2380"/>
      </w:pPr>
      <w:bookmarkStart w:id="61" w:name="_Toc524895648"/>
      <w:bookmarkStart w:id="62" w:name="_Toc524896194"/>
      <w:bookmarkStart w:id="63" w:name="_Toc524896224"/>
      <w:bookmarkStart w:id="64" w:name="_Toc524902734"/>
      <w:bookmarkStart w:id="65" w:name="_Toc525066148"/>
      <w:bookmarkStart w:id="66" w:name="_Toc525070839"/>
      <w:bookmarkStart w:id="67" w:name="_Toc525938379"/>
      <w:bookmarkStart w:id="68" w:name="_Toc525939227"/>
      <w:bookmarkStart w:id="69" w:name="_Toc525939732"/>
      <w:bookmarkStart w:id="70" w:name="_Toc529218272"/>
      <w:bookmarkStart w:id="71" w:name="_Toc529222689"/>
      <w:bookmarkStart w:id="72" w:name="_Toc529223111"/>
      <w:bookmarkStart w:id="73" w:name="_Toc529223862"/>
      <w:bookmarkStart w:id="74" w:name="_Toc529228265"/>
      <w:bookmarkStart w:id="75" w:name="_Toc2400395"/>
      <w:bookmarkStart w:id="76" w:name="_Toc4316189"/>
      <w:bookmarkStart w:id="77" w:name="_Toc4473330"/>
      <w:bookmarkStart w:id="78" w:name="_Toc69556897"/>
      <w:bookmarkStart w:id="79" w:name="_Toc69556946"/>
      <w:bookmarkStart w:id="80" w:name="_Toc69609820"/>
      <w:bookmarkStart w:id="81" w:name="_Toc70241816"/>
      <w:bookmarkStart w:id="82" w:name="_Toc70242205"/>
      <w:bookmarkStart w:id="83" w:name="_Toc421794875"/>
      <w:bookmarkStart w:id="84" w:name="_Toc422834160"/>
      <w:bookmarkEnd w:id="60"/>
      <w:r w:rsidRPr="00F00705">
        <w:rPr>
          <w:rFonts w:hint="eastAsia"/>
        </w:rPr>
        <w:t>處理辦法：</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rsidR="00E25849" w:rsidRPr="00F00705" w:rsidRDefault="00BD2D5B">
      <w:pPr>
        <w:pStyle w:val="2"/>
      </w:pPr>
      <w:bookmarkStart w:id="85" w:name="_Toc524895649"/>
      <w:bookmarkStart w:id="86" w:name="_Toc524896195"/>
      <w:bookmarkStart w:id="87" w:name="_Toc524896225"/>
      <w:bookmarkStart w:id="88" w:name="_Toc2400396"/>
      <w:bookmarkStart w:id="89" w:name="_Toc4316190"/>
      <w:bookmarkStart w:id="90" w:name="_Toc4473331"/>
      <w:bookmarkStart w:id="91" w:name="_Toc69556898"/>
      <w:bookmarkStart w:id="92" w:name="_Toc69556947"/>
      <w:bookmarkStart w:id="93" w:name="_Toc69609821"/>
      <w:bookmarkStart w:id="94" w:name="_Toc70241817"/>
      <w:bookmarkStart w:id="95" w:name="_Toc70242206"/>
      <w:bookmarkStart w:id="96" w:name="_Toc421794877"/>
      <w:bookmarkStart w:id="97" w:name="_Toc421795443"/>
      <w:bookmarkStart w:id="98" w:name="_Toc421796024"/>
      <w:bookmarkStart w:id="99" w:name="_Toc422728959"/>
      <w:bookmarkStart w:id="100" w:name="_Toc422834162"/>
      <w:bookmarkStart w:id="101" w:name="_Toc524902735"/>
      <w:bookmarkStart w:id="102" w:name="_Toc525066149"/>
      <w:bookmarkStart w:id="103" w:name="_Toc525070840"/>
      <w:bookmarkStart w:id="104" w:name="_Toc525938380"/>
      <w:bookmarkStart w:id="105" w:name="_Toc525939228"/>
      <w:bookmarkStart w:id="106" w:name="_Toc525939733"/>
      <w:bookmarkStart w:id="107" w:name="_Toc529218273"/>
      <w:bookmarkStart w:id="108" w:name="_Toc529222690"/>
      <w:bookmarkStart w:id="109" w:name="_Toc529223112"/>
      <w:bookmarkStart w:id="110" w:name="_Toc529223863"/>
      <w:bookmarkStart w:id="111" w:name="_Toc529228266"/>
      <w:bookmarkEnd w:id="85"/>
      <w:bookmarkEnd w:id="86"/>
      <w:bookmarkEnd w:id="87"/>
      <w:r w:rsidRPr="00F00705">
        <w:rPr>
          <w:rFonts w:hint="eastAsia"/>
        </w:rPr>
        <w:t>調查意見</w:t>
      </w:r>
      <w:r w:rsidR="00E25849" w:rsidRPr="00F00705">
        <w:rPr>
          <w:rFonts w:hint="eastAsia"/>
        </w:rPr>
        <w:t>，函請</w:t>
      </w:r>
      <w:r w:rsidRPr="00F00705">
        <w:rPr>
          <w:rFonts w:hint="eastAsia"/>
        </w:rPr>
        <w:t>金融監督管理委員會</w:t>
      </w:r>
      <w:r w:rsidR="004C00F1" w:rsidRPr="00F00705">
        <w:rPr>
          <w:rFonts w:hint="eastAsia"/>
        </w:rPr>
        <w:t>研處</w:t>
      </w:r>
      <w:r w:rsidR="00E25849" w:rsidRPr="00F00705">
        <w:rPr>
          <w:rFonts w:hint="eastAsia"/>
        </w:rPr>
        <w:t>見復。</w:t>
      </w:r>
      <w:bookmarkEnd w:id="88"/>
      <w:bookmarkEnd w:id="89"/>
      <w:bookmarkEnd w:id="90"/>
      <w:bookmarkEnd w:id="91"/>
      <w:bookmarkEnd w:id="92"/>
      <w:bookmarkEnd w:id="93"/>
      <w:bookmarkEnd w:id="94"/>
      <w:bookmarkEnd w:id="95"/>
      <w:bookmarkEnd w:id="96"/>
      <w:bookmarkEnd w:id="97"/>
      <w:bookmarkEnd w:id="98"/>
      <w:bookmarkEnd w:id="99"/>
      <w:bookmarkEnd w:id="100"/>
    </w:p>
    <w:p w:rsidR="00560DDA" w:rsidRPr="00F00705" w:rsidRDefault="00BD2D5B" w:rsidP="00560DDA">
      <w:pPr>
        <w:pStyle w:val="2"/>
      </w:pPr>
      <w:bookmarkStart w:id="112" w:name="_Toc70241819"/>
      <w:bookmarkStart w:id="113" w:name="_Toc70242208"/>
      <w:bookmarkStart w:id="114" w:name="_Toc421794878"/>
      <w:bookmarkStart w:id="115" w:name="_Toc421795444"/>
      <w:bookmarkStart w:id="116" w:name="_Toc421796025"/>
      <w:bookmarkStart w:id="117" w:name="_Toc422728960"/>
      <w:bookmarkStart w:id="118" w:name="_Toc422834163"/>
      <w:bookmarkStart w:id="119" w:name="_Toc70241818"/>
      <w:bookmarkStart w:id="120" w:name="_Toc70242207"/>
      <w:r w:rsidRPr="00F00705">
        <w:rPr>
          <w:rFonts w:hint="eastAsia"/>
        </w:rPr>
        <w:t>調查意見，</w:t>
      </w:r>
      <w:r w:rsidR="00560DDA" w:rsidRPr="00F00705">
        <w:rPr>
          <w:rFonts w:hint="eastAsia"/>
        </w:rPr>
        <w:t>函復陳訴人。</w:t>
      </w:r>
      <w:bookmarkEnd w:id="112"/>
      <w:bookmarkEnd w:id="113"/>
      <w:bookmarkEnd w:id="114"/>
      <w:bookmarkEnd w:id="115"/>
      <w:bookmarkEnd w:id="116"/>
      <w:bookmarkEnd w:id="117"/>
      <w:bookmarkEnd w:id="118"/>
    </w:p>
    <w:p w:rsidR="00E25849" w:rsidRPr="00F00705" w:rsidRDefault="00BD2D5B">
      <w:pPr>
        <w:pStyle w:val="2"/>
      </w:pPr>
      <w:bookmarkStart w:id="121" w:name="_Toc2400397"/>
      <w:bookmarkStart w:id="122" w:name="_Toc4316191"/>
      <w:bookmarkStart w:id="123" w:name="_Toc4473332"/>
      <w:bookmarkStart w:id="124" w:name="_Toc69556901"/>
      <w:bookmarkStart w:id="125" w:name="_Toc69556950"/>
      <w:bookmarkStart w:id="126" w:name="_Toc69609824"/>
      <w:bookmarkStart w:id="127" w:name="_Toc70241822"/>
      <w:bookmarkStart w:id="128" w:name="_Toc70242211"/>
      <w:bookmarkStart w:id="129" w:name="_Toc421794881"/>
      <w:bookmarkStart w:id="130" w:name="_Toc421795447"/>
      <w:bookmarkStart w:id="131" w:name="_Toc421796028"/>
      <w:bookmarkStart w:id="132" w:name="_Toc422728963"/>
      <w:bookmarkStart w:id="133" w:name="_Toc422834166"/>
      <w:bookmarkEnd w:id="101"/>
      <w:bookmarkEnd w:id="102"/>
      <w:bookmarkEnd w:id="103"/>
      <w:bookmarkEnd w:id="104"/>
      <w:bookmarkEnd w:id="105"/>
      <w:bookmarkEnd w:id="106"/>
      <w:bookmarkEnd w:id="107"/>
      <w:bookmarkEnd w:id="108"/>
      <w:bookmarkEnd w:id="109"/>
      <w:bookmarkEnd w:id="110"/>
      <w:bookmarkEnd w:id="111"/>
      <w:bookmarkEnd w:id="119"/>
      <w:bookmarkEnd w:id="120"/>
      <w:r w:rsidRPr="00F00705">
        <w:rPr>
          <w:rFonts w:hint="eastAsia"/>
        </w:rPr>
        <w:t>檢附派查函及相關附件，送請</w:t>
      </w:r>
      <w:r w:rsidR="00D163E0" w:rsidRPr="00F00705">
        <w:rPr>
          <w:rFonts w:hint="eastAsia"/>
        </w:rPr>
        <w:t>司法及獄政委員會</w:t>
      </w:r>
      <w:r w:rsidR="00D163E0" w:rsidRPr="00F00705">
        <w:rPr>
          <w:rFonts w:ascii="新細明體" w:eastAsia="新細明體" w:hAnsi="新細明體" w:hint="eastAsia"/>
        </w:rPr>
        <w:t>、</w:t>
      </w:r>
      <w:r w:rsidRPr="00F00705">
        <w:rPr>
          <w:rFonts w:hint="eastAsia"/>
        </w:rPr>
        <w:t>財政及經濟</w:t>
      </w:r>
      <w:r w:rsidR="00E25849" w:rsidRPr="00F00705">
        <w:rPr>
          <w:rFonts w:hint="eastAsia"/>
        </w:rPr>
        <w:t>委員會</w:t>
      </w:r>
      <w:r w:rsidR="00D163E0" w:rsidRPr="00F00705">
        <w:rPr>
          <w:rFonts w:hint="eastAsia"/>
        </w:rPr>
        <w:t>聯席會</w:t>
      </w:r>
      <w:r w:rsidR="00E25849" w:rsidRPr="00F00705">
        <w:rPr>
          <w:rFonts w:hint="eastAsia"/>
        </w:rPr>
        <w:t>處理。</w:t>
      </w:r>
      <w:bookmarkEnd w:id="121"/>
      <w:bookmarkEnd w:id="122"/>
      <w:bookmarkEnd w:id="123"/>
      <w:bookmarkEnd w:id="124"/>
      <w:bookmarkEnd w:id="125"/>
      <w:bookmarkEnd w:id="126"/>
      <w:bookmarkEnd w:id="127"/>
      <w:bookmarkEnd w:id="128"/>
      <w:bookmarkEnd w:id="129"/>
      <w:bookmarkEnd w:id="130"/>
      <w:bookmarkEnd w:id="131"/>
      <w:bookmarkEnd w:id="132"/>
      <w:bookmarkEnd w:id="133"/>
    </w:p>
    <w:p w:rsidR="00770453" w:rsidRPr="00F00705" w:rsidRDefault="00770453" w:rsidP="00770453">
      <w:pPr>
        <w:pStyle w:val="aa"/>
        <w:spacing w:beforeLines="50" w:before="228" w:afterLines="100" w:after="457"/>
        <w:ind w:leftChars="1100" w:left="3742"/>
        <w:rPr>
          <w:b w:val="0"/>
          <w:bCs/>
          <w:snapToGrid/>
          <w:spacing w:val="12"/>
          <w:kern w:val="0"/>
          <w:sz w:val="40"/>
        </w:rPr>
      </w:pPr>
    </w:p>
    <w:p w:rsidR="00E25849" w:rsidRPr="00F00705" w:rsidRDefault="00E25849" w:rsidP="00770453">
      <w:pPr>
        <w:pStyle w:val="aa"/>
        <w:spacing w:beforeLines="50" w:before="228" w:afterLines="100" w:after="457"/>
        <w:ind w:leftChars="1100" w:left="3742"/>
        <w:rPr>
          <w:b w:val="0"/>
          <w:bCs/>
          <w:snapToGrid/>
          <w:spacing w:val="12"/>
          <w:kern w:val="0"/>
          <w:sz w:val="40"/>
        </w:rPr>
      </w:pPr>
      <w:r w:rsidRPr="00F00705">
        <w:rPr>
          <w:rFonts w:hint="eastAsia"/>
          <w:b w:val="0"/>
          <w:bCs/>
          <w:snapToGrid/>
          <w:spacing w:val="12"/>
          <w:kern w:val="0"/>
          <w:sz w:val="40"/>
        </w:rPr>
        <w:t>調查委員：</w:t>
      </w:r>
      <w:r w:rsidR="00FD172D" w:rsidRPr="00F00705">
        <w:rPr>
          <w:rFonts w:hint="eastAsia"/>
          <w:b w:val="0"/>
          <w:bCs/>
          <w:snapToGrid/>
          <w:spacing w:val="12"/>
          <w:kern w:val="0"/>
          <w:sz w:val="40"/>
        </w:rPr>
        <w:t>蔡崇義</w:t>
      </w:r>
    </w:p>
    <w:p w:rsidR="00770453" w:rsidRPr="00F00705" w:rsidRDefault="00770453" w:rsidP="00770453">
      <w:pPr>
        <w:pStyle w:val="aa"/>
        <w:spacing w:before="0" w:after="0"/>
        <w:ind w:leftChars="1100" w:left="3742"/>
        <w:rPr>
          <w:rFonts w:ascii="Times New Roman"/>
          <w:b w:val="0"/>
          <w:bCs/>
          <w:snapToGrid/>
          <w:spacing w:val="0"/>
          <w:kern w:val="0"/>
          <w:sz w:val="40"/>
        </w:rPr>
      </w:pPr>
    </w:p>
    <w:p w:rsidR="00BD2D5B" w:rsidRPr="00F00705" w:rsidRDefault="00BD2D5B" w:rsidP="00770453">
      <w:pPr>
        <w:pStyle w:val="aa"/>
        <w:spacing w:before="0" w:after="0"/>
        <w:ind w:leftChars="1100" w:left="3742"/>
        <w:rPr>
          <w:rFonts w:ascii="Times New Roman"/>
          <w:b w:val="0"/>
          <w:bCs/>
          <w:snapToGrid/>
          <w:spacing w:val="0"/>
          <w:kern w:val="0"/>
          <w:sz w:val="40"/>
        </w:rPr>
      </w:pPr>
    </w:p>
    <w:p w:rsidR="00E25849" w:rsidRPr="00F00705" w:rsidRDefault="00E25849">
      <w:pPr>
        <w:pStyle w:val="af"/>
        <w:rPr>
          <w:rFonts w:hAnsi="標楷體"/>
          <w:bCs/>
        </w:rPr>
      </w:pPr>
      <w:r w:rsidRPr="00F00705">
        <w:rPr>
          <w:rFonts w:hAnsi="標楷體" w:hint="eastAsia"/>
          <w:bCs/>
        </w:rPr>
        <w:t>中</w:t>
      </w:r>
      <w:r w:rsidR="00B5484D" w:rsidRPr="00F00705">
        <w:rPr>
          <w:rFonts w:hAnsi="標楷體" w:hint="eastAsia"/>
          <w:bCs/>
        </w:rPr>
        <w:t xml:space="preserve">  </w:t>
      </w:r>
      <w:r w:rsidRPr="00F00705">
        <w:rPr>
          <w:rFonts w:hAnsi="標楷體" w:hint="eastAsia"/>
          <w:bCs/>
        </w:rPr>
        <w:t>華</w:t>
      </w:r>
      <w:r w:rsidR="00B5484D" w:rsidRPr="00F00705">
        <w:rPr>
          <w:rFonts w:hAnsi="標楷體" w:hint="eastAsia"/>
          <w:bCs/>
        </w:rPr>
        <w:t xml:space="preserve">  </w:t>
      </w:r>
      <w:r w:rsidRPr="00F00705">
        <w:rPr>
          <w:rFonts w:hAnsi="標楷體" w:hint="eastAsia"/>
          <w:bCs/>
        </w:rPr>
        <w:t>民</w:t>
      </w:r>
      <w:r w:rsidR="00B5484D" w:rsidRPr="00F00705">
        <w:rPr>
          <w:rFonts w:hAnsi="標楷體" w:hint="eastAsia"/>
          <w:bCs/>
        </w:rPr>
        <w:t xml:space="preserve">  </w:t>
      </w:r>
      <w:r w:rsidRPr="00F00705">
        <w:rPr>
          <w:rFonts w:hAnsi="標楷體" w:hint="eastAsia"/>
          <w:bCs/>
        </w:rPr>
        <w:t xml:space="preserve">國　</w:t>
      </w:r>
      <w:r w:rsidR="001E74C2" w:rsidRPr="00F00705">
        <w:rPr>
          <w:rFonts w:hAnsi="標楷體" w:hint="eastAsia"/>
          <w:bCs/>
        </w:rPr>
        <w:t>10</w:t>
      </w:r>
      <w:r w:rsidR="00BD2D5B" w:rsidRPr="00F00705">
        <w:rPr>
          <w:rFonts w:hAnsi="標楷體" w:hint="eastAsia"/>
          <w:bCs/>
        </w:rPr>
        <w:t>9</w:t>
      </w:r>
      <w:r w:rsidRPr="00F00705">
        <w:rPr>
          <w:rFonts w:hAnsi="標楷體" w:hint="eastAsia"/>
          <w:bCs/>
        </w:rPr>
        <w:t xml:space="preserve">　年　</w:t>
      </w:r>
      <w:r w:rsidR="00F74925" w:rsidRPr="00F00705">
        <w:rPr>
          <w:rFonts w:hAnsi="標楷體" w:hint="eastAsia"/>
          <w:bCs/>
        </w:rPr>
        <w:t>7</w:t>
      </w:r>
      <w:r w:rsidR="00A07B4B" w:rsidRPr="00F00705">
        <w:rPr>
          <w:rFonts w:hAnsi="標楷體" w:hint="eastAsia"/>
          <w:bCs/>
        </w:rPr>
        <w:t xml:space="preserve"> </w:t>
      </w:r>
      <w:r w:rsidRPr="00F00705">
        <w:rPr>
          <w:rFonts w:hAnsi="標楷體" w:hint="eastAsia"/>
          <w:bCs/>
        </w:rPr>
        <w:t xml:space="preserve">　月　</w:t>
      </w:r>
      <w:r w:rsidR="00FD172D" w:rsidRPr="00F00705">
        <w:rPr>
          <w:rFonts w:hAnsi="標楷體" w:hint="eastAsia"/>
          <w:bCs/>
        </w:rPr>
        <w:t>29</w:t>
      </w:r>
      <w:r w:rsidRPr="00F00705">
        <w:rPr>
          <w:rFonts w:hAnsi="標楷體" w:hint="eastAsia"/>
          <w:bCs/>
        </w:rPr>
        <w:t xml:space="preserve">　　日</w:t>
      </w:r>
    </w:p>
    <w:bookmarkEnd w:id="0"/>
    <w:p w:rsidR="00B77D18" w:rsidRPr="00F00705" w:rsidRDefault="00B77D18" w:rsidP="00BD2D5B">
      <w:pPr>
        <w:widowControl/>
        <w:overflowPunct/>
        <w:autoSpaceDE/>
        <w:autoSpaceDN/>
        <w:jc w:val="left"/>
        <w:rPr>
          <w:bCs/>
          <w:kern w:val="0"/>
        </w:rPr>
      </w:pPr>
    </w:p>
    <w:sectPr w:rsidR="00B77D18" w:rsidRPr="00F00705"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7A1" w:rsidRDefault="004F57A1">
      <w:r>
        <w:separator/>
      </w:r>
    </w:p>
  </w:endnote>
  <w:endnote w:type="continuationSeparator" w:id="0">
    <w:p w:rsidR="004F57A1" w:rsidRDefault="004F57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960" w:rsidRDefault="0013596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F00705">
      <w:rPr>
        <w:rStyle w:val="ac"/>
        <w:noProof/>
        <w:sz w:val="24"/>
      </w:rPr>
      <w:t>1</w:t>
    </w:r>
    <w:r>
      <w:rPr>
        <w:rStyle w:val="ac"/>
        <w:sz w:val="24"/>
      </w:rPr>
      <w:fldChar w:fldCharType="end"/>
    </w:r>
  </w:p>
  <w:p w:rsidR="00135960" w:rsidRDefault="0013596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7A1" w:rsidRDefault="004F57A1">
      <w:r>
        <w:separator/>
      </w:r>
    </w:p>
  </w:footnote>
  <w:footnote w:type="continuationSeparator" w:id="0">
    <w:p w:rsidR="004F57A1" w:rsidRDefault="004F57A1">
      <w:r>
        <w:continuationSeparator/>
      </w:r>
    </w:p>
  </w:footnote>
  <w:footnote w:id="1">
    <w:p w:rsidR="00D108F7" w:rsidRPr="00D108F7" w:rsidRDefault="00D108F7">
      <w:pPr>
        <w:pStyle w:val="afd"/>
      </w:pPr>
      <w:r>
        <w:rPr>
          <w:rStyle w:val="aff"/>
        </w:rPr>
        <w:footnoteRef/>
      </w:r>
      <w:r>
        <w:t xml:space="preserve"> </w:t>
      </w:r>
      <w:r>
        <w:rPr>
          <w:rFonts w:hint="eastAsia"/>
        </w:rPr>
        <w:t>參見</w:t>
      </w:r>
      <w:r w:rsidRPr="00D108F7">
        <w:rPr>
          <w:rFonts w:hint="eastAsia"/>
        </w:rPr>
        <w:t>臺灣高等法院103年度金上重訴字第16號刑事確定判決</w:t>
      </w:r>
      <w:r>
        <w:rPr>
          <w:rFonts w:hAnsi="標楷體" w:hint="eastAsia"/>
        </w:rPr>
        <w:t>、</w:t>
      </w:r>
      <w:r w:rsidRPr="00D108F7">
        <w:rPr>
          <w:rFonts w:hint="eastAsia"/>
        </w:rPr>
        <w:t>1</w:t>
      </w:r>
      <w:r w:rsidRPr="00D108F7">
        <w:t>05</w:t>
      </w:r>
      <w:r w:rsidRPr="00D108F7">
        <w:rPr>
          <w:rFonts w:hint="eastAsia"/>
        </w:rPr>
        <w:t>年度金上重訴字第2</w:t>
      </w:r>
      <w:r w:rsidRPr="00D108F7">
        <w:t>7</w:t>
      </w:r>
      <w:r w:rsidRPr="00D108F7">
        <w:rPr>
          <w:rFonts w:hint="eastAsia"/>
        </w:rPr>
        <w:t>號刑事確定判決</w:t>
      </w:r>
      <w:r>
        <w:rPr>
          <w:rFonts w:hAnsi="標楷體" w:hint="eastAsia"/>
        </w:rPr>
        <w:t>。</w:t>
      </w:r>
    </w:p>
  </w:footnote>
  <w:footnote w:id="2">
    <w:p w:rsidR="00B05BE8" w:rsidRPr="00FD172D" w:rsidRDefault="00B05BE8">
      <w:pPr>
        <w:pStyle w:val="afd"/>
        <w:rPr>
          <w:color w:val="000000" w:themeColor="text1"/>
        </w:rPr>
      </w:pPr>
      <w:r w:rsidRPr="00FD172D">
        <w:rPr>
          <w:rStyle w:val="aff"/>
          <w:color w:val="000000" w:themeColor="text1"/>
        </w:rPr>
        <w:footnoteRef/>
      </w:r>
      <w:r w:rsidRPr="00FD172D">
        <w:rPr>
          <w:color w:val="000000" w:themeColor="text1"/>
        </w:rPr>
        <w:t xml:space="preserve"> </w:t>
      </w:r>
      <w:r w:rsidRPr="00FD172D">
        <w:rPr>
          <w:rFonts w:hint="eastAsia"/>
          <w:color w:val="000000" w:themeColor="text1"/>
        </w:rPr>
        <w:t>本院第5屆委員林雅鋒、陳慶財、劉德勳調查「據訴，臺灣高等法院審理103年度金上重訴字第16號渠被訴違反證券交易法案件，疑判決違背法令等情」</w:t>
      </w:r>
      <w:r w:rsidRPr="00FD172D">
        <w:rPr>
          <w:rFonts w:ascii="SimSun" w:eastAsia="SimSun" w:hAnsi="SimSun" w:hint="eastAsia"/>
          <w:color w:val="000000" w:themeColor="text1"/>
        </w:rPr>
        <w:t>(</w:t>
      </w:r>
      <w:r w:rsidRPr="00FD172D">
        <w:rPr>
          <w:rFonts w:hint="eastAsia"/>
          <w:color w:val="000000" w:themeColor="text1"/>
        </w:rPr>
        <w:t>本院105年02月22日院台調壹字第1050800036號函及105年4月20日院台調壹字第1050830747號函派查</w:t>
      </w:r>
      <w:r w:rsidRPr="00FD172D">
        <w:rPr>
          <w:rFonts w:hAnsi="標楷體" w:hint="eastAsia"/>
          <w:color w:val="000000" w:themeColor="text1"/>
        </w:rPr>
        <w:t>）</w:t>
      </w:r>
      <w:r w:rsidRPr="00FD172D">
        <w:rPr>
          <w:rFonts w:hint="eastAsia"/>
          <w:color w:val="000000" w:themeColor="text1"/>
        </w:rPr>
        <w:t>。</w:t>
      </w:r>
    </w:p>
  </w:footnote>
  <w:footnote w:id="3">
    <w:p w:rsidR="00135960" w:rsidRPr="003E2822" w:rsidRDefault="00135960" w:rsidP="003E2822">
      <w:pPr>
        <w:pStyle w:val="afd"/>
        <w:jc w:val="both"/>
        <w:rPr>
          <w:rFonts w:hAnsi="標楷體"/>
        </w:rPr>
      </w:pPr>
      <w:r w:rsidRPr="009D59A8">
        <w:rPr>
          <w:rStyle w:val="aff"/>
          <w:rFonts w:hAnsi="標楷體"/>
        </w:rPr>
        <w:footnoteRef/>
      </w:r>
      <w:r w:rsidRPr="009D59A8">
        <w:rPr>
          <w:rFonts w:hAnsi="標楷體"/>
        </w:rPr>
        <w:t xml:space="preserve"> </w:t>
      </w:r>
      <w:r w:rsidRPr="009D59A8">
        <w:rPr>
          <w:rFonts w:hAnsi="標楷體" w:hint="eastAsia"/>
        </w:rPr>
        <w:t>證交法第20條第1</w:t>
      </w:r>
      <w:r>
        <w:rPr>
          <w:rFonts w:ascii="新細明體" w:eastAsia="新細明體" w:hAnsi="新細明體" w:hint="eastAsia"/>
        </w:rPr>
        <w:t>、</w:t>
      </w:r>
      <w:r>
        <w:rPr>
          <w:rFonts w:hAnsi="標楷體"/>
        </w:rPr>
        <w:t>2</w:t>
      </w:r>
      <w:r w:rsidRPr="009D59A8">
        <w:rPr>
          <w:rFonts w:hAnsi="標楷體" w:hint="eastAsia"/>
        </w:rPr>
        <w:t>項規定：「有價證券之募集、發行、私募或買賣，不得有虛偽、詐欺或其他足致他人誤信之行為。」</w:t>
      </w:r>
      <w:r>
        <w:rPr>
          <w:rFonts w:hAnsi="標楷體" w:hint="eastAsia"/>
        </w:rPr>
        <w:t>「</w:t>
      </w:r>
      <w:r w:rsidRPr="00C765F6">
        <w:rPr>
          <w:rFonts w:hAnsi="標楷體" w:hint="eastAsia"/>
        </w:rPr>
        <w:t>發行人依本法規定申報或公告之財務報告及財務業務文件，其內容不得有虛偽或隱匿之情事。</w:t>
      </w:r>
      <w:r>
        <w:rPr>
          <w:rFonts w:hAnsi="標楷體" w:hint="eastAsia"/>
        </w:rPr>
        <w:t>」</w:t>
      </w:r>
      <w:r w:rsidRPr="009D59A8">
        <w:rPr>
          <w:rFonts w:hAnsi="標楷體" w:hint="eastAsia"/>
        </w:rPr>
        <w:t>第155條第1項規定：「對於在證券交易所上市之有價證券，不得有下列各款之行為：一、在集中交易市場委託買賣或申報買賣，業經成交而不履行交割，足以影響市場秩序。二、（刪）。三、意圖抬高或壓低集中交易市場某種有價證券之交易價格，與他人通謀，以約定價格於自己出售，或購買有價證券時，使約定人同時為購買或出售之相對行為。四、意圖抬高或壓低集中交易市場某種有價證券之交易價格，自行或以他人名義，對該有價證券，連續以高價買入或以低價賣出，而有影響市場價格或市場秩序之虞。五、意圖造成集中交易市場某種有價證券交易活絡之表象，自行或以他人名義，連續委託買賣或申報買賣而相對成交。六、意圖影響集中交易市場有價證券交易價格，而散布流言或不實資料。七、直接或間接從事其他影響集中交易市場有價證券交易價格之操縱行為。</w:t>
      </w:r>
      <w:r>
        <w:rPr>
          <w:rFonts w:hAnsi="標楷體" w:hint="eastAsia"/>
        </w:rPr>
        <w:t>」第157條之1第1項規定</w:t>
      </w:r>
      <w:r>
        <w:rPr>
          <w:rFonts w:ascii="新細明體" w:eastAsia="新細明體" w:hAnsi="新細明體" w:hint="eastAsia"/>
        </w:rPr>
        <w:t>：</w:t>
      </w:r>
      <w:r>
        <w:rPr>
          <w:rFonts w:hAnsi="標楷體" w:hint="eastAsia"/>
        </w:rPr>
        <w:t>「</w:t>
      </w:r>
      <w:r w:rsidRPr="00551A6F">
        <w:rPr>
          <w:rFonts w:hAnsi="標楷體" w:hint="eastAsia"/>
        </w:rPr>
        <w:t>下列各款之人，實際知悉發行股票公司有重大影響其股票價格之消息時，在該消息明確後，未公開前或公開後十八小時內，不得對該公司之上市或在證券商營業處所買賣之股票或其他具有股權性質之有價證券，自行或以他人名義買入或賣出：</w:t>
      </w:r>
      <w:r>
        <w:rPr>
          <w:rFonts w:hAnsi="標楷體" w:hint="eastAsia"/>
        </w:rPr>
        <w:t>……。」第171條第1項第1款規定</w:t>
      </w:r>
      <w:r>
        <w:rPr>
          <w:rFonts w:ascii="新細明體" w:eastAsia="新細明體" w:hAnsi="新細明體" w:hint="eastAsia"/>
        </w:rPr>
        <w:t>：</w:t>
      </w:r>
      <w:r>
        <w:rPr>
          <w:rFonts w:hAnsi="標楷體" w:hint="eastAsia"/>
        </w:rPr>
        <w:t>「</w:t>
      </w:r>
      <w:r w:rsidRPr="00551A6F">
        <w:rPr>
          <w:rFonts w:hAnsi="標楷體" w:hint="eastAsia"/>
        </w:rPr>
        <w:t>有下列情事之一者，處三年以上十年以下有期徒刑，得併科新臺幣一千萬元以上二億元以下罰金：</w:t>
      </w:r>
      <w:r>
        <w:rPr>
          <w:rFonts w:hAnsi="標楷體" w:hint="eastAsia"/>
        </w:rPr>
        <w:t>……」。</w:t>
      </w:r>
    </w:p>
  </w:footnote>
  <w:footnote w:id="4">
    <w:p w:rsidR="00135960" w:rsidRDefault="00135960">
      <w:pPr>
        <w:pStyle w:val="afd"/>
      </w:pPr>
      <w:r>
        <w:rPr>
          <w:rStyle w:val="aff"/>
        </w:rPr>
        <w:footnoteRef/>
      </w:r>
      <w:r>
        <w:t xml:space="preserve"> </w:t>
      </w:r>
      <w:r>
        <w:rPr>
          <w:rFonts w:hint="eastAsia"/>
        </w:rPr>
        <w:t>參見金管會109年1月17日金管證發字第1080</w:t>
      </w:r>
      <w:r>
        <w:t>138925</w:t>
      </w:r>
      <w:r>
        <w:rPr>
          <w:rFonts w:hint="eastAsia"/>
        </w:rPr>
        <w:t>號函</w:t>
      </w:r>
      <w:r>
        <w:rPr>
          <w:rFonts w:hAnsi="標楷體" w:hint="eastAsia"/>
        </w:rPr>
        <w:t>。</w:t>
      </w:r>
    </w:p>
  </w:footnote>
  <w:footnote w:id="5">
    <w:p w:rsidR="00135960" w:rsidRPr="00E876BA" w:rsidRDefault="00135960">
      <w:pPr>
        <w:pStyle w:val="afd"/>
        <w:rPr>
          <w:rFonts w:hAnsi="標楷體"/>
        </w:rPr>
      </w:pPr>
      <w:r w:rsidRPr="00E876BA">
        <w:rPr>
          <w:rStyle w:val="aff"/>
          <w:rFonts w:hAnsi="標楷體"/>
        </w:rPr>
        <w:footnoteRef/>
      </w:r>
      <w:r w:rsidRPr="00E876BA">
        <w:rPr>
          <w:rFonts w:hAnsi="標楷體"/>
        </w:rPr>
        <w:t xml:space="preserve"> </w:t>
      </w:r>
      <w:r w:rsidRPr="00E876BA">
        <w:rPr>
          <w:rFonts w:hAnsi="標楷體" w:hint="eastAsia"/>
        </w:rPr>
        <w:t>參見戴銘昇</w:t>
      </w:r>
      <w:r>
        <w:rPr>
          <w:rFonts w:hAnsi="標楷體" w:hint="eastAsia"/>
        </w:rPr>
        <w:t>教授</w:t>
      </w:r>
      <w:r w:rsidRPr="00E876BA">
        <w:rPr>
          <w:rFonts w:hAnsi="標楷體" w:hint="eastAsia"/>
        </w:rPr>
        <w:t>，「從日本法再探證交法上有價證券之範圍與認定</w:t>
      </w:r>
      <w:r w:rsidRPr="00E876BA">
        <w:rPr>
          <w:rFonts w:hAnsi="標楷體"/>
        </w:rPr>
        <w:t>—</w:t>
      </w:r>
      <w:r w:rsidRPr="00E876BA">
        <w:rPr>
          <w:rFonts w:hAnsi="標楷體" w:hint="eastAsia"/>
        </w:rPr>
        <w:t>附論臺灣存託憑證是否為證交法上有價證券？</w:t>
      </w:r>
      <w:r>
        <w:rPr>
          <w:rFonts w:hAnsi="標楷體" w:hint="eastAsia"/>
        </w:rPr>
        <w:t>」</w:t>
      </w:r>
      <w:r w:rsidRPr="00E876BA">
        <w:rPr>
          <w:rFonts w:hAnsi="標楷體" w:hint="eastAsia"/>
        </w:rPr>
        <w:t>，月旦法學雜誌第2</w:t>
      </w:r>
      <w:r w:rsidRPr="00E876BA">
        <w:rPr>
          <w:rFonts w:hAnsi="標楷體"/>
        </w:rPr>
        <w:t>84</w:t>
      </w:r>
      <w:r w:rsidRPr="00E876BA">
        <w:rPr>
          <w:rFonts w:hAnsi="標楷體" w:hint="eastAsia"/>
        </w:rPr>
        <w:t>期，</w:t>
      </w:r>
      <w:r w:rsidRPr="00E876BA">
        <w:rPr>
          <w:rFonts w:hAnsi="標楷體"/>
        </w:rPr>
        <w:t>2019</w:t>
      </w:r>
      <w:r w:rsidRPr="00E876BA">
        <w:rPr>
          <w:rFonts w:hAnsi="標楷體" w:hint="eastAsia"/>
        </w:rPr>
        <w:t>年1月</w:t>
      </w:r>
      <w:r>
        <w:rPr>
          <w:rFonts w:hAnsi="標楷體" w:hint="eastAsia"/>
        </w:rPr>
        <w:t>；</w:t>
      </w:r>
      <w:r w:rsidRPr="00D343A1">
        <w:rPr>
          <w:rFonts w:hAnsi="標楷體" w:hint="eastAsia"/>
        </w:rPr>
        <w:t>郭土木</w:t>
      </w:r>
      <w:r>
        <w:rPr>
          <w:rFonts w:hAnsi="標楷體" w:hint="eastAsia"/>
        </w:rPr>
        <w:t>教授</w:t>
      </w:r>
      <w:r w:rsidRPr="00D343A1">
        <w:rPr>
          <w:rFonts w:hAnsi="標楷體" w:hint="eastAsia"/>
        </w:rPr>
        <w:t>，「證券交易法有關經主管機關核定之有價證券其範圍與爭議</w:t>
      </w:r>
      <w:r w:rsidRPr="00D343A1">
        <w:rPr>
          <w:rFonts w:hAnsi="標楷體"/>
        </w:rPr>
        <w:t>—</w:t>
      </w:r>
      <w:r w:rsidRPr="00D343A1">
        <w:rPr>
          <w:rFonts w:hAnsi="標楷體" w:hint="eastAsia"/>
        </w:rPr>
        <w:t>兼評最高法院105年度台抗字第925號刑事確定裁定」，軍法專刊第64卷第3期，</w:t>
      </w:r>
      <w:r w:rsidR="003E2822">
        <w:rPr>
          <w:rFonts w:hAnsi="標楷體" w:hint="eastAsia"/>
        </w:rPr>
        <w:t>2</w:t>
      </w:r>
      <w:r w:rsidR="003E2822">
        <w:rPr>
          <w:rFonts w:hAnsi="標楷體"/>
        </w:rPr>
        <w:t>018</w:t>
      </w:r>
      <w:r w:rsidRPr="003E2822">
        <w:rPr>
          <w:rFonts w:hAnsi="標楷體" w:hint="eastAsia"/>
        </w:rPr>
        <w:t>年</w:t>
      </w:r>
      <w:r w:rsidR="003E2822" w:rsidRPr="003E2822">
        <w:rPr>
          <w:rFonts w:hAnsi="標楷體" w:hint="eastAsia"/>
        </w:rPr>
        <w:t>6</w:t>
      </w:r>
      <w:r w:rsidRPr="003E2822">
        <w:rPr>
          <w:rFonts w:hAnsi="標楷體" w:hint="eastAsia"/>
        </w:rPr>
        <w:t>月</w:t>
      </w:r>
      <w:r w:rsidRPr="00E876BA">
        <w:rPr>
          <w:rFonts w:hAnsi="標楷體" w:hint="eastAsia"/>
        </w:rPr>
        <w:t>。</w:t>
      </w:r>
    </w:p>
  </w:footnote>
  <w:footnote w:id="6">
    <w:p w:rsidR="00135960" w:rsidRPr="007A7952" w:rsidRDefault="00135960">
      <w:pPr>
        <w:pStyle w:val="afd"/>
        <w:rPr>
          <w:rFonts w:hAnsi="標楷體"/>
        </w:rPr>
      </w:pPr>
      <w:r w:rsidRPr="007A7952">
        <w:rPr>
          <w:rStyle w:val="aff"/>
          <w:rFonts w:hAnsi="標楷體"/>
        </w:rPr>
        <w:footnoteRef/>
      </w:r>
      <w:r w:rsidRPr="007A7952">
        <w:rPr>
          <w:rFonts w:hAnsi="標楷體"/>
        </w:rPr>
        <w:t xml:space="preserve"> </w:t>
      </w:r>
      <w:r w:rsidRPr="007A7952">
        <w:rPr>
          <w:rFonts w:hAnsi="標楷體" w:hint="eastAsia"/>
        </w:rPr>
        <w:t>曾宛如教授、張心悌教授等人</w:t>
      </w:r>
      <w:r>
        <w:rPr>
          <w:rFonts w:hAnsi="標楷體" w:hint="eastAsia"/>
        </w:rPr>
        <w:t>受台灣證券交易所委託</w:t>
      </w:r>
      <w:r w:rsidRPr="007A7952">
        <w:rPr>
          <w:rFonts w:hAnsi="標楷體" w:hint="eastAsia"/>
        </w:rPr>
        <w:t>於10</w:t>
      </w:r>
      <w:r w:rsidRPr="007A7952">
        <w:rPr>
          <w:rFonts w:hAnsi="標楷體"/>
        </w:rPr>
        <w:t>5</w:t>
      </w:r>
      <w:r w:rsidRPr="007A7952">
        <w:rPr>
          <w:rFonts w:hAnsi="標楷體" w:hint="eastAsia"/>
        </w:rPr>
        <w:t>年</w:t>
      </w:r>
      <w:r>
        <w:rPr>
          <w:rFonts w:hAnsi="標楷體" w:hint="eastAsia"/>
        </w:rPr>
        <w:t>6月</w:t>
      </w:r>
      <w:r w:rsidRPr="007A7952">
        <w:rPr>
          <w:rFonts w:hAnsi="標楷體" w:hint="eastAsia"/>
        </w:rPr>
        <w:t>出具之法律意見書，劉連煜教授</w:t>
      </w:r>
      <w:r>
        <w:rPr>
          <w:rFonts w:hAnsi="標楷體" w:hint="eastAsia"/>
        </w:rPr>
        <w:t>及張心悌教授於金管會證券期貨局於108年11月召開研商證交法相關問題研討會之意見。</w:t>
      </w:r>
    </w:p>
  </w:footnote>
  <w:footnote w:id="7">
    <w:p w:rsidR="00135960" w:rsidRDefault="00135960">
      <w:pPr>
        <w:pStyle w:val="afd"/>
      </w:pPr>
      <w:r>
        <w:rPr>
          <w:rStyle w:val="aff"/>
        </w:rPr>
        <w:footnoteRef/>
      </w:r>
      <w:r>
        <w:t xml:space="preserve"> </w:t>
      </w:r>
      <w:r>
        <w:rPr>
          <w:rFonts w:hint="eastAsia"/>
        </w:rPr>
        <w:t>張彥良教授</w:t>
      </w:r>
      <w:r w:rsidRPr="00AB4754">
        <w:rPr>
          <w:rFonts w:hint="eastAsia"/>
        </w:rPr>
        <w:t>受台灣證券交易所委託於10</w:t>
      </w:r>
      <w:r w:rsidRPr="00AB4754">
        <w:t>5年</w:t>
      </w:r>
      <w:r w:rsidRPr="00AB4754">
        <w:rPr>
          <w:rFonts w:hint="eastAsia"/>
        </w:rPr>
        <w:t>6月</w:t>
      </w:r>
      <w:r w:rsidRPr="00AB4754">
        <w:t>出具之法律意見書</w:t>
      </w:r>
      <w:r>
        <w:rPr>
          <w:rFonts w:hAnsi="標楷體" w:hint="eastAsia"/>
        </w:rPr>
        <w:t>。</w:t>
      </w:r>
    </w:p>
  </w:footnote>
  <w:footnote w:id="8">
    <w:p w:rsidR="00135960" w:rsidRPr="00416AD6" w:rsidRDefault="00135960">
      <w:pPr>
        <w:pStyle w:val="afd"/>
        <w:rPr>
          <w:rFonts w:hAnsi="標楷體"/>
        </w:rPr>
      </w:pPr>
      <w:r w:rsidRPr="00416AD6">
        <w:rPr>
          <w:rStyle w:val="aff"/>
          <w:rFonts w:hAnsi="標楷體"/>
        </w:rPr>
        <w:footnoteRef/>
      </w:r>
      <w:r w:rsidRPr="00416AD6">
        <w:rPr>
          <w:rFonts w:hAnsi="標楷體"/>
        </w:rPr>
        <w:t xml:space="preserve"> </w:t>
      </w:r>
      <w:r w:rsidRPr="00416AD6">
        <w:rPr>
          <w:rFonts w:hAnsi="標楷體" w:hint="eastAsia"/>
        </w:rPr>
        <w:t>賴英照，股市遊戲規則</w:t>
      </w:r>
      <w:r w:rsidRPr="00416AD6">
        <w:rPr>
          <w:rFonts w:hAnsi="標楷體"/>
        </w:rPr>
        <w:t>—</w:t>
      </w:r>
      <w:r w:rsidRPr="00416AD6">
        <w:rPr>
          <w:rFonts w:hAnsi="標楷體" w:hint="eastAsia"/>
        </w:rPr>
        <w:t>最新證券交易法解析，2014年2月第3版，頁15</w:t>
      </w:r>
      <w:r>
        <w:rPr>
          <w:rFonts w:hAnsi="標楷體" w:hint="eastAsia"/>
        </w:rPr>
        <w:t>；賴源河</w:t>
      </w:r>
      <w:r>
        <w:rPr>
          <w:rFonts w:ascii="新細明體" w:eastAsia="新細明體" w:hAnsi="新細明體" w:hint="eastAsia"/>
        </w:rPr>
        <w:t>，</w:t>
      </w:r>
      <w:r>
        <w:rPr>
          <w:rFonts w:hAnsi="標楷體" w:hint="eastAsia"/>
        </w:rPr>
        <w:t>證券法規2007年5月修訂版</w:t>
      </w:r>
      <w:r>
        <w:rPr>
          <w:rFonts w:ascii="新細明體" w:eastAsia="新細明體" w:hAnsi="新細明體" w:hint="eastAsia"/>
        </w:rPr>
        <w:t>，</w:t>
      </w:r>
      <w:r>
        <w:rPr>
          <w:rFonts w:hAnsi="標楷體" w:hint="eastAsia"/>
        </w:rPr>
        <w:t>頁20</w:t>
      </w:r>
      <w:r w:rsidRPr="00416AD6">
        <w:rPr>
          <w:rFonts w:hAnsi="標楷體" w:hint="eastAsia"/>
        </w:rPr>
        <w:t>。</w:t>
      </w:r>
    </w:p>
  </w:footnote>
  <w:footnote w:id="9">
    <w:p w:rsidR="009029E6" w:rsidRDefault="009029E6" w:rsidP="009029E6">
      <w:pPr>
        <w:pStyle w:val="afd"/>
      </w:pPr>
      <w:r>
        <w:rPr>
          <w:rStyle w:val="aff"/>
        </w:rPr>
        <w:footnoteRef/>
      </w:r>
      <w:r>
        <w:t xml:space="preserve"> </w:t>
      </w:r>
      <w:r>
        <w:rPr>
          <w:rFonts w:hint="eastAsia"/>
        </w:rPr>
        <w:t>臺灣高等法院105年度聲再字第36號刑事裁定</w:t>
      </w:r>
      <w:r>
        <w:rPr>
          <w:rFonts w:hAnsi="標楷體" w:hint="eastAsia"/>
        </w:rPr>
        <w:t>。</w:t>
      </w:r>
    </w:p>
  </w:footnote>
  <w:footnote w:id="10">
    <w:p w:rsidR="00135960" w:rsidRDefault="00135960" w:rsidP="001A268F">
      <w:pPr>
        <w:pStyle w:val="afd"/>
      </w:pPr>
      <w:r>
        <w:rPr>
          <w:rStyle w:val="aff"/>
        </w:rPr>
        <w:footnoteRef/>
      </w:r>
      <w:r>
        <w:t xml:space="preserve"> </w:t>
      </w:r>
      <w:r w:rsidRPr="001A268F">
        <w:rPr>
          <w:rFonts w:hint="eastAsia"/>
          <w:lang w:val="ja-JP"/>
        </w:rPr>
        <w:t>外國發行人募集與發行有價證券處理準則」第3條第7款</w:t>
      </w:r>
      <w:r>
        <w:rPr>
          <w:rFonts w:hint="eastAsia"/>
          <w:lang w:val="ja-JP"/>
        </w:rPr>
        <w:t>規定</w:t>
      </w:r>
      <w:r>
        <w:rPr>
          <w:rFonts w:ascii="新細明體" w:eastAsia="新細明體" w:hAnsi="新細明體" w:hint="eastAsia"/>
          <w:lang w:val="ja-JP"/>
        </w:rPr>
        <w:t>：</w:t>
      </w:r>
      <w:r>
        <w:rPr>
          <w:rFonts w:hAnsi="標楷體" w:hint="eastAsia"/>
          <w:lang w:val="ja-JP"/>
        </w:rPr>
        <w:t>「</w:t>
      </w:r>
      <w:r w:rsidRPr="001A268F">
        <w:rPr>
          <w:rFonts w:hAnsi="標楷體" w:hint="eastAsia"/>
        </w:rPr>
        <w:t>臺灣存託憑證：指存託機構在國內所發行表彰存放於保管機構之外國發行人有價證券之憑證。</w:t>
      </w:r>
      <w:r>
        <w:rPr>
          <w:rFonts w:hAnsi="標楷體" w:hint="eastAsi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A82874A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eastAsia="ja-JP"/>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A284E58"/>
    <w:multiLevelType w:val="hybridMultilevel"/>
    <w:tmpl w:val="642E9D38"/>
    <w:lvl w:ilvl="0" w:tplc="5FCC8BF2">
      <w:start w:val="1"/>
      <w:numFmt w:val="taiwaneseCountingThousand"/>
      <w:suff w:val="nothing"/>
      <w:lvlText w:val="例%1、"/>
      <w:lvlJc w:val="left"/>
      <w:pPr>
        <w:ind w:left="1080" w:hanging="10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6"/>
  </w:num>
  <w:num w:numId="5">
    <w:abstractNumId w:val="4"/>
  </w:num>
  <w:num w:numId="6">
    <w:abstractNumId w:val="7"/>
  </w:num>
  <w:num w:numId="7">
    <w:abstractNumId w:val="1"/>
  </w:num>
  <w:num w:numId="8">
    <w:abstractNumId w:val="8"/>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A8C"/>
    <w:rsid w:val="000112BF"/>
    <w:rsid w:val="00012233"/>
    <w:rsid w:val="00014D3D"/>
    <w:rsid w:val="00017318"/>
    <w:rsid w:val="000217D4"/>
    <w:rsid w:val="000229AD"/>
    <w:rsid w:val="000246F7"/>
    <w:rsid w:val="0003099D"/>
    <w:rsid w:val="0003114D"/>
    <w:rsid w:val="00033FB0"/>
    <w:rsid w:val="00036D76"/>
    <w:rsid w:val="00045C99"/>
    <w:rsid w:val="00046E50"/>
    <w:rsid w:val="00057F32"/>
    <w:rsid w:val="00062A25"/>
    <w:rsid w:val="000634B3"/>
    <w:rsid w:val="00063AF9"/>
    <w:rsid w:val="000667AB"/>
    <w:rsid w:val="00067A05"/>
    <w:rsid w:val="00073CB5"/>
    <w:rsid w:val="0007425C"/>
    <w:rsid w:val="00077553"/>
    <w:rsid w:val="00081795"/>
    <w:rsid w:val="000851A2"/>
    <w:rsid w:val="00092D14"/>
    <w:rsid w:val="0009352E"/>
    <w:rsid w:val="000938BD"/>
    <w:rsid w:val="00096B96"/>
    <w:rsid w:val="000A2F3F"/>
    <w:rsid w:val="000B038F"/>
    <w:rsid w:val="000B0B4A"/>
    <w:rsid w:val="000B279A"/>
    <w:rsid w:val="000B61D2"/>
    <w:rsid w:val="000B70A7"/>
    <w:rsid w:val="000B73DD"/>
    <w:rsid w:val="000C26AF"/>
    <w:rsid w:val="000C495F"/>
    <w:rsid w:val="000C644E"/>
    <w:rsid w:val="000D2835"/>
    <w:rsid w:val="000D5643"/>
    <w:rsid w:val="000D66D9"/>
    <w:rsid w:val="000E5C26"/>
    <w:rsid w:val="000E617A"/>
    <w:rsid w:val="000E6431"/>
    <w:rsid w:val="000F0E44"/>
    <w:rsid w:val="000F21A5"/>
    <w:rsid w:val="00101E7D"/>
    <w:rsid w:val="00102B9F"/>
    <w:rsid w:val="0010443A"/>
    <w:rsid w:val="00111B86"/>
    <w:rsid w:val="00112637"/>
    <w:rsid w:val="00112ABC"/>
    <w:rsid w:val="00116929"/>
    <w:rsid w:val="0012001E"/>
    <w:rsid w:val="00126A55"/>
    <w:rsid w:val="00133F08"/>
    <w:rsid w:val="001345E6"/>
    <w:rsid w:val="00135960"/>
    <w:rsid w:val="001378B0"/>
    <w:rsid w:val="00142E00"/>
    <w:rsid w:val="00145E73"/>
    <w:rsid w:val="00152793"/>
    <w:rsid w:val="00153B7E"/>
    <w:rsid w:val="001544B2"/>
    <w:rsid w:val="001545A9"/>
    <w:rsid w:val="00160501"/>
    <w:rsid w:val="00161731"/>
    <w:rsid w:val="001637C7"/>
    <w:rsid w:val="0016480E"/>
    <w:rsid w:val="001652AB"/>
    <w:rsid w:val="00174297"/>
    <w:rsid w:val="00175B9C"/>
    <w:rsid w:val="00180E06"/>
    <w:rsid w:val="001817B3"/>
    <w:rsid w:val="001817C0"/>
    <w:rsid w:val="00182A80"/>
    <w:rsid w:val="00183014"/>
    <w:rsid w:val="00185331"/>
    <w:rsid w:val="00187E58"/>
    <w:rsid w:val="00187EFA"/>
    <w:rsid w:val="001951F4"/>
    <w:rsid w:val="001959C2"/>
    <w:rsid w:val="001A0408"/>
    <w:rsid w:val="001A13C5"/>
    <w:rsid w:val="001A268F"/>
    <w:rsid w:val="001A51E3"/>
    <w:rsid w:val="001A7959"/>
    <w:rsid w:val="001A7968"/>
    <w:rsid w:val="001B1BE1"/>
    <w:rsid w:val="001B2E98"/>
    <w:rsid w:val="001B3483"/>
    <w:rsid w:val="001B3C1E"/>
    <w:rsid w:val="001B4494"/>
    <w:rsid w:val="001B5604"/>
    <w:rsid w:val="001B7EF8"/>
    <w:rsid w:val="001C0D8B"/>
    <w:rsid w:val="001C0DA8"/>
    <w:rsid w:val="001C6992"/>
    <w:rsid w:val="001C74B6"/>
    <w:rsid w:val="001D0B7B"/>
    <w:rsid w:val="001D1099"/>
    <w:rsid w:val="001D4AD7"/>
    <w:rsid w:val="001D5B4A"/>
    <w:rsid w:val="001D6FF0"/>
    <w:rsid w:val="001E0D8A"/>
    <w:rsid w:val="001E1EE2"/>
    <w:rsid w:val="001E2BDB"/>
    <w:rsid w:val="001E4602"/>
    <w:rsid w:val="001E67BA"/>
    <w:rsid w:val="001E74C2"/>
    <w:rsid w:val="001F4F82"/>
    <w:rsid w:val="001F5A48"/>
    <w:rsid w:val="001F6260"/>
    <w:rsid w:val="00200007"/>
    <w:rsid w:val="00200616"/>
    <w:rsid w:val="0020283E"/>
    <w:rsid w:val="002030A5"/>
    <w:rsid w:val="002030C5"/>
    <w:rsid w:val="00203131"/>
    <w:rsid w:val="002056A0"/>
    <w:rsid w:val="00212E88"/>
    <w:rsid w:val="00213C9C"/>
    <w:rsid w:val="002152CA"/>
    <w:rsid w:val="0022009E"/>
    <w:rsid w:val="00223241"/>
    <w:rsid w:val="0022425C"/>
    <w:rsid w:val="002246DE"/>
    <w:rsid w:val="0022576C"/>
    <w:rsid w:val="002300E6"/>
    <w:rsid w:val="00232889"/>
    <w:rsid w:val="00233D6A"/>
    <w:rsid w:val="00234618"/>
    <w:rsid w:val="00237550"/>
    <w:rsid w:val="00240056"/>
    <w:rsid w:val="002429E2"/>
    <w:rsid w:val="00252BC4"/>
    <w:rsid w:val="00254014"/>
    <w:rsid w:val="00254B39"/>
    <w:rsid w:val="002622EF"/>
    <w:rsid w:val="00263D52"/>
    <w:rsid w:val="0026504D"/>
    <w:rsid w:val="00273A2F"/>
    <w:rsid w:val="00280986"/>
    <w:rsid w:val="00281ECE"/>
    <w:rsid w:val="002831C7"/>
    <w:rsid w:val="002840C6"/>
    <w:rsid w:val="002858D8"/>
    <w:rsid w:val="00290CD2"/>
    <w:rsid w:val="002935E6"/>
    <w:rsid w:val="00293F67"/>
    <w:rsid w:val="00295174"/>
    <w:rsid w:val="00296172"/>
    <w:rsid w:val="00296B92"/>
    <w:rsid w:val="002A2C22"/>
    <w:rsid w:val="002A60A2"/>
    <w:rsid w:val="002A6D5E"/>
    <w:rsid w:val="002B02EB"/>
    <w:rsid w:val="002C0602"/>
    <w:rsid w:val="002C375E"/>
    <w:rsid w:val="002C4F21"/>
    <w:rsid w:val="002D3836"/>
    <w:rsid w:val="002D5C16"/>
    <w:rsid w:val="002D7E39"/>
    <w:rsid w:val="002E68BC"/>
    <w:rsid w:val="002E7344"/>
    <w:rsid w:val="002F1EF0"/>
    <w:rsid w:val="002F2476"/>
    <w:rsid w:val="002F3DFF"/>
    <w:rsid w:val="002F5E05"/>
    <w:rsid w:val="00301D59"/>
    <w:rsid w:val="003028A8"/>
    <w:rsid w:val="00304CFE"/>
    <w:rsid w:val="00307A76"/>
    <w:rsid w:val="003125A8"/>
    <w:rsid w:val="00312D1F"/>
    <w:rsid w:val="0031455E"/>
    <w:rsid w:val="00315A16"/>
    <w:rsid w:val="00317053"/>
    <w:rsid w:val="0032109C"/>
    <w:rsid w:val="00322B45"/>
    <w:rsid w:val="00323809"/>
    <w:rsid w:val="00323D41"/>
    <w:rsid w:val="00325414"/>
    <w:rsid w:val="00326714"/>
    <w:rsid w:val="00326DCF"/>
    <w:rsid w:val="003302F1"/>
    <w:rsid w:val="00331EB0"/>
    <w:rsid w:val="00333B16"/>
    <w:rsid w:val="00333C8A"/>
    <w:rsid w:val="0034470E"/>
    <w:rsid w:val="00347126"/>
    <w:rsid w:val="00350CDF"/>
    <w:rsid w:val="00351DB0"/>
    <w:rsid w:val="00352DB0"/>
    <w:rsid w:val="00354526"/>
    <w:rsid w:val="00360B07"/>
    <w:rsid w:val="00361063"/>
    <w:rsid w:val="00362E2F"/>
    <w:rsid w:val="0036409E"/>
    <w:rsid w:val="00366F5A"/>
    <w:rsid w:val="0037094A"/>
    <w:rsid w:val="00371ED3"/>
    <w:rsid w:val="00372659"/>
    <w:rsid w:val="00372B9B"/>
    <w:rsid w:val="00372FFC"/>
    <w:rsid w:val="0037702D"/>
    <w:rsid w:val="0037728A"/>
    <w:rsid w:val="0038058E"/>
    <w:rsid w:val="00380B7D"/>
    <w:rsid w:val="00381A99"/>
    <w:rsid w:val="003829C2"/>
    <w:rsid w:val="003830B2"/>
    <w:rsid w:val="00384724"/>
    <w:rsid w:val="003870AF"/>
    <w:rsid w:val="00391456"/>
    <w:rsid w:val="003919B7"/>
    <w:rsid w:val="00391D57"/>
    <w:rsid w:val="00392292"/>
    <w:rsid w:val="003924C6"/>
    <w:rsid w:val="00394F45"/>
    <w:rsid w:val="0039627D"/>
    <w:rsid w:val="003A2087"/>
    <w:rsid w:val="003A248E"/>
    <w:rsid w:val="003A5927"/>
    <w:rsid w:val="003A7B56"/>
    <w:rsid w:val="003B1017"/>
    <w:rsid w:val="003B1719"/>
    <w:rsid w:val="003B3C07"/>
    <w:rsid w:val="003B3C2E"/>
    <w:rsid w:val="003B6081"/>
    <w:rsid w:val="003B6775"/>
    <w:rsid w:val="003C066A"/>
    <w:rsid w:val="003C5FE2"/>
    <w:rsid w:val="003D05FB"/>
    <w:rsid w:val="003D1B16"/>
    <w:rsid w:val="003D262A"/>
    <w:rsid w:val="003D45BF"/>
    <w:rsid w:val="003D508A"/>
    <w:rsid w:val="003D537F"/>
    <w:rsid w:val="003D7B75"/>
    <w:rsid w:val="003E0208"/>
    <w:rsid w:val="003E2822"/>
    <w:rsid w:val="003E4B57"/>
    <w:rsid w:val="003E77E8"/>
    <w:rsid w:val="003F27E1"/>
    <w:rsid w:val="003F3C63"/>
    <w:rsid w:val="003F437A"/>
    <w:rsid w:val="003F5C2B"/>
    <w:rsid w:val="003F6F3A"/>
    <w:rsid w:val="00401614"/>
    <w:rsid w:val="00402240"/>
    <w:rsid w:val="004023E9"/>
    <w:rsid w:val="00403D96"/>
    <w:rsid w:val="0040454A"/>
    <w:rsid w:val="00405955"/>
    <w:rsid w:val="00413F83"/>
    <w:rsid w:val="00413FFF"/>
    <w:rsid w:val="0041490C"/>
    <w:rsid w:val="00416191"/>
    <w:rsid w:val="00416721"/>
    <w:rsid w:val="00416AD6"/>
    <w:rsid w:val="004214F3"/>
    <w:rsid w:val="00421EF0"/>
    <w:rsid w:val="004224FA"/>
    <w:rsid w:val="00423D07"/>
    <w:rsid w:val="00425764"/>
    <w:rsid w:val="00427936"/>
    <w:rsid w:val="00430FAF"/>
    <w:rsid w:val="004335E6"/>
    <w:rsid w:val="00435DBF"/>
    <w:rsid w:val="004412A4"/>
    <w:rsid w:val="0044346F"/>
    <w:rsid w:val="0044766A"/>
    <w:rsid w:val="004514F3"/>
    <w:rsid w:val="00453FF6"/>
    <w:rsid w:val="0046520A"/>
    <w:rsid w:val="004672AB"/>
    <w:rsid w:val="004714FE"/>
    <w:rsid w:val="004730CE"/>
    <w:rsid w:val="004739C9"/>
    <w:rsid w:val="0047442B"/>
    <w:rsid w:val="0047634A"/>
    <w:rsid w:val="0047730A"/>
    <w:rsid w:val="00477BAA"/>
    <w:rsid w:val="00486191"/>
    <w:rsid w:val="00493AC1"/>
    <w:rsid w:val="00495053"/>
    <w:rsid w:val="004A06B5"/>
    <w:rsid w:val="004A1F59"/>
    <w:rsid w:val="004A23E6"/>
    <w:rsid w:val="004A29BE"/>
    <w:rsid w:val="004A3225"/>
    <w:rsid w:val="004A33EE"/>
    <w:rsid w:val="004A3610"/>
    <w:rsid w:val="004A3826"/>
    <w:rsid w:val="004A3AA8"/>
    <w:rsid w:val="004B13C7"/>
    <w:rsid w:val="004B778F"/>
    <w:rsid w:val="004C00F1"/>
    <w:rsid w:val="004C0609"/>
    <w:rsid w:val="004C39DA"/>
    <w:rsid w:val="004C639F"/>
    <w:rsid w:val="004C7EB0"/>
    <w:rsid w:val="004D141F"/>
    <w:rsid w:val="004D1A38"/>
    <w:rsid w:val="004D2742"/>
    <w:rsid w:val="004D6310"/>
    <w:rsid w:val="004E0062"/>
    <w:rsid w:val="004E05A1"/>
    <w:rsid w:val="004E5FB1"/>
    <w:rsid w:val="004F472A"/>
    <w:rsid w:val="004F57A1"/>
    <w:rsid w:val="004F5E57"/>
    <w:rsid w:val="004F6710"/>
    <w:rsid w:val="00500C3E"/>
    <w:rsid w:val="00501560"/>
    <w:rsid w:val="00502849"/>
    <w:rsid w:val="00504334"/>
    <w:rsid w:val="0050498D"/>
    <w:rsid w:val="005104D7"/>
    <w:rsid w:val="00510B9E"/>
    <w:rsid w:val="00523DC3"/>
    <w:rsid w:val="00536BC2"/>
    <w:rsid w:val="005425E1"/>
    <w:rsid w:val="005427C5"/>
    <w:rsid w:val="00542CF6"/>
    <w:rsid w:val="0054680E"/>
    <w:rsid w:val="005517E4"/>
    <w:rsid w:val="00551891"/>
    <w:rsid w:val="00551A6F"/>
    <w:rsid w:val="00553C03"/>
    <w:rsid w:val="00560DDA"/>
    <w:rsid w:val="00563692"/>
    <w:rsid w:val="0056487D"/>
    <w:rsid w:val="00571679"/>
    <w:rsid w:val="00573E84"/>
    <w:rsid w:val="00576035"/>
    <w:rsid w:val="00581781"/>
    <w:rsid w:val="00583BC2"/>
    <w:rsid w:val="00584235"/>
    <w:rsid w:val="005844E7"/>
    <w:rsid w:val="005908B8"/>
    <w:rsid w:val="0059512E"/>
    <w:rsid w:val="005972FF"/>
    <w:rsid w:val="005A5864"/>
    <w:rsid w:val="005A6DD2"/>
    <w:rsid w:val="005A7F39"/>
    <w:rsid w:val="005B1618"/>
    <w:rsid w:val="005B31F4"/>
    <w:rsid w:val="005C16DC"/>
    <w:rsid w:val="005C385D"/>
    <w:rsid w:val="005D3B20"/>
    <w:rsid w:val="005D71B7"/>
    <w:rsid w:val="005E4759"/>
    <w:rsid w:val="005E5053"/>
    <w:rsid w:val="005E5C68"/>
    <w:rsid w:val="005E65C0"/>
    <w:rsid w:val="005F0390"/>
    <w:rsid w:val="0060039F"/>
    <w:rsid w:val="0060109D"/>
    <w:rsid w:val="006072CD"/>
    <w:rsid w:val="0060743F"/>
    <w:rsid w:val="00612023"/>
    <w:rsid w:val="0061219F"/>
    <w:rsid w:val="00614190"/>
    <w:rsid w:val="00622A99"/>
    <w:rsid w:val="00622E67"/>
    <w:rsid w:val="00626B57"/>
    <w:rsid w:val="00626EDC"/>
    <w:rsid w:val="00641AC6"/>
    <w:rsid w:val="00644F99"/>
    <w:rsid w:val="006452D3"/>
    <w:rsid w:val="0064565F"/>
    <w:rsid w:val="006470EC"/>
    <w:rsid w:val="00647F46"/>
    <w:rsid w:val="0065040E"/>
    <w:rsid w:val="006525A3"/>
    <w:rsid w:val="006542D6"/>
    <w:rsid w:val="0065598E"/>
    <w:rsid w:val="00655AF2"/>
    <w:rsid w:val="00655BC5"/>
    <w:rsid w:val="006568BE"/>
    <w:rsid w:val="00656EED"/>
    <w:rsid w:val="0066025D"/>
    <w:rsid w:val="0066091A"/>
    <w:rsid w:val="00661346"/>
    <w:rsid w:val="00662071"/>
    <w:rsid w:val="006634FA"/>
    <w:rsid w:val="006644DF"/>
    <w:rsid w:val="00670DD4"/>
    <w:rsid w:val="006773EC"/>
    <w:rsid w:val="00680504"/>
    <w:rsid w:val="00681CD9"/>
    <w:rsid w:val="00683E30"/>
    <w:rsid w:val="00687024"/>
    <w:rsid w:val="00692B76"/>
    <w:rsid w:val="00693437"/>
    <w:rsid w:val="006955AD"/>
    <w:rsid w:val="00695E22"/>
    <w:rsid w:val="006A0F74"/>
    <w:rsid w:val="006B2C47"/>
    <w:rsid w:val="006B7093"/>
    <w:rsid w:val="006B7417"/>
    <w:rsid w:val="006C149C"/>
    <w:rsid w:val="006C4873"/>
    <w:rsid w:val="006D31F9"/>
    <w:rsid w:val="006D3691"/>
    <w:rsid w:val="006E5EF0"/>
    <w:rsid w:val="006F21EC"/>
    <w:rsid w:val="006F3563"/>
    <w:rsid w:val="006F42B9"/>
    <w:rsid w:val="006F4C9B"/>
    <w:rsid w:val="006F6103"/>
    <w:rsid w:val="00704E00"/>
    <w:rsid w:val="0070508D"/>
    <w:rsid w:val="00705739"/>
    <w:rsid w:val="007177EB"/>
    <w:rsid w:val="007209E7"/>
    <w:rsid w:val="00721882"/>
    <w:rsid w:val="00721D05"/>
    <w:rsid w:val="00726182"/>
    <w:rsid w:val="00727635"/>
    <w:rsid w:val="00732329"/>
    <w:rsid w:val="00732CEE"/>
    <w:rsid w:val="007337CA"/>
    <w:rsid w:val="0073439B"/>
    <w:rsid w:val="007344D9"/>
    <w:rsid w:val="00734CE4"/>
    <w:rsid w:val="00735123"/>
    <w:rsid w:val="00736132"/>
    <w:rsid w:val="00740C05"/>
    <w:rsid w:val="00741837"/>
    <w:rsid w:val="0074205F"/>
    <w:rsid w:val="007453E6"/>
    <w:rsid w:val="00746D43"/>
    <w:rsid w:val="007475F0"/>
    <w:rsid w:val="00750BEE"/>
    <w:rsid w:val="00762181"/>
    <w:rsid w:val="00770453"/>
    <w:rsid w:val="00770986"/>
    <w:rsid w:val="0077309D"/>
    <w:rsid w:val="007774EE"/>
    <w:rsid w:val="00781822"/>
    <w:rsid w:val="00783F21"/>
    <w:rsid w:val="00787159"/>
    <w:rsid w:val="0079043A"/>
    <w:rsid w:val="00790634"/>
    <w:rsid w:val="00791668"/>
    <w:rsid w:val="00791AA1"/>
    <w:rsid w:val="00793333"/>
    <w:rsid w:val="00795D2F"/>
    <w:rsid w:val="007A3793"/>
    <w:rsid w:val="007A7952"/>
    <w:rsid w:val="007B361A"/>
    <w:rsid w:val="007B47C7"/>
    <w:rsid w:val="007B78C5"/>
    <w:rsid w:val="007C105A"/>
    <w:rsid w:val="007C1BA2"/>
    <w:rsid w:val="007C2B48"/>
    <w:rsid w:val="007D02A4"/>
    <w:rsid w:val="007D06CA"/>
    <w:rsid w:val="007D20E9"/>
    <w:rsid w:val="007D7881"/>
    <w:rsid w:val="007D7E3A"/>
    <w:rsid w:val="007E0E10"/>
    <w:rsid w:val="007E1476"/>
    <w:rsid w:val="007E1B7A"/>
    <w:rsid w:val="007E4768"/>
    <w:rsid w:val="007E6312"/>
    <w:rsid w:val="007E777B"/>
    <w:rsid w:val="007F2070"/>
    <w:rsid w:val="007F39FB"/>
    <w:rsid w:val="007F4F1F"/>
    <w:rsid w:val="007F607D"/>
    <w:rsid w:val="007F63C1"/>
    <w:rsid w:val="008053F5"/>
    <w:rsid w:val="00805B45"/>
    <w:rsid w:val="00807AF7"/>
    <w:rsid w:val="00810198"/>
    <w:rsid w:val="00815DA8"/>
    <w:rsid w:val="0081693A"/>
    <w:rsid w:val="00820D55"/>
    <w:rsid w:val="0082194D"/>
    <w:rsid w:val="008221F9"/>
    <w:rsid w:val="00824A84"/>
    <w:rsid w:val="00826EF5"/>
    <w:rsid w:val="00831693"/>
    <w:rsid w:val="0083533E"/>
    <w:rsid w:val="00840104"/>
    <w:rsid w:val="00840C1F"/>
    <w:rsid w:val="008411C9"/>
    <w:rsid w:val="00841FC5"/>
    <w:rsid w:val="00843D0F"/>
    <w:rsid w:val="00845709"/>
    <w:rsid w:val="00856576"/>
    <w:rsid w:val="008576BD"/>
    <w:rsid w:val="00860463"/>
    <w:rsid w:val="00861819"/>
    <w:rsid w:val="0086350F"/>
    <w:rsid w:val="00863E97"/>
    <w:rsid w:val="00867444"/>
    <w:rsid w:val="00870A46"/>
    <w:rsid w:val="008733DA"/>
    <w:rsid w:val="0088412F"/>
    <w:rsid w:val="0088493B"/>
    <w:rsid w:val="008850E4"/>
    <w:rsid w:val="0088538D"/>
    <w:rsid w:val="008928C1"/>
    <w:rsid w:val="008939AB"/>
    <w:rsid w:val="00894D28"/>
    <w:rsid w:val="0089657C"/>
    <w:rsid w:val="008A12F5"/>
    <w:rsid w:val="008B0265"/>
    <w:rsid w:val="008B1587"/>
    <w:rsid w:val="008B1B01"/>
    <w:rsid w:val="008B3BCD"/>
    <w:rsid w:val="008B6DF8"/>
    <w:rsid w:val="008C0AD0"/>
    <w:rsid w:val="008C106C"/>
    <w:rsid w:val="008C10F1"/>
    <w:rsid w:val="008C1926"/>
    <w:rsid w:val="008C1E99"/>
    <w:rsid w:val="008C6B0C"/>
    <w:rsid w:val="008D59B0"/>
    <w:rsid w:val="008D6900"/>
    <w:rsid w:val="008D7289"/>
    <w:rsid w:val="008E0085"/>
    <w:rsid w:val="008E0C3D"/>
    <w:rsid w:val="008E2AA6"/>
    <w:rsid w:val="008E311B"/>
    <w:rsid w:val="008E5684"/>
    <w:rsid w:val="008E56D6"/>
    <w:rsid w:val="008E6105"/>
    <w:rsid w:val="008F46E7"/>
    <w:rsid w:val="008F5551"/>
    <w:rsid w:val="008F5572"/>
    <w:rsid w:val="008F64CA"/>
    <w:rsid w:val="008F6D38"/>
    <w:rsid w:val="008F6F0B"/>
    <w:rsid w:val="008F7E4B"/>
    <w:rsid w:val="009002E5"/>
    <w:rsid w:val="009029E6"/>
    <w:rsid w:val="0090675A"/>
    <w:rsid w:val="00907398"/>
    <w:rsid w:val="00907BA7"/>
    <w:rsid w:val="0091064E"/>
    <w:rsid w:val="00910EB8"/>
    <w:rsid w:val="00911FC5"/>
    <w:rsid w:val="009135F6"/>
    <w:rsid w:val="00914661"/>
    <w:rsid w:val="00926888"/>
    <w:rsid w:val="00931187"/>
    <w:rsid w:val="00931A10"/>
    <w:rsid w:val="00944DB7"/>
    <w:rsid w:val="00944F63"/>
    <w:rsid w:val="009459ED"/>
    <w:rsid w:val="009460BD"/>
    <w:rsid w:val="00947967"/>
    <w:rsid w:val="00947AFA"/>
    <w:rsid w:val="00953579"/>
    <w:rsid w:val="00955201"/>
    <w:rsid w:val="009617A1"/>
    <w:rsid w:val="00965200"/>
    <w:rsid w:val="009668B3"/>
    <w:rsid w:val="00971471"/>
    <w:rsid w:val="00975A5F"/>
    <w:rsid w:val="0097662D"/>
    <w:rsid w:val="009849C2"/>
    <w:rsid w:val="00984D24"/>
    <w:rsid w:val="009858EB"/>
    <w:rsid w:val="009901F3"/>
    <w:rsid w:val="00991DB0"/>
    <w:rsid w:val="009A0806"/>
    <w:rsid w:val="009A119B"/>
    <w:rsid w:val="009A3F47"/>
    <w:rsid w:val="009A65B8"/>
    <w:rsid w:val="009B0046"/>
    <w:rsid w:val="009B7586"/>
    <w:rsid w:val="009C088C"/>
    <w:rsid w:val="009C1440"/>
    <w:rsid w:val="009C2107"/>
    <w:rsid w:val="009C5D9E"/>
    <w:rsid w:val="009D2C3E"/>
    <w:rsid w:val="009D59A8"/>
    <w:rsid w:val="009D5B7E"/>
    <w:rsid w:val="009E0625"/>
    <w:rsid w:val="009E2639"/>
    <w:rsid w:val="009E3034"/>
    <w:rsid w:val="009E4ADA"/>
    <w:rsid w:val="009E549F"/>
    <w:rsid w:val="009E5B25"/>
    <w:rsid w:val="009E7921"/>
    <w:rsid w:val="009F28A8"/>
    <w:rsid w:val="009F473E"/>
    <w:rsid w:val="009F5247"/>
    <w:rsid w:val="009F682A"/>
    <w:rsid w:val="00A022BE"/>
    <w:rsid w:val="00A074EA"/>
    <w:rsid w:val="00A07B4B"/>
    <w:rsid w:val="00A10131"/>
    <w:rsid w:val="00A13046"/>
    <w:rsid w:val="00A13B9B"/>
    <w:rsid w:val="00A13E62"/>
    <w:rsid w:val="00A15858"/>
    <w:rsid w:val="00A159B6"/>
    <w:rsid w:val="00A23D1B"/>
    <w:rsid w:val="00A24C95"/>
    <w:rsid w:val="00A2599A"/>
    <w:rsid w:val="00A26094"/>
    <w:rsid w:val="00A301BF"/>
    <w:rsid w:val="00A302B2"/>
    <w:rsid w:val="00A3202E"/>
    <w:rsid w:val="00A331B4"/>
    <w:rsid w:val="00A33DE0"/>
    <w:rsid w:val="00A3484E"/>
    <w:rsid w:val="00A35492"/>
    <w:rsid w:val="00A356D3"/>
    <w:rsid w:val="00A36ADA"/>
    <w:rsid w:val="00A37C4D"/>
    <w:rsid w:val="00A37F1C"/>
    <w:rsid w:val="00A438D8"/>
    <w:rsid w:val="00A473F5"/>
    <w:rsid w:val="00A51B90"/>
    <w:rsid w:val="00A51F9D"/>
    <w:rsid w:val="00A534EB"/>
    <w:rsid w:val="00A5416A"/>
    <w:rsid w:val="00A56FC4"/>
    <w:rsid w:val="00A639F4"/>
    <w:rsid w:val="00A65864"/>
    <w:rsid w:val="00A65FAE"/>
    <w:rsid w:val="00A71EF8"/>
    <w:rsid w:val="00A7577B"/>
    <w:rsid w:val="00A759A8"/>
    <w:rsid w:val="00A77327"/>
    <w:rsid w:val="00A77600"/>
    <w:rsid w:val="00A77EE6"/>
    <w:rsid w:val="00A80F5C"/>
    <w:rsid w:val="00A81A32"/>
    <w:rsid w:val="00A835BD"/>
    <w:rsid w:val="00A83CBF"/>
    <w:rsid w:val="00A85BAD"/>
    <w:rsid w:val="00A91950"/>
    <w:rsid w:val="00A978CD"/>
    <w:rsid w:val="00A97B15"/>
    <w:rsid w:val="00AA42D5"/>
    <w:rsid w:val="00AB1787"/>
    <w:rsid w:val="00AB2FAB"/>
    <w:rsid w:val="00AB4754"/>
    <w:rsid w:val="00AB5C14"/>
    <w:rsid w:val="00AC1400"/>
    <w:rsid w:val="00AC1EE7"/>
    <w:rsid w:val="00AC1FF7"/>
    <w:rsid w:val="00AC333F"/>
    <w:rsid w:val="00AC5634"/>
    <w:rsid w:val="00AC5720"/>
    <w:rsid w:val="00AC585C"/>
    <w:rsid w:val="00AD1925"/>
    <w:rsid w:val="00AD1C82"/>
    <w:rsid w:val="00AD67F9"/>
    <w:rsid w:val="00AD741D"/>
    <w:rsid w:val="00AE067D"/>
    <w:rsid w:val="00AE28EB"/>
    <w:rsid w:val="00AE685A"/>
    <w:rsid w:val="00AF1181"/>
    <w:rsid w:val="00AF2F79"/>
    <w:rsid w:val="00AF4653"/>
    <w:rsid w:val="00AF61D3"/>
    <w:rsid w:val="00AF7DB7"/>
    <w:rsid w:val="00AF7F61"/>
    <w:rsid w:val="00B00BAF"/>
    <w:rsid w:val="00B011EB"/>
    <w:rsid w:val="00B0404E"/>
    <w:rsid w:val="00B05BE8"/>
    <w:rsid w:val="00B07638"/>
    <w:rsid w:val="00B10D02"/>
    <w:rsid w:val="00B12098"/>
    <w:rsid w:val="00B1467F"/>
    <w:rsid w:val="00B201E2"/>
    <w:rsid w:val="00B30CAA"/>
    <w:rsid w:val="00B34181"/>
    <w:rsid w:val="00B37E87"/>
    <w:rsid w:val="00B443E4"/>
    <w:rsid w:val="00B5081A"/>
    <w:rsid w:val="00B51F7D"/>
    <w:rsid w:val="00B5484D"/>
    <w:rsid w:val="00B563EA"/>
    <w:rsid w:val="00B56CDF"/>
    <w:rsid w:val="00B57EB3"/>
    <w:rsid w:val="00B60568"/>
    <w:rsid w:val="00B60E51"/>
    <w:rsid w:val="00B6276A"/>
    <w:rsid w:val="00B63A54"/>
    <w:rsid w:val="00B651CB"/>
    <w:rsid w:val="00B71CA6"/>
    <w:rsid w:val="00B73943"/>
    <w:rsid w:val="00B76734"/>
    <w:rsid w:val="00B77D18"/>
    <w:rsid w:val="00B8313A"/>
    <w:rsid w:val="00B8503E"/>
    <w:rsid w:val="00B85E91"/>
    <w:rsid w:val="00B93503"/>
    <w:rsid w:val="00BA0A63"/>
    <w:rsid w:val="00BA1B7E"/>
    <w:rsid w:val="00BA31E8"/>
    <w:rsid w:val="00BA4341"/>
    <w:rsid w:val="00BA55E0"/>
    <w:rsid w:val="00BA6BD4"/>
    <w:rsid w:val="00BA6C7A"/>
    <w:rsid w:val="00BB044E"/>
    <w:rsid w:val="00BB1769"/>
    <w:rsid w:val="00BB17D1"/>
    <w:rsid w:val="00BB2831"/>
    <w:rsid w:val="00BB3752"/>
    <w:rsid w:val="00BB6688"/>
    <w:rsid w:val="00BC12C2"/>
    <w:rsid w:val="00BC1FBB"/>
    <w:rsid w:val="00BC26D4"/>
    <w:rsid w:val="00BD2D5B"/>
    <w:rsid w:val="00BE0C80"/>
    <w:rsid w:val="00BE13D8"/>
    <w:rsid w:val="00BE2F1B"/>
    <w:rsid w:val="00BE72BB"/>
    <w:rsid w:val="00BF2A42"/>
    <w:rsid w:val="00BF3279"/>
    <w:rsid w:val="00BF4062"/>
    <w:rsid w:val="00BF59F5"/>
    <w:rsid w:val="00C00D8D"/>
    <w:rsid w:val="00C01515"/>
    <w:rsid w:val="00C03D8C"/>
    <w:rsid w:val="00C055EC"/>
    <w:rsid w:val="00C10DC9"/>
    <w:rsid w:val="00C10ED0"/>
    <w:rsid w:val="00C12FB3"/>
    <w:rsid w:val="00C17341"/>
    <w:rsid w:val="00C22500"/>
    <w:rsid w:val="00C225D7"/>
    <w:rsid w:val="00C237C5"/>
    <w:rsid w:val="00C24EEF"/>
    <w:rsid w:val="00C25CF6"/>
    <w:rsid w:val="00C26C36"/>
    <w:rsid w:val="00C32768"/>
    <w:rsid w:val="00C3310B"/>
    <w:rsid w:val="00C431DF"/>
    <w:rsid w:val="00C43AFB"/>
    <w:rsid w:val="00C456BD"/>
    <w:rsid w:val="00C460B3"/>
    <w:rsid w:val="00C52D35"/>
    <w:rsid w:val="00C530DC"/>
    <w:rsid w:val="00C5350D"/>
    <w:rsid w:val="00C54536"/>
    <w:rsid w:val="00C57CC4"/>
    <w:rsid w:val="00C6123C"/>
    <w:rsid w:val="00C6292A"/>
    <w:rsid w:val="00C6311A"/>
    <w:rsid w:val="00C6675F"/>
    <w:rsid w:val="00C7084D"/>
    <w:rsid w:val="00C7315E"/>
    <w:rsid w:val="00C756C6"/>
    <w:rsid w:val="00C75895"/>
    <w:rsid w:val="00C765F6"/>
    <w:rsid w:val="00C82CAC"/>
    <w:rsid w:val="00C83C9F"/>
    <w:rsid w:val="00C9163A"/>
    <w:rsid w:val="00C94840"/>
    <w:rsid w:val="00C96420"/>
    <w:rsid w:val="00CA302E"/>
    <w:rsid w:val="00CA4EE3"/>
    <w:rsid w:val="00CB027F"/>
    <w:rsid w:val="00CB4B07"/>
    <w:rsid w:val="00CB4DF8"/>
    <w:rsid w:val="00CC0EBB"/>
    <w:rsid w:val="00CC6297"/>
    <w:rsid w:val="00CC7690"/>
    <w:rsid w:val="00CD1986"/>
    <w:rsid w:val="00CD19FD"/>
    <w:rsid w:val="00CD243B"/>
    <w:rsid w:val="00CD2D03"/>
    <w:rsid w:val="00CD3E99"/>
    <w:rsid w:val="00CD54BF"/>
    <w:rsid w:val="00CE1750"/>
    <w:rsid w:val="00CE271E"/>
    <w:rsid w:val="00CE2C51"/>
    <w:rsid w:val="00CE4D5C"/>
    <w:rsid w:val="00CE7718"/>
    <w:rsid w:val="00CF0038"/>
    <w:rsid w:val="00CF05DA"/>
    <w:rsid w:val="00CF1672"/>
    <w:rsid w:val="00CF533A"/>
    <w:rsid w:val="00CF58EB"/>
    <w:rsid w:val="00CF61B1"/>
    <w:rsid w:val="00CF6FEC"/>
    <w:rsid w:val="00D0106E"/>
    <w:rsid w:val="00D0162B"/>
    <w:rsid w:val="00D06383"/>
    <w:rsid w:val="00D06C65"/>
    <w:rsid w:val="00D108F7"/>
    <w:rsid w:val="00D14361"/>
    <w:rsid w:val="00D15B4F"/>
    <w:rsid w:val="00D163E0"/>
    <w:rsid w:val="00D1696A"/>
    <w:rsid w:val="00D20E85"/>
    <w:rsid w:val="00D24615"/>
    <w:rsid w:val="00D336E6"/>
    <w:rsid w:val="00D343A1"/>
    <w:rsid w:val="00D37842"/>
    <w:rsid w:val="00D42DC2"/>
    <w:rsid w:val="00D4302B"/>
    <w:rsid w:val="00D45FC0"/>
    <w:rsid w:val="00D537E1"/>
    <w:rsid w:val="00D55BB2"/>
    <w:rsid w:val="00D60443"/>
    <w:rsid w:val="00D6091A"/>
    <w:rsid w:val="00D61921"/>
    <w:rsid w:val="00D620AA"/>
    <w:rsid w:val="00D6301D"/>
    <w:rsid w:val="00D6605A"/>
    <w:rsid w:val="00D6695F"/>
    <w:rsid w:val="00D75644"/>
    <w:rsid w:val="00D772E4"/>
    <w:rsid w:val="00D81656"/>
    <w:rsid w:val="00D83D87"/>
    <w:rsid w:val="00D84A6D"/>
    <w:rsid w:val="00D86A30"/>
    <w:rsid w:val="00D97CB4"/>
    <w:rsid w:val="00D97DD4"/>
    <w:rsid w:val="00DA5417"/>
    <w:rsid w:val="00DA5834"/>
    <w:rsid w:val="00DA5A8A"/>
    <w:rsid w:val="00DB1170"/>
    <w:rsid w:val="00DB26CD"/>
    <w:rsid w:val="00DB441C"/>
    <w:rsid w:val="00DB44AF"/>
    <w:rsid w:val="00DB5B3E"/>
    <w:rsid w:val="00DB67FF"/>
    <w:rsid w:val="00DB7830"/>
    <w:rsid w:val="00DC1F58"/>
    <w:rsid w:val="00DC339B"/>
    <w:rsid w:val="00DC5D40"/>
    <w:rsid w:val="00DC69A7"/>
    <w:rsid w:val="00DC7EF1"/>
    <w:rsid w:val="00DD30E9"/>
    <w:rsid w:val="00DD4BF8"/>
    <w:rsid w:val="00DD4F47"/>
    <w:rsid w:val="00DD7FBB"/>
    <w:rsid w:val="00DE0B9F"/>
    <w:rsid w:val="00DE2A9E"/>
    <w:rsid w:val="00DE4238"/>
    <w:rsid w:val="00DE657F"/>
    <w:rsid w:val="00DF1218"/>
    <w:rsid w:val="00DF38A6"/>
    <w:rsid w:val="00DF6462"/>
    <w:rsid w:val="00E02FA0"/>
    <w:rsid w:val="00E036DC"/>
    <w:rsid w:val="00E053BB"/>
    <w:rsid w:val="00E061EC"/>
    <w:rsid w:val="00E10454"/>
    <w:rsid w:val="00E112E5"/>
    <w:rsid w:val="00E122D8"/>
    <w:rsid w:val="00E12CC8"/>
    <w:rsid w:val="00E15352"/>
    <w:rsid w:val="00E21CC7"/>
    <w:rsid w:val="00E228DB"/>
    <w:rsid w:val="00E23092"/>
    <w:rsid w:val="00E24A71"/>
    <w:rsid w:val="00E24D9E"/>
    <w:rsid w:val="00E25849"/>
    <w:rsid w:val="00E303F3"/>
    <w:rsid w:val="00E3197E"/>
    <w:rsid w:val="00E342F8"/>
    <w:rsid w:val="00E351ED"/>
    <w:rsid w:val="00E4175B"/>
    <w:rsid w:val="00E42B19"/>
    <w:rsid w:val="00E45DC4"/>
    <w:rsid w:val="00E5382E"/>
    <w:rsid w:val="00E55630"/>
    <w:rsid w:val="00E55FC1"/>
    <w:rsid w:val="00E6034B"/>
    <w:rsid w:val="00E62606"/>
    <w:rsid w:val="00E649A6"/>
    <w:rsid w:val="00E6549E"/>
    <w:rsid w:val="00E65EDE"/>
    <w:rsid w:val="00E70F81"/>
    <w:rsid w:val="00E75AA0"/>
    <w:rsid w:val="00E77055"/>
    <w:rsid w:val="00E77460"/>
    <w:rsid w:val="00E77CC2"/>
    <w:rsid w:val="00E803E6"/>
    <w:rsid w:val="00E83ABC"/>
    <w:rsid w:val="00E844F2"/>
    <w:rsid w:val="00E876BA"/>
    <w:rsid w:val="00E90AD0"/>
    <w:rsid w:val="00E92FCB"/>
    <w:rsid w:val="00EA147F"/>
    <w:rsid w:val="00EA4A27"/>
    <w:rsid w:val="00EA4FA6"/>
    <w:rsid w:val="00EA633C"/>
    <w:rsid w:val="00EB1A25"/>
    <w:rsid w:val="00EC22F0"/>
    <w:rsid w:val="00EC3BA1"/>
    <w:rsid w:val="00EC714C"/>
    <w:rsid w:val="00EC7363"/>
    <w:rsid w:val="00ED03AB"/>
    <w:rsid w:val="00ED1963"/>
    <w:rsid w:val="00ED1CD4"/>
    <w:rsid w:val="00ED1D2B"/>
    <w:rsid w:val="00ED3C97"/>
    <w:rsid w:val="00ED60AC"/>
    <w:rsid w:val="00ED64B5"/>
    <w:rsid w:val="00EE11B5"/>
    <w:rsid w:val="00EE5878"/>
    <w:rsid w:val="00EE59B5"/>
    <w:rsid w:val="00EE60AD"/>
    <w:rsid w:val="00EE7CB3"/>
    <w:rsid w:val="00EE7CCA"/>
    <w:rsid w:val="00EF0D62"/>
    <w:rsid w:val="00EF1EB2"/>
    <w:rsid w:val="00F00705"/>
    <w:rsid w:val="00F05A15"/>
    <w:rsid w:val="00F06E53"/>
    <w:rsid w:val="00F11133"/>
    <w:rsid w:val="00F129E6"/>
    <w:rsid w:val="00F16A14"/>
    <w:rsid w:val="00F20B89"/>
    <w:rsid w:val="00F22791"/>
    <w:rsid w:val="00F23560"/>
    <w:rsid w:val="00F2484E"/>
    <w:rsid w:val="00F325CC"/>
    <w:rsid w:val="00F362D7"/>
    <w:rsid w:val="00F37D7B"/>
    <w:rsid w:val="00F4209E"/>
    <w:rsid w:val="00F43051"/>
    <w:rsid w:val="00F46319"/>
    <w:rsid w:val="00F51C5A"/>
    <w:rsid w:val="00F5314C"/>
    <w:rsid w:val="00F534D3"/>
    <w:rsid w:val="00F53EC4"/>
    <w:rsid w:val="00F5688C"/>
    <w:rsid w:val="00F60048"/>
    <w:rsid w:val="00F63347"/>
    <w:rsid w:val="00F635DD"/>
    <w:rsid w:val="00F6627B"/>
    <w:rsid w:val="00F72CAB"/>
    <w:rsid w:val="00F7336E"/>
    <w:rsid w:val="00F734F2"/>
    <w:rsid w:val="00F74925"/>
    <w:rsid w:val="00F75052"/>
    <w:rsid w:val="00F804D3"/>
    <w:rsid w:val="00F816CB"/>
    <w:rsid w:val="00F81CD2"/>
    <w:rsid w:val="00F82641"/>
    <w:rsid w:val="00F85C9C"/>
    <w:rsid w:val="00F9005D"/>
    <w:rsid w:val="00F90F18"/>
    <w:rsid w:val="00F937E4"/>
    <w:rsid w:val="00F9394F"/>
    <w:rsid w:val="00F95EE7"/>
    <w:rsid w:val="00F960F5"/>
    <w:rsid w:val="00F967E4"/>
    <w:rsid w:val="00FA0593"/>
    <w:rsid w:val="00FA0FB2"/>
    <w:rsid w:val="00FA39E6"/>
    <w:rsid w:val="00FA7BC9"/>
    <w:rsid w:val="00FA7ECD"/>
    <w:rsid w:val="00FB378E"/>
    <w:rsid w:val="00FB37F1"/>
    <w:rsid w:val="00FB47C0"/>
    <w:rsid w:val="00FB501B"/>
    <w:rsid w:val="00FB719A"/>
    <w:rsid w:val="00FB72E5"/>
    <w:rsid w:val="00FB7770"/>
    <w:rsid w:val="00FB7BC6"/>
    <w:rsid w:val="00FC62E9"/>
    <w:rsid w:val="00FD096C"/>
    <w:rsid w:val="00FD172D"/>
    <w:rsid w:val="00FD2DF0"/>
    <w:rsid w:val="00FD375E"/>
    <w:rsid w:val="00FD3B91"/>
    <w:rsid w:val="00FD4C76"/>
    <w:rsid w:val="00FD576B"/>
    <w:rsid w:val="00FD579E"/>
    <w:rsid w:val="00FD58B7"/>
    <w:rsid w:val="00FD6845"/>
    <w:rsid w:val="00FE3AEB"/>
    <w:rsid w:val="00FE3C86"/>
    <w:rsid w:val="00FE4516"/>
    <w:rsid w:val="00FE64C8"/>
    <w:rsid w:val="00FE7FB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D36668"/>
  <w15:docId w15:val="{0BD56EAB-99B0-430A-A6D2-C1D450797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character" w:styleId="afc">
    <w:name w:val="Placeholder Text"/>
    <w:basedOn w:val="a7"/>
    <w:uiPriority w:val="99"/>
    <w:semiHidden/>
    <w:rsid w:val="00CD19FD"/>
    <w:rPr>
      <w:color w:val="808080"/>
    </w:rPr>
  </w:style>
  <w:style w:type="paragraph" w:styleId="afd">
    <w:name w:val="footnote text"/>
    <w:basedOn w:val="a6"/>
    <w:link w:val="afe"/>
    <w:uiPriority w:val="99"/>
    <w:semiHidden/>
    <w:unhideWhenUsed/>
    <w:rsid w:val="0060109D"/>
    <w:pPr>
      <w:snapToGrid w:val="0"/>
      <w:jc w:val="left"/>
    </w:pPr>
    <w:rPr>
      <w:sz w:val="20"/>
    </w:rPr>
  </w:style>
  <w:style w:type="character" w:customStyle="1" w:styleId="afe">
    <w:name w:val="註腳文字 字元"/>
    <w:basedOn w:val="a7"/>
    <w:link w:val="afd"/>
    <w:uiPriority w:val="99"/>
    <w:semiHidden/>
    <w:rsid w:val="0060109D"/>
    <w:rPr>
      <w:rFonts w:ascii="標楷體" w:eastAsia="標楷體"/>
      <w:kern w:val="2"/>
    </w:rPr>
  </w:style>
  <w:style w:type="character" w:styleId="aff">
    <w:name w:val="footnote reference"/>
    <w:basedOn w:val="a7"/>
    <w:uiPriority w:val="99"/>
    <w:semiHidden/>
    <w:unhideWhenUsed/>
    <w:rsid w:val="0060109D"/>
    <w:rPr>
      <w:vertAlign w:val="superscript"/>
    </w:rPr>
  </w:style>
  <w:style w:type="character" w:customStyle="1" w:styleId="aff0">
    <w:name w:val="內文文字_"/>
    <w:basedOn w:val="a7"/>
    <w:link w:val="aff1"/>
    <w:rsid w:val="00A77327"/>
    <w:rPr>
      <w:rFonts w:ascii="SimSun" w:eastAsia="SimSun" w:hAnsi="SimSun" w:cs="SimSun"/>
      <w:spacing w:val="10"/>
      <w:sz w:val="30"/>
      <w:szCs w:val="30"/>
      <w:shd w:val="clear" w:color="auto" w:fill="FFFFFF"/>
    </w:rPr>
  </w:style>
  <w:style w:type="character" w:customStyle="1" w:styleId="MSGothic">
    <w:name w:val="內文文字 + MS Gothic"/>
    <w:aliases w:val="19 pt,間距 2 pt,縮放 60%,4.5 pt"/>
    <w:basedOn w:val="aff0"/>
    <w:rsid w:val="00A77327"/>
    <w:rPr>
      <w:rFonts w:ascii="MS Gothic" w:eastAsia="MS Gothic" w:hAnsi="MS Gothic" w:cs="MS Gothic"/>
      <w:color w:val="000000"/>
      <w:spacing w:val="50"/>
      <w:w w:val="60"/>
      <w:position w:val="0"/>
      <w:sz w:val="38"/>
      <w:szCs w:val="38"/>
      <w:shd w:val="clear" w:color="auto" w:fill="FFFFFF"/>
      <w:lang w:val="ja-JP"/>
    </w:rPr>
  </w:style>
  <w:style w:type="character" w:customStyle="1" w:styleId="13pt">
    <w:name w:val="內文文字 + 13 pt"/>
    <w:aliases w:val="間距 0 pt"/>
    <w:basedOn w:val="aff0"/>
    <w:rsid w:val="00A77327"/>
    <w:rPr>
      <w:rFonts w:ascii="SimSun" w:eastAsia="SimSun" w:hAnsi="SimSun" w:cs="SimSun"/>
      <w:color w:val="000000"/>
      <w:spacing w:val="0"/>
      <w:w w:val="100"/>
      <w:position w:val="0"/>
      <w:sz w:val="26"/>
      <w:szCs w:val="26"/>
      <w:shd w:val="clear" w:color="auto" w:fill="FFFFFF"/>
      <w:lang w:val="ja-JP"/>
    </w:rPr>
  </w:style>
  <w:style w:type="paragraph" w:customStyle="1" w:styleId="aff1">
    <w:name w:val="內文文字"/>
    <w:basedOn w:val="a6"/>
    <w:link w:val="aff0"/>
    <w:rsid w:val="00A77327"/>
    <w:pPr>
      <w:shd w:val="clear" w:color="auto" w:fill="FFFFFF"/>
      <w:overflowPunct/>
      <w:autoSpaceDE/>
      <w:autoSpaceDN/>
      <w:spacing w:after="180" w:line="457" w:lineRule="exact"/>
      <w:ind w:hanging="1020"/>
      <w:jc w:val="distribute"/>
    </w:pPr>
    <w:rPr>
      <w:rFonts w:ascii="SimSun" w:eastAsia="SimSun" w:hAnsi="SimSun" w:cs="SimSun"/>
      <w:spacing w:val="10"/>
      <w:kern w:val="0"/>
      <w:sz w:val="30"/>
      <w:szCs w:val="30"/>
    </w:rPr>
  </w:style>
  <w:style w:type="paragraph" w:styleId="HTML">
    <w:name w:val="HTML Preformatted"/>
    <w:basedOn w:val="a6"/>
    <w:link w:val="HTML0"/>
    <w:uiPriority w:val="99"/>
    <w:semiHidden/>
    <w:unhideWhenUsed/>
    <w:rsid w:val="00372B9B"/>
    <w:rPr>
      <w:rFonts w:ascii="Courier New" w:hAnsi="Courier New" w:cs="Courier New"/>
      <w:sz w:val="20"/>
    </w:rPr>
  </w:style>
  <w:style w:type="character" w:customStyle="1" w:styleId="HTML0">
    <w:name w:val="HTML 預設格式 字元"/>
    <w:basedOn w:val="a7"/>
    <w:link w:val="HTML"/>
    <w:uiPriority w:val="99"/>
    <w:semiHidden/>
    <w:rsid w:val="00372B9B"/>
    <w:rPr>
      <w:rFonts w:ascii="Courier New" w:eastAsia="標楷體" w:hAnsi="Courier New" w:cs="Courier New"/>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894269">
      <w:bodyDiv w:val="1"/>
      <w:marLeft w:val="0"/>
      <w:marRight w:val="0"/>
      <w:marTop w:val="0"/>
      <w:marBottom w:val="0"/>
      <w:divBdr>
        <w:top w:val="none" w:sz="0" w:space="0" w:color="auto"/>
        <w:left w:val="none" w:sz="0" w:space="0" w:color="auto"/>
        <w:bottom w:val="none" w:sz="0" w:space="0" w:color="auto"/>
        <w:right w:val="none" w:sz="0" w:space="0" w:color="auto"/>
      </w:divBdr>
    </w:div>
    <w:div w:id="327177727">
      <w:bodyDiv w:val="1"/>
      <w:marLeft w:val="0"/>
      <w:marRight w:val="0"/>
      <w:marTop w:val="0"/>
      <w:marBottom w:val="0"/>
      <w:divBdr>
        <w:top w:val="none" w:sz="0" w:space="0" w:color="auto"/>
        <w:left w:val="none" w:sz="0" w:space="0" w:color="auto"/>
        <w:bottom w:val="none" w:sz="0" w:space="0" w:color="auto"/>
        <w:right w:val="none" w:sz="0" w:space="0" w:color="auto"/>
      </w:divBdr>
    </w:div>
    <w:div w:id="418411656">
      <w:bodyDiv w:val="1"/>
      <w:marLeft w:val="0"/>
      <w:marRight w:val="0"/>
      <w:marTop w:val="0"/>
      <w:marBottom w:val="0"/>
      <w:divBdr>
        <w:top w:val="none" w:sz="0" w:space="0" w:color="auto"/>
        <w:left w:val="none" w:sz="0" w:space="0" w:color="auto"/>
        <w:bottom w:val="none" w:sz="0" w:space="0" w:color="auto"/>
        <w:right w:val="none" w:sz="0" w:space="0" w:color="auto"/>
      </w:divBdr>
    </w:div>
    <w:div w:id="614410471">
      <w:bodyDiv w:val="1"/>
      <w:marLeft w:val="0"/>
      <w:marRight w:val="0"/>
      <w:marTop w:val="0"/>
      <w:marBottom w:val="0"/>
      <w:divBdr>
        <w:top w:val="none" w:sz="0" w:space="0" w:color="auto"/>
        <w:left w:val="none" w:sz="0" w:space="0" w:color="auto"/>
        <w:bottom w:val="none" w:sz="0" w:space="0" w:color="auto"/>
        <w:right w:val="none" w:sz="0" w:space="0" w:color="auto"/>
      </w:divBdr>
    </w:div>
    <w:div w:id="783812644">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40125396">
      <w:bodyDiv w:val="1"/>
      <w:marLeft w:val="0"/>
      <w:marRight w:val="0"/>
      <w:marTop w:val="0"/>
      <w:marBottom w:val="0"/>
      <w:divBdr>
        <w:top w:val="none" w:sz="0" w:space="0" w:color="auto"/>
        <w:left w:val="none" w:sz="0" w:space="0" w:color="auto"/>
        <w:bottom w:val="none" w:sz="0" w:space="0" w:color="auto"/>
        <w:right w:val="none" w:sz="0" w:space="0" w:color="auto"/>
      </w:divBdr>
    </w:div>
    <w:div w:id="841890008">
      <w:bodyDiv w:val="1"/>
      <w:marLeft w:val="0"/>
      <w:marRight w:val="0"/>
      <w:marTop w:val="0"/>
      <w:marBottom w:val="0"/>
      <w:divBdr>
        <w:top w:val="none" w:sz="0" w:space="0" w:color="auto"/>
        <w:left w:val="none" w:sz="0" w:space="0" w:color="auto"/>
        <w:bottom w:val="none" w:sz="0" w:space="0" w:color="auto"/>
        <w:right w:val="none" w:sz="0" w:space="0" w:color="auto"/>
      </w:divBdr>
    </w:div>
    <w:div w:id="854879631">
      <w:bodyDiv w:val="1"/>
      <w:marLeft w:val="0"/>
      <w:marRight w:val="0"/>
      <w:marTop w:val="0"/>
      <w:marBottom w:val="0"/>
      <w:divBdr>
        <w:top w:val="none" w:sz="0" w:space="0" w:color="auto"/>
        <w:left w:val="none" w:sz="0" w:space="0" w:color="auto"/>
        <w:bottom w:val="none" w:sz="0" w:space="0" w:color="auto"/>
        <w:right w:val="none" w:sz="0" w:space="0" w:color="auto"/>
      </w:divBdr>
    </w:div>
    <w:div w:id="876964609">
      <w:bodyDiv w:val="1"/>
      <w:marLeft w:val="0"/>
      <w:marRight w:val="0"/>
      <w:marTop w:val="0"/>
      <w:marBottom w:val="0"/>
      <w:divBdr>
        <w:top w:val="none" w:sz="0" w:space="0" w:color="auto"/>
        <w:left w:val="none" w:sz="0" w:space="0" w:color="auto"/>
        <w:bottom w:val="none" w:sz="0" w:space="0" w:color="auto"/>
        <w:right w:val="none" w:sz="0" w:space="0" w:color="auto"/>
      </w:divBdr>
    </w:div>
    <w:div w:id="892348637">
      <w:bodyDiv w:val="1"/>
      <w:marLeft w:val="0"/>
      <w:marRight w:val="0"/>
      <w:marTop w:val="0"/>
      <w:marBottom w:val="0"/>
      <w:divBdr>
        <w:top w:val="none" w:sz="0" w:space="0" w:color="auto"/>
        <w:left w:val="none" w:sz="0" w:space="0" w:color="auto"/>
        <w:bottom w:val="none" w:sz="0" w:space="0" w:color="auto"/>
        <w:right w:val="none" w:sz="0" w:space="0" w:color="auto"/>
      </w:divBdr>
    </w:div>
    <w:div w:id="966544786">
      <w:bodyDiv w:val="1"/>
      <w:marLeft w:val="0"/>
      <w:marRight w:val="0"/>
      <w:marTop w:val="0"/>
      <w:marBottom w:val="0"/>
      <w:divBdr>
        <w:top w:val="none" w:sz="0" w:space="0" w:color="auto"/>
        <w:left w:val="none" w:sz="0" w:space="0" w:color="auto"/>
        <w:bottom w:val="none" w:sz="0" w:space="0" w:color="auto"/>
        <w:right w:val="none" w:sz="0" w:space="0" w:color="auto"/>
      </w:divBdr>
    </w:div>
    <w:div w:id="1231500115">
      <w:bodyDiv w:val="1"/>
      <w:marLeft w:val="0"/>
      <w:marRight w:val="0"/>
      <w:marTop w:val="0"/>
      <w:marBottom w:val="0"/>
      <w:divBdr>
        <w:top w:val="none" w:sz="0" w:space="0" w:color="auto"/>
        <w:left w:val="none" w:sz="0" w:space="0" w:color="auto"/>
        <w:bottom w:val="none" w:sz="0" w:space="0" w:color="auto"/>
        <w:right w:val="none" w:sz="0" w:space="0" w:color="auto"/>
      </w:divBdr>
    </w:div>
    <w:div w:id="1247416843">
      <w:bodyDiv w:val="1"/>
      <w:marLeft w:val="0"/>
      <w:marRight w:val="0"/>
      <w:marTop w:val="0"/>
      <w:marBottom w:val="0"/>
      <w:divBdr>
        <w:top w:val="none" w:sz="0" w:space="0" w:color="auto"/>
        <w:left w:val="none" w:sz="0" w:space="0" w:color="auto"/>
        <w:bottom w:val="none" w:sz="0" w:space="0" w:color="auto"/>
        <w:right w:val="none" w:sz="0" w:space="0" w:color="auto"/>
      </w:divBdr>
    </w:div>
    <w:div w:id="1338532306">
      <w:bodyDiv w:val="1"/>
      <w:marLeft w:val="0"/>
      <w:marRight w:val="0"/>
      <w:marTop w:val="0"/>
      <w:marBottom w:val="0"/>
      <w:divBdr>
        <w:top w:val="none" w:sz="0" w:space="0" w:color="auto"/>
        <w:left w:val="none" w:sz="0" w:space="0" w:color="auto"/>
        <w:bottom w:val="none" w:sz="0" w:space="0" w:color="auto"/>
        <w:right w:val="none" w:sz="0" w:space="0" w:color="auto"/>
      </w:divBdr>
    </w:div>
    <w:div w:id="1363507665">
      <w:bodyDiv w:val="1"/>
      <w:marLeft w:val="0"/>
      <w:marRight w:val="0"/>
      <w:marTop w:val="0"/>
      <w:marBottom w:val="0"/>
      <w:divBdr>
        <w:top w:val="none" w:sz="0" w:space="0" w:color="auto"/>
        <w:left w:val="none" w:sz="0" w:space="0" w:color="auto"/>
        <w:bottom w:val="none" w:sz="0" w:space="0" w:color="auto"/>
        <w:right w:val="none" w:sz="0" w:space="0" w:color="auto"/>
      </w:divBdr>
    </w:div>
    <w:div w:id="1665618941">
      <w:bodyDiv w:val="1"/>
      <w:marLeft w:val="0"/>
      <w:marRight w:val="0"/>
      <w:marTop w:val="0"/>
      <w:marBottom w:val="0"/>
      <w:divBdr>
        <w:top w:val="none" w:sz="0" w:space="0" w:color="auto"/>
        <w:left w:val="none" w:sz="0" w:space="0" w:color="auto"/>
        <w:bottom w:val="none" w:sz="0" w:space="0" w:color="auto"/>
        <w:right w:val="none" w:sz="0" w:space="0" w:color="auto"/>
      </w:divBdr>
    </w:div>
    <w:div w:id="1688824886">
      <w:bodyDiv w:val="1"/>
      <w:marLeft w:val="0"/>
      <w:marRight w:val="0"/>
      <w:marTop w:val="0"/>
      <w:marBottom w:val="0"/>
      <w:divBdr>
        <w:top w:val="none" w:sz="0" w:space="0" w:color="auto"/>
        <w:left w:val="none" w:sz="0" w:space="0" w:color="auto"/>
        <w:bottom w:val="none" w:sz="0" w:space="0" w:color="auto"/>
        <w:right w:val="none" w:sz="0" w:space="0" w:color="auto"/>
      </w:divBdr>
    </w:div>
    <w:div w:id="1773932315">
      <w:bodyDiv w:val="1"/>
      <w:marLeft w:val="0"/>
      <w:marRight w:val="0"/>
      <w:marTop w:val="0"/>
      <w:marBottom w:val="0"/>
      <w:divBdr>
        <w:top w:val="none" w:sz="0" w:space="0" w:color="auto"/>
        <w:left w:val="none" w:sz="0" w:space="0" w:color="auto"/>
        <w:bottom w:val="none" w:sz="0" w:space="0" w:color="auto"/>
        <w:right w:val="none" w:sz="0" w:space="0" w:color="auto"/>
      </w:divBdr>
    </w:div>
    <w:div w:id="1932815824">
      <w:bodyDiv w:val="1"/>
      <w:marLeft w:val="0"/>
      <w:marRight w:val="0"/>
      <w:marTop w:val="0"/>
      <w:marBottom w:val="0"/>
      <w:divBdr>
        <w:top w:val="none" w:sz="0" w:space="0" w:color="auto"/>
        <w:left w:val="none" w:sz="0" w:space="0" w:color="auto"/>
        <w:bottom w:val="none" w:sz="0" w:space="0" w:color="auto"/>
        <w:right w:val="none" w:sz="0" w:space="0" w:color="auto"/>
      </w:divBdr>
    </w:div>
    <w:div w:id="1943804392">
      <w:bodyDiv w:val="1"/>
      <w:marLeft w:val="0"/>
      <w:marRight w:val="0"/>
      <w:marTop w:val="0"/>
      <w:marBottom w:val="0"/>
      <w:divBdr>
        <w:top w:val="none" w:sz="0" w:space="0" w:color="auto"/>
        <w:left w:val="none" w:sz="0" w:space="0" w:color="auto"/>
        <w:bottom w:val="none" w:sz="0" w:space="0" w:color="auto"/>
        <w:right w:val="none" w:sz="0" w:space="0" w:color="auto"/>
      </w:divBdr>
    </w:div>
    <w:div w:id="2045863815">
      <w:bodyDiv w:val="1"/>
      <w:marLeft w:val="0"/>
      <w:marRight w:val="0"/>
      <w:marTop w:val="0"/>
      <w:marBottom w:val="0"/>
      <w:divBdr>
        <w:top w:val="none" w:sz="0" w:space="0" w:color="auto"/>
        <w:left w:val="none" w:sz="0" w:space="0" w:color="auto"/>
        <w:bottom w:val="none" w:sz="0" w:space="0" w:color="auto"/>
        <w:right w:val="none" w:sz="0" w:space="0" w:color="auto"/>
      </w:divBdr>
    </w:div>
    <w:div w:id="2072538489">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39F59-819F-477D-AF18-B6C65FA89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15</Pages>
  <Words>1281</Words>
  <Characters>7305</Characters>
  <Application>Microsoft Office Word</Application>
  <DocSecurity>0</DocSecurity>
  <Lines>60</Lines>
  <Paragraphs>17</Paragraphs>
  <ScaleCrop>false</ScaleCrop>
  <Company>cy</Company>
  <LinksUpToDate>false</LinksUpToDate>
  <CharactersWithSpaces>8569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賴淑玲</cp:lastModifiedBy>
  <cp:revision>2</cp:revision>
  <cp:lastPrinted>2020-07-29T03:17:00Z</cp:lastPrinted>
  <dcterms:created xsi:type="dcterms:W3CDTF">2020-07-30T03:23:00Z</dcterms:created>
  <dcterms:modified xsi:type="dcterms:W3CDTF">2020-07-30T03:23:00Z</dcterms:modified>
</cp:coreProperties>
</file>