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D2653" w14:textId="5BCFB536" w:rsidR="00D75644" w:rsidRPr="004D141F" w:rsidRDefault="00D75644" w:rsidP="00F37D7B">
      <w:pPr>
        <w:pStyle w:val="af2"/>
      </w:pPr>
      <w:r w:rsidRPr="004D141F">
        <w:rPr>
          <w:rFonts w:hint="eastAsia"/>
        </w:rPr>
        <w:t>調查報告</w:t>
      </w:r>
    </w:p>
    <w:p w14:paraId="0FE2B73C" w14:textId="1D02B5D6" w:rsidR="00E25849" w:rsidRDefault="00E25849" w:rsidP="00DA0D3E">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A0D3E" w:rsidRPr="00DA0D3E">
        <w:rPr>
          <w:rFonts w:hint="eastAsia"/>
          <w:szCs w:val="32"/>
        </w:rPr>
        <w:t>據訴，為臺灣臺北地方檢察署偵辦105年度他字第1033號等，王令麟等人涉嫌背信等案件，將相關數案併由號股檢察官及車股檢察事務官辦理，違反分案規則，且偵查迄今逾3年10月，未曾傳喚被告及重要證人，對於聲請調查之證據，亦未予調查保全，並疑有違反偵查不公開原則等情。究檢察署辦理系爭案件有無違反分案規則？有無逾越辦案期限，遲未有所作為？對相關證據有無依法保全？偵查人員有無違反刑事訴訟法相關規定？事涉人民訴訟權利及司法威信，有深入瞭解之必要案。</w:t>
      </w:r>
    </w:p>
    <w:p w14:paraId="0F5A791C" w14:textId="2586D236"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1C13172B" w14:textId="77777777" w:rsidR="00AF20C2" w:rsidRDefault="00C63603" w:rsidP="00AF20C2">
      <w:pPr>
        <w:pStyle w:val="10"/>
        <w:ind w:left="680" w:firstLine="680"/>
      </w:pPr>
      <w:bookmarkStart w:id="49" w:name="_Toc524902730"/>
      <w:r>
        <w:rPr>
          <w:rFonts w:hint="eastAsia"/>
        </w:rPr>
        <w:t>有關「</w:t>
      </w:r>
      <w:r w:rsidR="003B2D52" w:rsidRPr="00DA0D3E">
        <w:rPr>
          <w:rFonts w:hint="eastAsia"/>
          <w:szCs w:val="32"/>
        </w:rPr>
        <w:t>據訴，為臺灣臺北地方檢察署偵辦105年度他字第1033號等，王令麟等人涉嫌背信等案件，將相關數案併由號股檢察官及車股檢察事務官辦理，違反分案規則，且偵查迄今逾3年10月，未曾傳喚被告及重要證人，對於聲請調查之證據，亦未予調查保全，並疑有違反偵查不公開原則等情。究檢察署辦理系爭案件有無違反分案規則？有無逾越辦案期限，遲未有所作為？對相關證據有無依法保全？偵查人員有無違反刑事訴訟法相關規定？事涉人民訴訟權利及司法威信，有深入瞭解之必要案</w:t>
      </w:r>
      <w:r>
        <w:rPr>
          <w:rFonts w:hint="eastAsia"/>
        </w:rPr>
        <w:t>」乙案，</w:t>
      </w:r>
      <w:r w:rsidRPr="00C559ED">
        <w:rPr>
          <w:rFonts w:hint="eastAsia"/>
        </w:rPr>
        <w:t>經本院分別於109年</w:t>
      </w:r>
      <w:r w:rsidR="003B2D52">
        <w:rPr>
          <w:rFonts w:hint="eastAsia"/>
        </w:rPr>
        <w:t>3</w:t>
      </w:r>
      <w:r w:rsidRPr="00C559ED">
        <w:rPr>
          <w:rFonts w:hint="eastAsia"/>
        </w:rPr>
        <w:t>月</w:t>
      </w:r>
      <w:r w:rsidR="003B2D52">
        <w:rPr>
          <w:rFonts w:hint="eastAsia"/>
        </w:rPr>
        <w:t>24</w:t>
      </w:r>
      <w:r w:rsidRPr="00C559ED">
        <w:rPr>
          <w:rFonts w:hint="eastAsia"/>
        </w:rPr>
        <w:t>日及109年</w:t>
      </w:r>
      <w:r w:rsidR="003B2D52">
        <w:rPr>
          <w:rFonts w:hint="eastAsia"/>
        </w:rPr>
        <w:t>5</w:t>
      </w:r>
      <w:r w:rsidRPr="00C559ED">
        <w:rPr>
          <w:rFonts w:hint="eastAsia"/>
        </w:rPr>
        <w:t>月</w:t>
      </w:r>
      <w:r w:rsidR="003B2D52">
        <w:rPr>
          <w:rFonts w:hint="eastAsia"/>
        </w:rPr>
        <w:t>11日向臺灣臺北地方檢察署（下稱臺北地檢署）</w:t>
      </w:r>
      <w:r w:rsidRPr="00C559ED">
        <w:rPr>
          <w:rFonts w:hint="eastAsia"/>
        </w:rPr>
        <w:t>調卷；</w:t>
      </w:r>
      <w:r w:rsidR="003B2D52" w:rsidRPr="003B2D52">
        <w:rPr>
          <w:rFonts w:hint="eastAsia"/>
        </w:rPr>
        <w:t>詢問法務部檢察司林司長錦村、連主任檢察官思藩、臺灣高等檢察署(下稱臺灣高檢署)黃主任檢察官柏齡、臺北地檢署陳主任檢察官玉萍、王主任檢察官鑫健等機關主管或相關人員，業已調查完竣</w:t>
      </w:r>
      <w:r w:rsidRPr="003D194A">
        <w:rPr>
          <w:rFonts w:hint="eastAsia"/>
          <w:bCs/>
        </w:rPr>
        <w:t>，</w:t>
      </w: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bookmarkEnd w:id="49"/>
      <w:r w:rsidR="00AF20C2">
        <w:rPr>
          <w:rFonts w:hint="eastAsia"/>
        </w:rPr>
        <w:t>茲臚</w:t>
      </w:r>
      <w:r w:rsidR="00AF20C2" w:rsidRPr="009C7FF2">
        <w:rPr>
          <w:rFonts w:hint="eastAsia"/>
        </w:rPr>
        <w:t>列調查意見如下：</w:t>
      </w:r>
    </w:p>
    <w:p w14:paraId="236C9933" w14:textId="77777777" w:rsidR="00AF20C2" w:rsidRPr="00072E0B" w:rsidRDefault="00AF20C2" w:rsidP="00AF20C2">
      <w:pPr>
        <w:pStyle w:val="2"/>
        <w:numPr>
          <w:ilvl w:val="1"/>
          <w:numId w:val="1"/>
        </w:numPr>
        <w:rPr>
          <w:b/>
          <w:bCs w:val="0"/>
        </w:rPr>
      </w:pPr>
      <w:r>
        <w:rPr>
          <w:rFonts w:hint="eastAsia"/>
          <w:b/>
          <w:bCs w:val="0"/>
        </w:rPr>
        <w:lastRenderedPageBreak/>
        <w:t>關於陳訴人陳訴本案告訴（發）後均由同一股檢察官</w:t>
      </w:r>
      <w:r w:rsidRPr="00AA3B37">
        <w:rPr>
          <w:rFonts w:hint="eastAsia"/>
          <w:b/>
          <w:bCs w:val="0"/>
        </w:rPr>
        <w:t>及檢察事務官承辦乙節，經查此部分實乃</w:t>
      </w:r>
      <w:r>
        <w:rPr>
          <w:rFonts w:hint="eastAsia"/>
          <w:b/>
          <w:bCs w:val="0"/>
        </w:rPr>
        <w:t>實定法及司法實務上</w:t>
      </w:r>
      <w:r w:rsidRPr="00AA3B37">
        <w:rPr>
          <w:rFonts w:hint="eastAsia"/>
          <w:b/>
          <w:bCs w:val="0"/>
        </w:rPr>
        <w:t>對於相牽連案件之定義</w:t>
      </w:r>
      <w:r>
        <w:rPr>
          <w:rFonts w:hint="eastAsia"/>
          <w:b/>
          <w:bCs w:val="0"/>
        </w:rPr>
        <w:t>甚廣，以</w:t>
      </w:r>
      <w:r w:rsidRPr="00AA3B37">
        <w:rPr>
          <w:rFonts w:hint="eastAsia"/>
          <w:b/>
          <w:bCs w:val="0"/>
        </w:rPr>
        <w:t>及各地</w:t>
      </w:r>
      <w:r>
        <w:rPr>
          <w:rFonts w:hint="eastAsia"/>
          <w:b/>
          <w:bCs w:val="0"/>
        </w:rPr>
        <w:t>方</w:t>
      </w:r>
      <w:r w:rsidRPr="00AA3B37">
        <w:rPr>
          <w:rFonts w:hint="eastAsia"/>
          <w:b/>
          <w:bCs w:val="0"/>
        </w:rPr>
        <w:t>檢</w:t>
      </w:r>
      <w:r>
        <w:rPr>
          <w:rFonts w:hint="eastAsia"/>
          <w:b/>
          <w:bCs w:val="0"/>
        </w:rPr>
        <w:t>察</w:t>
      </w:r>
      <w:r w:rsidRPr="00AA3B37">
        <w:rPr>
          <w:rFonts w:hint="eastAsia"/>
          <w:b/>
          <w:bCs w:val="0"/>
        </w:rPr>
        <w:t>署分案</w:t>
      </w:r>
      <w:r>
        <w:rPr>
          <w:rFonts w:hint="eastAsia"/>
          <w:b/>
          <w:bCs w:val="0"/>
        </w:rPr>
        <w:t>要點所形成之結果，尚無陳</w:t>
      </w:r>
      <w:r w:rsidRPr="00AA3B37">
        <w:rPr>
          <w:rFonts w:hint="eastAsia"/>
          <w:b/>
          <w:bCs w:val="0"/>
        </w:rPr>
        <w:t>訴人所指臺北地檢署</w:t>
      </w:r>
      <w:r>
        <w:rPr>
          <w:rFonts w:hint="eastAsia"/>
          <w:b/>
          <w:bCs w:val="0"/>
        </w:rPr>
        <w:t>偵辦王令麟等人案件有</w:t>
      </w:r>
      <w:r w:rsidRPr="00AA3B37">
        <w:rPr>
          <w:rFonts w:hint="eastAsia"/>
          <w:b/>
          <w:bCs w:val="0"/>
        </w:rPr>
        <w:t>違反法務部所頒布「檢察案件編號計數分案報結實施要點」第22、第23點之</w:t>
      </w:r>
      <w:r>
        <w:rPr>
          <w:rFonts w:hint="eastAsia"/>
          <w:b/>
          <w:bCs w:val="0"/>
        </w:rPr>
        <w:t>違失</w:t>
      </w:r>
      <w:r w:rsidRPr="00AA3B37">
        <w:rPr>
          <w:rFonts w:hint="eastAsia"/>
          <w:b/>
          <w:bCs w:val="0"/>
        </w:rPr>
        <w:t>情事。</w:t>
      </w:r>
      <w:bookmarkStart w:id="74" w:name="_Hlk46105592"/>
      <w:r w:rsidRPr="00AA3B37">
        <w:rPr>
          <w:rFonts w:hint="eastAsia"/>
          <w:b/>
          <w:bCs w:val="0"/>
        </w:rPr>
        <w:t>惟地檢署偵查實務固有追求訴訟經濟、避免偵查結果兩歧之正當目的，然訴訟</w:t>
      </w:r>
      <w:r>
        <w:rPr>
          <w:rFonts w:hint="eastAsia"/>
          <w:b/>
          <w:bCs w:val="0"/>
        </w:rPr>
        <w:t>案件偵查、審判之過程</w:t>
      </w:r>
      <w:r w:rsidRPr="00AA3B37">
        <w:rPr>
          <w:rFonts w:hint="eastAsia"/>
          <w:b/>
          <w:bCs w:val="0"/>
        </w:rPr>
        <w:t>迫切攸關</w:t>
      </w:r>
      <w:r>
        <w:rPr>
          <w:rFonts w:hint="eastAsia"/>
          <w:b/>
          <w:bCs w:val="0"/>
        </w:rPr>
        <w:t>訴訟關係人等</w:t>
      </w:r>
      <w:r w:rsidRPr="00AA3B37">
        <w:rPr>
          <w:rFonts w:hint="eastAsia"/>
          <w:b/>
          <w:bCs w:val="0"/>
        </w:rPr>
        <w:t>之權益，</w:t>
      </w:r>
      <w:r>
        <w:rPr>
          <w:rFonts w:hint="eastAsia"/>
          <w:b/>
          <w:bCs w:val="0"/>
        </w:rPr>
        <w:t>既現行</w:t>
      </w:r>
      <w:r w:rsidRPr="00AC62F0">
        <w:rPr>
          <w:rFonts w:hint="eastAsia"/>
          <w:b/>
          <w:bCs w:val="0"/>
        </w:rPr>
        <w:t>實務之運作</w:t>
      </w:r>
      <w:r>
        <w:rPr>
          <w:rFonts w:hint="eastAsia"/>
          <w:b/>
          <w:bCs w:val="0"/>
        </w:rPr>
        <w:t>方式，相牽連案件原則</w:t>
      </w:r>
      <w:r w:rsidRPr="00AC62F0">
        <w:rPr>
          <w:rFonts w:hint="eastAsia"/>
          <w:b/>
          <w:bCs w:val="0"/>
        </w:rPr>
        <w:t>皆由同一承辦股檢察官處理</w:t>
      </w:r>
      <w:r>
        <w:rPr>
          <w:rFonts w:hint="eastAsia"/>
          <w:b/>
          <w:bCs w:val="0"/>
        </w:rPr>
        <w:t>在先</w:t>
      </w:r>
      <w:r w:rsidRPr="00AC62F0">
        <w:rPr>
          <w:rFonts w:hint="eastAsia"/>
          <w:b/>
          <w:bCs w:val="0"/>
        </w:rPr>
        <w:t>，</w:t>
      </w:r>
      <w:r>
        <w:rPr>
          <w:rFonts w:hint="eastAsia"/>
          <w:b/>
          <w:bCs w:val="0"/>
        </w:rPr>
        <w:t>若</w:t>
      </w:r>
      <w:r w:rsidRPr="00AC62F0">
        <w:rPr>
          <w:rFonts w:hint="eastAsia"/>
          <w:b/>
          <w:bCs w:val="0"/>
        </w:rPr>
        <w:t>再透過檢察實務上將案子分由</w:t>
      </w:r>
      <w:r>
        <w:rPr>
          <w:rFonts w:hint="eastAsia"/>
          <w:b/>
          <w:bCs w:val="0"/>
        </w:rPr>
        <w:t>專責</w:t>
      </w:r>
      <w:r w:rsidRPr="00AC62F0">
        <w:rPr>
          <w:rFonts w:hint="eastAsia"/>
          <w:b/>
          <w:bCs w:val="0"/>
        </w:rPr>
        <w:t>檢察事務官協助檢察官處理</w:t>
      </w:r>
      <w:r>
        <w:rPr>
          <w:rFonts w:hint="eastAsia"/>
          <w:b/>
          <w:bCs w:val="0"/>
        </w:rPr>
        <w:t>在後，除造成特定專責</w:t>
      </w:r>
      <w:r w:rsidRPr="00AC62F0">
        <w:rPr>
          <w:rFonts w:hint="eastAsia"/>
          <w:b/>
          <w:bCs w:val="0"/>
        </w:rPr>
        <w:t>檢察事務官承辦案件量巨大、複雜外，亦</w:t>
      </w:r>
      <w:r>
        <w:rPr>
          <w:rFonts w:hint="eastAsia"/>
          <w:b/>
          <w:bCs w:val="0"/>
        </w:rPr>
        <w:t>可能</w:t>
      </w:r>
      <w:r w:rsidRPr="00AC62F0">
        <w:rPr>
          <w:rFonts w:hint="eastAsia"/>
          <w:b/>
          <w:bCs w:val="0"/>
        </w:rPr>
        <w:t>造成</w:t>
      </w:r>
      <w:r>
        <w:rPr>
          <w:rFonts w:hint="eastAsia"/>
          <w:b/>
          <w:bCs w:val="0"/>
        </w:rPr>
        <w:t>訴訟關係人在</w:t>
      </w:r>
      <w:r w:rsidRPr="00AC62F0">
        <w:rPr>
          <w:rFonts w:hint="eastAsia"/>
          <w:b/>
          <w:bCs w:val="0"/>
        </w:rPr>
        <w:t>諸多案件</w:t>
      </w:r>
      <w:r>
        <w:rPr>
          <w:rFonts w:hint="eastAsia"/>
          <w:b/>
          <w:bCs w:val="0"/>
        </w:rPr>
        <w:t>中均面對同一專責檢察事務官持續處理。再加上本案檢察官調動之因素，乃致本案陳訴人指陳歷任檢察官開庭次數不多，反大部分均由檢察事務官開庭，除每一件案子能獲得熟悉案情之</w:t>
      </w:r>
      <w:r w:rsidRPr="00AC62F0">
        <w:rPr>
          <w:rFonts w:hint="eastAsia"/>
          <w:b/>
          <w:bCs w:val="0"/>
        </w:rPr>
        <w:t>檢察官實質訊問</w:t>
      </w:r>
      <w:r>
        <w:rPr>
          <w:rFonts w:hint="eastAsia"/>
          <w:b/>
          <w:bCs w:val="0"/>
        </w:rPr>
        <w:t>機會自受</w:t>
      </w:r>
      <w:r w:rsidRPr="00AC62F0">
        <w:rPr>
          <w:rFonts w:hint="eastAsia"/>
          <w:b/>
          <w:bCs w:val="0"/>
        </w:rPr>
        <w:t>壓縮</w:t>
      </w:r>
      <w:r>
        <w:rPr>
          <w:rFonts w:hint="eastAsia"/>
          <w:b/>
          <w:bCs w:val="0"/>
        </w:rPr>
        <w:t>減少</w:t>
      </w:r>
      <w:r w:rsidRPr="00AC62F0">
        <w:rPr>
          <w:rFonts w:hint="eastAsia"/>
          <w:b/>
          <w:bCs w:val="0"/>
        </w:rPr>
        <w:t>，</w:t>
      </w:r>
      <w:r>
        <w:rPr>
          <w:rFonts w:hint="eastAsia"/>
          <w:b/>
          <w:bCs w:val="0"/>
        </w:rPr>
        <w:t>陳訴人亦因常見不到檢察官，輕則認未受偵查主體重視，致陳訴質疑司法之公正</w:t>
      </w:r>
      <w:r w:rsidRPr="00AC62F0">
        <w:rPr>
          <w:rFonts w:hint="eastAsia"/>
          <w:b/>
          <w:bCs w:val="0"/>
        </w:rPr>
        <w:t>，</w:t>
      </w:r>
      <w:r>
        <w:rPr>
          <w:rFonts w:hint="eastAsia"/>
          <w:b/>
          <w:bCs w:val="0"/>
        </w:rPr>
        <w:t>重則認同一訴訟案件分由同一股辦理，卻遭該股檢察事務官主導指揮偵查專權擅斷之抨擊，不啻對辛勞辦案之專責檢察事務官及接替之後手檢察官不公，臺北地檢署對本案之處理方式允宜</w:t>
      </w:r>
      <w:r w:rsidRPr="00AC62F0">
        <w:rPr>
          <w:rFonts w:hint="eastAsia"/>
          <w:b/>
          <w:bCs w:val="0"/>
        </w:rPr>
        <w:t>有改進</w:t>
      </w:r>
      <w:r>
        <w:rPr>
          <w:rFonts w:hint="eastAsia"/>
          <w:b/>
          <w:bCs w:val="0"/>
        </w:rPr>
        <w:t>之空間，俾維護陳訴人乃至於國人對司法之</w:t>
      </w:r>
      <w:r w:rsidRPr="00AA3B37">
        <w:rPr>
          <w:rFonts w:hint="eastAsia"/>
          <w:b/>
          <w:bCs w:val="0"/>
        </w:rPr>
        <w:t>信賴。</w:t>
      </w:r>
    </w:p>
    <w:bookmarkEnd w:id="74"/>
    <w:p w14:paraId="183E056F" w14:textId="77777777" w:rsidR="00AF20C2" w:rsidRDefault="00AF20C2" w:rsidP="00AF20C2">
      <w:pPr>
        <w:pStyle w:val="3"/>
        <w:numPr>
          <w:ilvl w:val="2"/>
          <w:numId w:val="1"/>
        </w:numPr>
      </w:pPr>
      <w:r w:rsidRPr="00A27ED7">
        <w:rPr>
          <w:rFonts w:hint="eastAsia"/>
        </w:rPr>
        <w:t>按</w:t>
      </w:r>
      <w:r>
        <w:rPr>
          <w:rFonts w:hint="eastAsia"/>
        </w:rPr>
        <w:t>刑事訴訟法第6條規定：「（第1項)數同級法院管轄之案件相牽連者，得合併由其中一法院管轄。</w:t>
      </w:r>
      <w:r w:rsidRPr="00566D30">
        <w:rPr>
          <w:rFonts w:hint="eastAsia"/>
        </w:rPr>
        <w:t>（第</w:t>
      </w:r>
      <w:r>
        <w:rPr>
          <w:rFonts w:hint="eastAsia"/>
        </w:rPr>
        <w:t>2</w:t>
      </w:r>
      <w:r w:rsidRPr="00566D30">
        <w:rPr>
          <w:rFonts w:hint="eastAsia"/>
        </w:rPr>
        <w:t xml:space="preserve">項) </w:t>
      </w:r>
      <w:r>
        <w:rPr>
          <w:rFonts w:hint="eastAsia"/>
        </w:rPr>
        <w:t>前項情形，如各案件已繫屬於數法院者，經各該法院之同意，得以裁定將其案件移送於一法院合併審判之；有不同意者，由共同之直接上級法院裁定之。</w:t>
      </w:r>
      <w:r w:rsidRPr="00566D30">
        <w:rPr>
          <w:rFonts w:hint="eastAsia"/>
        </w:rPr>
        <w:t>（第</w:t>
      </w:r>
      <w:r>
        <w:rPr>
          <w:rFonts w:hint="eastAsia"/>
        </w:rPr>
        <w:t>3</w:t>
      </w:r>
      <w:r w:rsidRPr="00566D30">
        <w:rPr>
          <w:rFonts w:hint="eastAsia"/>
        </w:rPr>
        <w:t xml:space="preserve">項) </w:t>
      </w:r>
      <w:r>
        <w:rPr>
          <w:rFonts w:hint="eastAsia"/>
        </w:rPr>
        <w:t>不同級法院管轄之案件相牽連者，</w:t>
      </w:r>
      <w:r>
        <w:rPr>
          <w:rFonts w:hint="eastAsia"/>
        </w:rPr>
        <w:lastRenderedPageBreak/>
        <w:t>得合併由其上級法院管轄。已繫屬於下級法院者，其上級法院得以裁定命其移送上級法院合併審判。但第七條第三款之情形，不在此限。」、第7條規定：</w:t>
      </w:r>
      <w:r w:rsidRPr="00A27ED7">
        <w:rPr>
          <w:rFonts w:hint="eastAsia"/>
        </w:rPr>
        <w:t>「有左列情形之一者，為相牽連之案件：一、一人犯數罪者。二、數人共犯一罪或數罪者。三、數人同時在同一處所各別犯罪者。四、犯與本罪有關係之藏匿人犯、湮滅證據、偽證、贓物各罪者。」</w:t>
      </w:r>
      <w:r>
        <w:rPr>
          <w:rFonts w:hint="eastAsia"/>
        </w:rPr>
        <w:t>、第15條規定：</w:t>
      </w:r>
      <w:r w:rsidRPr="00A27ED7">
        <w:rPr>
          <w:rFonts w:hint="eastAsia"/>
        </w:rPr>
        <w:t>「第六條所規定之案件，得由一檢察官合併偵查或合併起訴；如該管他檢察官有不同意者，由共同之直接上級檢察署檢察長或檢察總長命令之。」</w:t>
      </w:r>
      <w:r>
        <w:rPr>
          <w:rFonts w:hint="eastAsia"/>
        </w:rPr>
        <w:t>。</w:t>
      </w:r>
    </w:p>
    <w:p w14:paraId="1E6326E1" w14:textId="77777777" w:rsidR="00AF20C2" w:rsidRDefault="00AF20C2" w:rsidP="00AF20C2">
      <w:pPr>
        <w:pStyle w:val="3"/>
        <w:numPr>
          <w:ilvl w:val="2"/>
          <w:numId w:val="1"/>
        </w:numPr>
      </w:pPr>
      <w:r>
        <w:rPr>
          <w:rFonts w:hint="eastAsia"/>
        </w:rPr>
        <w:t>次按檢察案件編號計數分案報結實施要點第1點規定：「刑事偵查、執行案件、檢察官參與民事與非訟事係及其他事件之編號、計算、分案及報結，除法令另有規定外，依本實施要點之規定。」、第20點規定：</w:t>
      </w:r>
      <w:r w:rsidRPr="00A4492E">
        <w:rPr>
          <w:rFonts w:hint="eastAsia"/>
        </w:rPr>
        <w:t>「</w:t>
      </w:r>
      <w:r w:rsidRPr="006F72F2">
        <w:rPr>
          <w:rFonts w:hint="eastAsia"/>
          <w:b/>
          <w:bCs w:val="0"/>
        </w:rPr>
        <w:t>刑事牽連案件，合併偵查者應僅立一卷宗號數，其已分別分案者，後案應併前案辦理，並用原各卷宗號數。</w:t>
      </w:r>
      <w:r w:rsidRPr="00A4492E">
        <w:rPr>
          <w:rFonts w:hint="eastAsia"/>
        </w:rPr>
        <w:t>」</w:t>
      </w:r>
      <w:r>
        <w:rPr>
          <w:rFonts w:hint="eastAsia"/>
        </w:rPr>
        <w:t>、第22點規定：</w:t>
      </w:r>
      <w:r w:rsidRPr="00A4492E">
        <w:rPr>
          <w:rFonts w:hint="eastAsia"/>
        </w:rPr>
        <w:t>「檢察官辦理案件，除檢察長指定人員辦理者外，按收案順序輪分或抽籤定之，如檢察長指定人員辦理者，應以書面附理由為之，並附於卷內或另卷保存。」</w:t>
      </w:r>
      <w:r>
        <w:rPr>
          <w:rFonts w:hint="eastAsia"/>
        </w:rPr>
        <w:t>、第23點規定：</w:t>
      </w:r>
      <w:r w:rsidRPr="00A4492E">
        <w:rPr>
          <w:rFonts w:hint="eastAsia"/>
        </w:rPr>
        <w:t>「檢察長或主任檢察官應注意查核承辦收案、分案人員有無按照收案先後次序，將案件全部納入分案簿。」</w:t>
      </w:r>
      <w:r>
        <w:rPr>
          <w:rFonts w:hint="eastAsia"/>
        </w:rPr>
        <w:t>。</w:t>
      </w:r>
    </w:p>
    <w:p w14:paraId="5CD73804" w14:textId="77777777" w:rsidR="00AF20C2" w:rsidRDefault="00AF20C2" w:rsidP="00AF20C2">
      <w:pPr>
        <w:pStyle w:val="3"/>
        <w:numPr>
          <w:ilvl w:val="2"/>
          <w:numId w:val="1"/>
        </w:numPr>
      </w:pPr>
      <w:r>
        <w:rPr>
          <w:rFonts w:hint="eastAsia"/>
        </w:rPr>
        <w:t>復按臺北地檢署偵查案件分案報結及檢察官輪值輪調要點第19點規定：「案件依收案次序編號輪分，但檢察長指分案件、牽連案件及屬專組案件，不在此限。」、第</w:t>
      </w:r>
      <w:r>
        <w:t>22</w:t>
      </w:r>
      <w:r>
        <w:rPr>
          <w:rFonts w:hint="eastAsia"/>
        </w:rPr>
        <w:t>點規定：「</w:t>
      </w:r>
      <w:r w:rsidRPr="00AD11FA">
        <w:rPr>
          <w:rFonts w:hint="eastAsia"/>
          <w:b/>
        </w:rPr>
        <w:t>一人犯數罪，其中一罪屬專組者，由專組辦理</w:t>
      </w:r>
      <w:r>
        <w:rPr>
          <w:rFonts w:hint="eastAsia"/>
        </w:rPr>
        <w:t>。若二罪以上分屬不同專組者，由罪名較重之專組辦理；如罪責相當而無法協調</w:t>
      </w:r>
      <w:r>
        <w:rPr>
          <w:rFonts w:hint="eastAsia"/>
        </w:rPr>
        <w:lastRenderedPageBreak/>
        <w:t>者，簽請檢察長指定。」、第23點規定：「（第1項）</w:t>
      </w:r>
      <w:r w:rsidRPr="00AD11FA">
        <w:rPr>
          <w:rFonts w:hint="eastAsia"/>
          <w:b/>
        </w:rPr>
        <w:t>分案前應先查閱該案被告是否有前案未結或是否屬專組案件，如有前案未結或暫結者 ，分由該股承辦。</w:t>
      </w:r>
      <w:r>
        <w:rPr>
          <w:rFonts w:hint="eastAsia"/>
        </w:rPr>
        <w:t>但屬專組案件者，除經檢察長指分外，由專組輪分。（第2項）毒偵案件由全署檢察官輪分，不適用前項規定。（第3項）本要點所稱結案，係以分案時列印前科表上記載之資料為準。」、第</w:t>
      </w:r>
      <w:r>
        <w:t>24</w:t>
      </w:r>
      <w:r>
        <w:rPr>
          <w:rFonts w:hint="eastAsia"/>
        </w:rPr>
        <w:t>點規定：「</w:t>
      </w:r>
      <w:r w:rsidRPr="00AD11FA">
        <w:rPr>
          <w:rFonts w:hint="eastAsia"/>
          <w:b/>
        </w:rPr>
        <w:t>刑事訴訟法第七條相牽連之案件，應合併偵査，分同一股偵辦</w:t>
      </w:r>
      <w:r>
        <w:rPr>
          <w:rFonts w:hint="eastAsia"/>
        </w:rPr>
        <w:t>。案已分別繋屬而均未結案者，</w:t>
      </w:r>
      <w:r w:rsidRPr="00AD11FA">
        <w:rPr>
          <w:rFonts w:hint="eastAsia"/>
          <w:b/>
        </w:rPr>
        <w:t>後案應併前案辦理</w:t>
      </w:r>
      <w:r>
        <w:rPr>
          <w:rFonts w:hint="eastAsia"/>
        </w:rPr>
        <w:t>，但前案為『他』案，後案為『偵』案者，</w:t>
      </w:r>
      <w:r w:rsidRPr="00AD11FA">
        <w:rPr>
          <w:rFonts w:hint="eastAsia"/>
          <w:b/>
        </w:rPr>
        <w:t>『他』案應簽併『偵』案辦理</w:t>
      </w:r>
      <w:r>
        <w:rPr>
          <w:rFonts w:hint="eastAsia"/>
        </w:rPr>
        <w:t>。」、第32點規定：「為求</w:t>
      </w:r>
      <w:r w:rsidRPr="00AD11FA">
        <w:rPr>
          <w:rFonts w:hint="eastAsia"/>
          <w:b/>
        </w:rPr>
        <w:t>訴訟經濟，及避免偵查結果兩歧</w:t>
      </w:r>
      <w:r>
        <w:rPr>
          <w:rFonts w:hint="eastAsia"/>
        </w:rPr>
        <w:t>，下列案件</w:t>
      </w:r>
      <w:r w:rsidRPr="00AD11FA">
        <w:rPr>
          <w:rFonts w:hint="eastAsia"/>
          <w:b/>
        </w:rPr>
        <w:t>分由同一股偵辦</w:t>
      </w:r>
      <w:r>
        <w:rPr>
          <w:rFonts w:hint="eastAsia"/>
        </w:rPr>
        <w:t xml:space="preserve">。但前案已結者，輪分: </w:t>
      </w:r>
      <w:r w:rsidRPr="00AD11FA">
        <w:rPr>
          <w:rFonts w:hint="eastAsia"/>
          <w:b/>
        </w:rPr>
        <w:t>（一)不論罪名或告訴人是否相同，同一被告之數案件。(二)互訴案件。如歧分時，後案簽併前案。</w:t>
      </w:r>
      <w:r>
        <w:rPr>
          <w:rFonts w:hint="eastAsia"/>
        </w:rPr>
        <w:t xml:space="preserve">（三）同一告訴（發）人濫訴之案件。」。 </w:t>
      </w:r>
    </w:p>
    <w:p w14:paraId="478CC6B9" w14:textId="77777777" w:rsidR="00AF20C2" w:rsidRDefault="00AF20C2" w:rsidP="00AF20C2">
      <w:pPr>
        <w:pStyle w:val="3"/>
        <w:numPr>
          <w:ilvl w:val="2"/>
          <w:numId w:val="1"/>
        </w:numPr>
      </w:pPr>
      <w:r>
        <w:rPr>
          <w:rFonts w:hint="eastAsia"/>
        </w:rPr>
        <w:t>再按</w:t>
      </w:r>
      <w:r w:rsidRPr="00A571EA">
        <w:rPr>
          <w:rFonts w:hint="eastAsia"/>
        </w:rPr>
        <w:t>臺北地檢察署檢察事務官分案報結輪值輪調暨考核要點第</w:t>
      </w:r>
      <w:r w:rsidRPr="00A571EA">
        <w:t>17</w:t>
      </w:r>
      <w:r w:rsidRPr="00A571EA">
        <w:rPr>
          <w:rFonts w:hint="eastAsia"/>
        </w:rPr>
        <w:t>點</w:t>
      </w:r>
      <w:r>
        <w:rPr>
          <w:rFonts w:hint="eastAsia"/>
        </w:rPr>
        <w:t>規定：</w:t>
      </w:r>
      <w:r w:rsidRPr="00A571EA">
        <w:rPr>
          <w:rFonts w:hint="eastAsia"/>
        </w:rPr>
        <w:t>「（第1項）為求</w:t>
      </w:r>
      <w:r w:rsidRPr="00AD11FA">
        <w:rPr>
          <w:rFonts w:hint="eastAsia"/>
          <w:b/>
        </w:rPr>
        <w:t>訴訟經濟及避免偵查結果兩歧</w:t>
      </w:r>
      <w:r w:rsidRPr="00A571EA">
        <w:rPr>
          <w:rFonts w:hint="eastAsia"/>
        </w:rPr>
        <w:t>，下列案件，</w:t>
      </w:r>
      <w:r w:rsidRPr="00AD11FA">
        <w:rPr>
          <w:rFonts w:hint="eastAsia"/>
          <w:b/>
        </w:rPr>
        <w:t>分由同一股辦理</w:t>
      </w:r>
      <w:r w:rsidRPr="00A571EA">
        <w:rPr>
          <w:rFonts w:hint="eastAsia"/>
        </w:rPr>
        <w:t>：（一）</w:t>
      </w:r>
      <w:r w:rsidRPr="00AD11FA">
        <w:rPr>
          <w:rFonts w:hint="eastAsia"/>
          <w:b/>
        </w:rPr>
        <w:t>兩造互控案件。（二）同一被告之數案件。（三）刑事訴訟法第七條所列之相牽連案件。</w:t>
      </w:r>
      <w:r w:rsidRPr="00A571EA">
        <w:rPr>
          <w:rFonts w:hint="eastAsia"/>
        </w:rPr>
        <w:t>（第2項）前項案件，原股業已偵查終結者，得另行分案。但認有由原股承辦之必要者，不在此限。」</w:t>
      </w:r>
      <w:r>
        <w:rPr>
          <w:rFonts w:hint="eastAsia"/>
        </w:rPr>
        <w:t>。</w:t>
      </w:r>
      <w:r w:rsidRPr="00A571EA">
        <w:t xml:space="preserve"> </w:t>
      </w:r>
    </w:p>
    <w:p w14:paraId="7EB075CE" w14:textId="77777777" w:rsidR="00AF20C2" w:rsidRDefault="00AF20C2" w:rsidP="00AF20C2">
      <w:pPr>
        <w:pStyle w:val="3"/>
        <w:numPr>
          <w:ilvl w:val="2"/>
          <w:numId w:val="1"/>
        </w:numPr>
      </w:pPr>
      <w:r>
        <w:rPr>
          <w:rFonts w:hint="eastAsia"/>
        </w:rPr>
        <w:t>臺灣高檢署於本院詢問時提供之書面意見表示：「</w:t>
      </w:r>
      <w:r w:rsidRPr="00284DC5">
        <w:rPr>
          <w:rFonts w:hint="eastAsia"/>
          <w:b/>
          <w:bCs w:val="0"/>
        </w:rPr>
        <w:t>法務部該要點……係作原則之規範</w:t>
      </w:r>
      <w:r>
        <w:rPr>
          <w:rFonts w:hint="eastAsia"/>
        </w:rPr>
        <w:t>，北檢為</w:t>
      </w:r>
      <w:r w:rsidRPr="00284DC5">
        <w:rPr>
          <w:rFonts w:hint="eastAsia"/>
          <w:b/>
          <w:bCs w:val="0"/>
        </w:rPr>
        <w:t>因應實務運作所需，乃以前開部頒實施要點為基礎</w:t>
      </w:r>
      <w:r>
        <w:rPr>
          <w:rFonts w:hint="eastAsia"/>
        </w:rPr>
        <w:t>，綜合彙整訂定『臺灣臺北地方檢察署偵查案件分案報結及檢察官輪值輪調要點』……依北檢檢察官分案報結要點第</w:t>
      </w:r>
      <w:r>
        <w:t>19</w:t>
      </w:r>
      <w:r>
        <w:rPr>
          <w:rFonts w:hint="eastAsia"/>
        </w:rPr>
        <w:t>點規定：『案件依收案次序編號輪分，但檢察長指分案件、牽連案件及屬專組案件，不在此</w:t>
      </w:r>
      <w:r>
        <w:rPr>
          <w:rFonts w:hint="eastAsia"/>
        </w:rPr>
        <w:lastRenderedPageBreak/>
        <w:t>限。』故若有該點但書規定情形，</w:t>
      </w:r>
      <w:r w:rsidRPr="00284DC5">
        <w:rPr>
          <w:rFonts w:hint="eastAsia"/>
          <w:b/>
          <w:bCs w:val="0"/>
        </w:rPr>
        <w:t>為考量案件特性、訴訟經濟，並避免同一被告所涉之相牽連案件分由不同檢察官偵辦，可能發生認事用法有所歧異之情形</w:t>
      </w:r>
      <w:r>
        <w:rPr>
          <w:rFonts w:hint="eastAsia"/>
        </w:rPr>
        <w:t>，</w:t>
      </w:r>
      <w:r>
        <w:rPr>
          <w:rFonts w:hAnsi="標楷體" w:hint="eastAsia"/>
        </w:rPr>
        <w:t>……</w:t>
      </w:r>
      <w:r>
        <w:rPr>
          <w:rFonts w:hint="eastAsia"/>
        </w:rPr>
        <w:t>因○○○陸續提告新案時，</w:t>
      </w:r>
      <w:r w:rsidRPr="00284DC5">
        <w:rPr>
          <w:rFonts w:hint="eastAsia"/>
          <w:b/>
          <w:bCs w:val="0"/>
        </w:rPr>
        <w:t>前所控告之案件均未結案</w:t>
      </w:r>
      <w:r>
        <w:rPr>
          <w:rFonts w:hint="eastAsia"/>
        </w:rPr>
        <w:t>，</w:t>
      </w:r>
      <w:r w:rsidRPr="005E044F">
        <w:rPr>
          <w:rFonts w:hint="eastAsia"/>
          <w:b/>
        </w:rPr>
        <w:t>故後續案件均分由北檢號股檢察官及負責襄辦之車股檢事官偵辦，與部頒實施要點應無違背</w:t>
      </w:r>
      <w:r>
        <w:rPr>
          <w:rFonts w:hint="eastAsia"/>
        </w:rPr>
        <w:t>。……</w:t>
      </w:r>
      <w:r w:rsidRPr="005E044F">
        <w:rPr>
          <w:rFonts w:hint="eastAsia"/>
          <w:b/>
        </w:rPr>
        <w:t>法務部所分布之實施要點為為原則性之規定，北檢之上開要點較為細節之規定</w:t>
      </w:r>
      <w:r>
        <w:rPr>
          <w:rFonts w:hint="eastAsia"/>
        </w:rPr>
        <w:t>，適用以前者主，後者為輔，</w:t>
      </w:r>
      <w:r w:rsidRPr="005E044F">
        <w:rPr>
          <w:rFonts w:hint="eastAsia"/>
          <w:b/>
        </w:rPr>
        <w:t>二者就分案規範並無牴觸</w:t>
      </w:r>
      <w:r>
        <w:rPr>
          <w:rFonts w:hint="eastAsia"/>
        </w:rPr>
        <w:t>。」</w:t>
      </w:r>
    </w:p>
    <w:p w14:paraId="52A44E6E" w14:textId="77777777" w:rsidR="00AF20C2" w:rsidRDefault="00AF20C2" w:rsidP="00AF20C2">
      <w:pPr>
        <w:pStyle w:val="3"/>
        <w:numPr>
          <w:ilvl w:val="2"/>
          <w:numId w:val="1"/>
        </w:numPr>
      </w:pPr>
      <w:r>
        <w:rPr>
          <w:rFonts w:hint="eastAsia"/>
        </w:rPr>
        <w:t>法務部於本院詢問時提供之書面意見表示：「……要點係法務部就各檢察署收案後如何分案、應冠何案號所為之</w:t>
      </w:r>
      <w:r w:rsidRPr="00D0458F">
        <w:rPr>
          <w:rFonts w:hint="eastAsia"/>
          <w:b/>
          <w:bCs w:val="0"/>
        </w:rPr>
        <w:t>原則性規範</w:t>
      </w:r>
      <w:r>
        <w:rPr>
          <w:rFonts w:hint="eastAsia"/>
        </w:rPr>
        <w:t>，故</w:t>
      </w:r>
      <w:r w:rsidRPr="00D0458F">
        <w:rPr>
          <w:rFonts w:hint="eastAsia"/>
          <w:b/>
          <w:bCs w:val="0"/>
        </w:rPr>
        <w:t>臺北地檢署因應實務運作所需，以前揭要點為基礎，參考上級有關規定、歷次工作會報、主任檢察官會議、檢察官會議、年終會議決議事項級檢察長裁示，依公平、合理原則，綜合彙整訂定該署之『臺灣臺北地方檢察署偵查案件分案報結級檢察官輪值輪調要點</w:t>
      </w:r>
      <w:r>
        <w:rPr>
          <w:rFonts w:hint="eastAsia"/>
        </w:rPr>
        <w:t>……是依該等規定，因陳情人○○○陸續提告新案時，前所控告之案件均未結案，故後續案件均交由該署號股檢察官級負責襄辦之車股檢事官偵辦，而全國各檢察署亦均依上開原則，</w:t>
      </w:r>
      <w:r w:rsidRPr="00D0458F">
        <w:rPr>
          <w:rFonts w:hint="eastAsia"/>
          <w:b/>
          <w:bCs w:val="0"/>
        </w:rPr>
        <w:t>因地制宜而自行訂有分案要點</w:t>
      </w:r>
      <w:r>
        <w:rPr>
          <w:rFonts w:hint="eastAsia"/>
        </w:rPr>
        <w:t>，其內容有與上述臺北地檢署檢察官、檢事官分案報結要點相類之</w:t>
      </w:r>
      <w:r w:rsidRPr="00D0458F">
        <w:rPr>
          <w:rFonts w:hint="eastAsia"/>
          <w:b/>
          <w:bCs w:val="0"/>
        </w:rPr>
        <w:t>補充性、細節性規範，均與本部頒布之案件編號技術分案報結要點』無抵觸</w:t>
      </w:r>
      <w:r>
        <w:rPr>
          <w:rFonts w:hint="eastAsia"/>
        </w:rPr>
        <w:t>。」</w:t>
      </w:r>
    </w:p>
    <w:p w14:paraId="0461AFB3" w14:textId="77777777" w:rsidR="00AF20C2" w:rsidRDefault="00AF20C2" w:rsidP="00AF20C2">
      <w:pPr>
        <w:pStyle w:val="3"/>
        <w:numPr>
          <w:ilvl w:val="2"/>
          <w:numId w:val="1"/>
        </w:numPr>
      </w:pPr>
      <w:r>
        <w:rPr>
          <w:rFonts w:hint="eastAsia"/>
        </w:rPr>
        <w:t>臺北地檢署王主任檢察官鑫健於本院詢問時表示：「……部頒的要點只是</w:t>
      </w:r>
      <w:r w:rsidRPr="00D0458F">
        <w:rPr>
          <w:rFonts w:hint="eastAsia"/>
          <w:b/>
          <w:bCs w:val="0"/>
        </w:rPr>
        <w:t>原則性上位的要點</w:t>
      </w:r>
      <w:r>
        <w:rPr>
          <w:rFonts w:hint="eastAsia"/>
        </w:rPr>
        <w:t>，對</w:t>
      </w:r>
      <w:r w:rsidRPr="00D0458F">
        <w:rPr>
          <w:rFonts w:hint="eastAsia"/>
          <w:b/>
          <w:bCs w:val="0"/>
        </w:rPr>
        <w:t>細節則是授權給各地檢署因地制宜因應狀況各自訂定</w:t>
      </w:r>
      <w:r>
        <w:rPr>
          <w:rFonts w:hint="eastAsia"/>
        </w:rPr>
        <w:t>，本署要點已有訂定，像是○○○告的案件被告跟事實都相牽連甚至相同，本署分案的時候，如果是專組案件，例如牽涉到證交法，這是檢肅黑金組專辦</w:t>
      </w:r>
      <w:r>
        <w:rPr>
          <w:rFonts w:hint="eastAsia"/>
        </w:rPr>
        <w:lastRenderedPageBreak/>
        <w:t>的，也就是本署號股，</w:t>
      </w:r>
      <w:r w:rsidRPr="00D0458F">
        <w:rPr>
          <w:rFonts w:hint="eastAsia"/>
          <w:b/>
          <w:bCs w:val="0"/>
        </w:rPr>
        <w:t>因為</w:t>
      </w:r>
      <w:r>
        <w:rPr>
          <w:rFonts w:hint="eastAsia"/>
          <w:b/>
          <w:bCs w:val="0"/>
        </w:rPr>
        <w:t>○○○</w:t>
      </w:r>
      <w:r w:rsidRPr="00D0458F">
        <w:rPr>
          <w:rFonts w:hint="eastAsia"/>
          <w:b/>
          <w:bCs w:val="0"/>
        </w:rPr>
        <w:t>第一件已經分給號股了，所以陸續進來的案件也都會分給號股</w:t>
      </w:r>
      <w:r>
        <w:rPr>
          <w:rFonts w:hint="eastAsia"/>
        </w:rPr>
        <w:t>，同樣的車股事務官也是這樣接續處理○○○的案件，與部頒要點並無扞格。……</w:t>
      </w:r>
      <w:r w:rsidRPr="00852EEF">
        <w:rPr>
          <w:rFonts w:hint="eastAsia"/>
        </w:rPr>
        <w:t>檢事官依據法院組織法、刑事訴訟法本來就是</w:t>
      </w:r>
      <w:r w:rsidRPr="00852EEF">
        <w:rPr>
          <w:rFonts w:hint="eastAsia"/>
          <w:b/>
        </w:rPr>
        <w:t>襄助檢察官</w:t>
      </w:r>
      <w:r w:rsidRPr="00852EEF">
        <w:rPr>
          <w:rFonts w:hint="eastAsia"/>
        </w:rPr>
        <w:t>。</w:t>
      </w:r>
      <w:r>
        <w:rPr>
          <w:rFonts w:hint="eastAsia"/>
        </w:rPr>
        <w:t>○○○</w:t>
      </w:r>
      <w:r w:rsidRPr="00852EEF">
        <w:rPr>
          <w:rFonts w:hint="eastAsia"/>
        </w:rPr>
        <w:t>可能有所誤會，</w:t>
      </w:r>
      <w:r w:rsidRPr="00852EEF">
        <w:rPr>
          <w:rFonts w:hint="eastAsia"/>
          <w:b/>
        </w:rPr>
        <w:t>他告王令麟的案件非常複雜，屬像重大黑金案件</w:t>
      </w:r>
      <w:r w:rsidRPr="00852EEF">
        <w:rPr>
          <w:rFonts w:hint="eastAsia"/>
        </w:rPr>
        <w:t>，檢察官初步瞭解案情後，就會</w:t>
      </w:r>
      <w:r w:rsidRPr="00852EEF">
        <w:rPr>
          <w:rFonts w:hint="eastAsia"/>
          <w:b/>
        </w:rPr>
        <w:t>交給專責的事務官來調查分析</w:t>
      </w:r>
      <w:r w:rsidRPr="00852EEF">
        <w:rPr>
          <w:rFonts w:hint="eastAsia"/>
        </w:rPr>
        <w:t>，途中有必要的話也會報告檢察官，例如要命證人具結時因為檢察官才有權限。至於要具體地說哪些案件會分給檢事官去做就比較難概括論斷，因為要視具體個案而定</w:t>
      </w:r>
      <w:r>
        <w:rPr>
          <w:rFonts w:hint="eastAsia"/>
        </w:rPr>
        <w:t>……</w:t>
      </w:r>
      <w:r w:rsidRPr="00852EEF">
        <w:rPr>
          <w:rFonts w:hint="eastAsia"/>
          <w:b/>
        </w:rPr>
        <w:t>偵辦過程檢察官異動，因為這件案子一直都在進行偵查察，檢察官有異動的權利，</w:t>
      </w:r>
      <w:r w:rsidRPr="00852EEF">
        <w:rPr>
          <w:rFonts w:hint="eastAsia"/>
        </w:rPr>
        <w:t>如</w:t>
      </w:r>
      <w:r>
        <w:rPr>
          <w:rFonts w:hint="eastAsia"/>
        </w:rPr>
        <w:t>○○○</w:t>
      </w:r>
      <w:r w:rsidRPr="00852EEF">
        <w:rPr>
          <w:rFonts w:hint="eastAsia"/>
        </w:rPr>
        <w:t>告了一系列案件，黃偉檢察官去年8月28號接手後，他可能逐一的去看之前的偵查成果，如果他覺得可以結就可以結案了。以我來說，如果我接到了一件別人交給我的案子，如果前手檢察官的東西查的差不多了，我當然可以結案，如果我覺得還有必要調查，我還是可以傳喚證人跟調查其他證據再做決定，這部分可能</w:t>
      </w:r>
      <w:r>
        <w:rPr>
          <w:rFonts w:hint="eastAsia"/>
        </w:rPr>
        <w:t>○○○</w:t>
      </w:r>
      <w:r w:rsidRPr="00852EEF">
        <w:rPr>
          <w:rFonts w:hint="eastAsia"/>
        </w:rPr>
        <w:t>有所誤會，法院在法官調動的時候也是如此。</w:t>
      </w:r>
      <w:r>
        <w:rPr>
          <w:rFonts w:hint="eastAsia"/>
        </w:rPr>
        <w:t>……</w:t>
      </w:r>
      <w:r w:rsidRPr="00DD5565">
        <w:rPr>
          <w:rFonts w:hint="eastAsia"/>
        </w:rPr>
        <w:t>請看本署的一覽表 ，請看</w:t>
      </w:r>
      <w:r w:rsidRPr="0076638E">
        <w:rPr>
          <w:rFonts w:hint="eastAsia"/>
          <w:b/>
        </w:rPr>
        <w:t>每一個案子的第一個案號都是立字案，這就是立案審查股，就是在判斷有無相牽連</w:t>
      </w:r>
      <w:r w:rsidRPr="00DD5565">
        <w:rPr>
          <w:rFonts w:hint="eastAsia"/>
        </w:rPr>
        <w:t>，比如105立852後來分給號股偵辦，之後</w:t>
      </w:r>
      <w:r w:rsidRPr="0076638E">
        <w:rPr>
          <w:rFonts w:hint="eastAsia"/>
          <w:b/>
        </w:rPr>
        <w:t>106立24800看到跟號股的案子相牽連，所以依照分案規則，也只能併到號股來偵辦。</w:t>
      </w:r>
      <w:r>
        <w:rPr>
          <w:rFonts w:hint="eastAsia"/>
        </w:rPr>
        <w:t>」</w:t>
      </w:r>
    </w:p>
    <w:p w14:paraId="329E226C" w14:textId="77777777" w:rsidR="00AF20C2" w:rsidRPr="00A571EA" w:rsidRDefault="00AF20C2" w:rsidP="00AF20C2">
      <w:pPr>
        <w:pStyle w:val="3"/>
        <w:numPr>
          <w:ilvl w:val="2"/>
          <w:numId w:val="1"/>
        </w:numPr>
      </w:pPr>
      <w:r>
        <w:rPr>
          <w:rFonts w:hint="eastAsia"/>
        </w:rPr>
        <w:t>法務部檢察司林司長錦村於本院詢問時表示：「……至於北檢的分案要點，跟部頒的原則性規定有無抵觸部分，法官法第91條有規定，地檢的分案是由檢察長來核定。……」</w:t>
      </w:r>
    </w:p>
    <w:p w14:paraId="779B4C24" w14:textId="77777777" w:rsidR="00AF20C2" w:rsidRPr="00D0458F" w:rsidRDefault="00AF20C2" w:rsidP="00AF20C2">
      <w:pPr>
        <w:pStyle w:val="3"/>
        <w:numPr>
          <w:ilvl w:val="2"/>
          <w:numId w:val="1"/>
        </w:numPr>
        <w:rPr>
          <w:b/>
          <w:bCs w:val="0"/>
        </w:rPr>
      </w:pPr>
      <w:r>
        <w:rPr>
          <w:rFonts w:hint="eastAsia"/>
        </w:rPr>
        <w:t>由上開法規規範及臺北地檢署、臺灣高檢署、法務</w:t>
      </w:r>
      <w:r>
        <w:rPr>
          <w:rFonts w:hint="eastAsia"/>
        </w:rPr>
        <w:lastRenderedPageBreak/>
        <w:t>部於本院詢問時所提出之書面及口頭回復可知，法務部所頒布之「</w:t>
      </w:r>
      <w:r w:rsidRPr="005E7593">
        <w:rPr>
          <w:rFonts w:hint="eastAsia"/>
        </w:rPr>
        <w:t>檢察案件編號計數分案報結實施要點</w:t>
      </w:r>
      <w:r>
        <w:rPr>
          <w:rFonts w:hint="eastAsia"/>
        </w:rPr>
        <w:t>」為原則性、通案性之規定，</w:t>
      </w:r>
      <w:r w:rsidRPr="00D0458F">
        <w:rPr>
          <w:rFonts w:hint="eastAsia"/>
          <w:b/>
          <w:bCs w:val="0"/>
        </w:rPr>
        <w:t>實務上各地方檢察署亦得因地制宜制訂各自之分案要點，是臺北地檢署訂定屬於細節性、補充性之</w:t>
      </w:r>
      <w:r>
        <w:rPr>
          <w:rFonts w:hint="eastAsia"/>
        </w:rPr>
        <w:t>「</w:t>
      </w:r>
      <w:r w:rsidRPr="005E7593">
        <w:rPr>
          <w:rFonts w:hint="eastAsia"/>
        </w:rPr>
        <w:t>臺北地檢署偵查案件分案報結及檢察官輪值輪調要點</w:t>
      </w:r>
      <w:r>
        <w:rPr>
          <w:rFonts w:hint="eastAsia"/>
        </w:rPr>
        <w:t>」、「</w:t>
      </w:r>
      <w:r w:rsidRPr="006F72F2">
        <w:rPr>
          <w:rFonts w:hint="eastAsia"/>
        </w:rPr>
        <w:t>臺北地檢</w:t>
      </w:r>
      <w:r>
        <w:rPr>
          <w:rFonts w:hint="eastAsia"/>
        </w:rPr>
        <w:t>署</w:t>
      </w:r>
      <w:r w:rsidRPr="006F72F2">
        <w:rPr>
          <w:rFonts w:hint="eastAsia"/>
        </w:rPr>
        <w:t>檢察事務官分案報結輪值輪調暨考核要點</w:t>
      </w:r>
      <w:r>
        <w:rPr>
          <w:rFonts w:hint="eastAsia"/>
        </w:rPr>
        <w:t>」</w:t>
      </w:r>
      <w:r w:rsidRPr="00D0458F">
        <w:rPr>
          <w:rFonts w:hint="eastAsia"/>
          <w:b/>
          <w:bCs w:val="0"/>
        </w:rPr>
        <w:t>並無牴觸法務部所頒要點之疑義。</w:t>
      </w:r>
    </w:p>
    <w:p w14:paraId="1BC50927" w14:textId="77777777" w:rsidR="00AF20C2" w:rsidRDefault="00AF20C2" w:rsidP="00AF20C2">
      <w:pPr>
        <w:pStyle w:val="3"/>
        <w:numPr>
          <w:ilvl w:val="2"/>
          <w:numId w:val="1"/>
        </w:numPr>
      </w:pPr>
      <w:r>
        <w:rPr>
          <w:rFonts w:hint="eastAsia"/>
        </w:rPr>
        <w:t>況法務部所頒要點第22點、第23點固有規定收案應按順序輪分或抽籤，但第20點亦有規定</w:t>
      </w:r>
      <w:r w:rsidRPr="006F72F2">
        <w:rPr>
          <w:rFonts w:hint="eastAsia"/>
          <w:b/>
          <w:bCs w:val="0"/>
        </w:rPr>
        <w:t>牽連案件合併偵查應僅立一卷宗號數</w:t>
      </w:r>
      <w:r>
        <w:rPr>
          <w:rFonts w:hint="eastAsia"/>
        </w:rPr>
        <w:t>，即便已分別分案者，</w:t>
      </w:r>
      <w:r w:rsidRPr="006F72F2">
        <w:rPr>
          <w:rFonts w:hint="eastAsia"/>
          <w:b/>
          <w:bCs w:val="0"/>
        </w:rPr>
        <w:t>後案應併前案辦理並用原各卷宗號數</w:t>
      </w:r>
      <w:r>
        <w:rPr>
          <w:rFonts w:hint="eastAsia"/>
        </w:rPr>
        <w:t>，而臺北地檢署內部分案要點</w:t>
      </w:r>
      <w:r w:rsidRPr="00D03840">
        <w:rPr>
          <w:rFonts w:hint="eastAsia"/>
          <w:b/>
          <w:bCs w:val="0"/>
        </w:rPr>
        <w:t>為求訴訟經濟及避免偵查結果兩歧</w:t>
      </w:r>
      <w:r>
        <w:rPr>
          <w:rFonts w:hint="eastAsia"/>
        </w:rPr>
        <w:t>，</w:t>
      </w:r>
      <w:r w:rsidRPr="00D03840">
        <w:rPr>
          <w:rFonts w:hint="eastAsia"/>
          <w:b/>
          <w:bCs w:val="0"/>
        </w:rPr>
        <w:t>毋寧係基於刑事訴訟法第6條、7條、第15條規定相牽連案件應合併偵查起訴以保障訴訟經濟及裁判一致性之相同意旨</w:t>
      </w:r>
      <w:r w:rsidRPr="00D03840">
        <w:rPr>
          <w:rStyle w:val="afe"/>
          <w:b/>
          <w:bCs w:val="0"/>
        </w:rPr>
        <w:footnoteReference w:id="1"/>
      </w:r>
      <w:r>
        <w:rPr>
          <w:rFonts w:hint="eastAsia"/>
        </w:rPr>
        <w:t>，在法務部頒布實施要點文義涵蓋下所闡述更為細節性、補充性之規定，使檢察官、檢察事務官</w:t>
      </w:r>
      <w:r>
        <w:rPr>
          <w:rFonts w:hint="eastAsia"/>
          <w:b/>
          <w:bCs w:val="0"/>
        </w:rPr>
        <w:t>同一股辦理相牽連</w:t>
      </w:r>
      <w:r w:rsidRPr="00D03840">
        <w:rPr>
          <w:rFonts w:hint="eastAsia"/>
          <w:b/>
          <w:bCs w:val="0"/>
        </w:rPr>
        <w:t>偵查案件</w:t>
      </w:r>
      <w:r>
        <w:rPr>
          <w:rFonts w:hint="eastAsia"/>
        </w:rPr>
        <w:t>，並無不當，陳訴人所指臺北地檢署分案疑似違反法務部所頒布實施要點云云，尚有誤解。</w:t>
      </w:r>
    </w:p>
    <w:p w14:paraId="70FCCB3F" w14:textId="77777777" w:rsidR="00AF20C2" w:rsidRDefault="00AF20C2" w:rsidP="00AF20C2">
      <w:pPr>
        <w:pStyle w:val="3"/>
        <w:numPr>
          <w:ilvl w:val="2"/>
          <w:numId w:val="1"/>
        </w:numPr>
      </w:pPr>
      <w:r>
        <w:rPr>
          <w:rFonts w:hint="eastAsia"/>
        </w:rPr>
        <w:t>另觀諸臺北地檢署108年度偵第2083號偽證案108年2月12日檢察事務官詢問告發人即陳訴人筆錄，陳訴人即便在檢察事務官說明：「本件告發人之前申告王令麟等5人（106偵字第4002號），又追加告訴簡蒂暖等3人，前開另案被告8人之相牽連案件（另行告訴或遭反告妨害名譽），本署分案均視為相牽</w:t>
      </w:r>
      <w:r>
        <w:rPr>
          <w:rFonts w:hint="eastAsia"/>
        </w:rPr>
        <w:lastRenderedPageBreak/>
        <w:t>連案件，與本件告發相關事實亦有牽連……」後，陳訴人仍認為：「……</w:t>
      </w:r>
      <w:r w:rsidRPr="0033199B">
        <w:rPr>
          <w:rFonts w:hint="eastAsia"/>
          <w:b/>
        </w:rPr>
        <w:t>我認為每個案子都是獨立的，我希望後面的3個案子都另外獨立分案</w:t>
      </w:r>
      <w:r>
        <w:rPr>
          <w:rFonts w:hint="eastAsia"/>
        </w:rPr>
        <w:t>」，以及同案檢察官108年3月25日訊問告發人即陳訴人筆錄中，陳訴人表示：「我們提了許多不同案件的理由是，因為</w:t>
      </w:r>
      <w:r w:rsidRPr="003A54F1">
        <w:rPr>
          <w:rFonts w:hint="eastAsia"/>
          <w:b/>
        </w:rPr>
        <w:t>經由小股東討論結果，一個犯罪事實一個蘿蔔一個坑，對我們來說比較簡單，反而可以達到訴訟經濟</w:t>
      </w:r>
      <w:r>
        <w:rPr>
          <w:rFonts w:hint="eastAsia"/>
        </w:rPr>
        <w:t>……</w:t>
      </w:r>
      <w:r w:rsidRPr="003A54F1">
        <w:rPr>
          <w:rFonts w:hint="eastAsia"/>
          <w:b/>
        </w:rPr>
        <w:t>我分成數案是為了求訴訟經濟，不是要浪費司法資源</w:t>
      </w:r>
      <w:r>
        <w:rPr>
          <w:rFonts w:hint="eastAsia"/>
        </w:rPr>
        <w:t>，分成數案後我們提了之後，到今年年初看發現我們提的案子都集中在號股，我們感到困惑，號股自第一件案子到現在已經3年了………</w:t>
      </w:r>
      <w:r w:rsidRPr="003A54F1">
        <w:rPr>
          <w:rFonts w:hint="eastAsia"/>
          <w:b/>
        </w:rPr>
        <w:t>我認為其他案子是否可以依我們這些小股東的初衷，分給其他人，可以速審速結</w:t>
      </w:r>
      <w:r>
        <w:rPr>
          <w:rFonts w:hint="eastAsia"/>
        </w:rPr>
        <w:t>，我們要給檢察官抱歉，我們不是要懷疑檢察官的能力……」</w:t>
      </w:r>
    </w:p>
    <w:p w14:paraId="2D0E24ED" w14:textId="77777777" w:rsidR="00AF20C2" w:rsidRDefault="00AF20C2" w:rsidP="00AF20C2">
      <w:pPr>
        <w:pStyle w:val="3"/>
        <w:numPr>
          <w:ilvl w:val="2"/>
          <w:numId w:val="1"/>
        </w:numPr>
      </w:pPr>
      <w:r>
        <w:rPr>
          <w:rFonts w:hint="eastAsia"/>
        </w:rPr>
        <w:t>陳訴人嗣以108年5月6日（108）第108050601號函發文予臺北地檢署時任邢檢察長泰釗時亦表示：「主旨：本人○○○</w:t>
      </w:r>
      <w:r w:rsidRPr="00361060">
        <w:rPr>
          <w:rFonts w:hint="eastAsia"/>
          <w:b/>
        </w:rPr>
        <w:t>尊重鈞署號股秉公處理承辦案件，並盡快速審速結</w:t>
      </w:r>
      <w:r>
        <w:rPr>
          <w:rFonts w:hint="eastAsia"/>
        </w:rPr>
        <w:t>承辦本人○○○之案件……說明二、</w:t>
      </w:r>
      <w:r w:rsidRPr="00361060">
        <w:rPr>
          <w:rFonts w:hint="eastAsia"/>
          <w:b/>
        </w:rPr>
        <w:t>經本人於先前向鈞署提出分案請求（原非申請檢察官迴避，而是希望可以速審速結</w:t>
      </w:r>
      <w:r>
        <w:rPr>
          <w:rFonts w:hint="eastAsia"/>
        </w:rPr>
        <w:t>，然今既全集中於鈞署號股承辦，盼鈞署號股加速審理進行偵察）。」</w:t>
      </w:r>
    </w:p>
    <w:p w14:paraId="12AB6773" w14:textId="77777777" w:rsidR="00AF20C2" w:rsidRDefault="00AF20C2" w:rsidP="00AF20C2">
      <w:pPr>
        <w:pStyle w:val="3"/>
        <w:numPr>
          <w:ilvl w:val="2"/>
          <w:numId w:val="1"/>
        </w:numPr>
      </w:pPr>
      <w:r>
        <w:rPr>
          <w:rFonts w:hint="eastAsia"/>
        </w:rPr>
        <w:t>由上述內容可知，</w:t>
      </w:r>
      <w:r w:rsidRPr="00C15197">
        <w:rPr>
          <w:rFonts w:hint="eastAsia"/>
          <w:b/>
        </w:rPr>
        <w:t>偵查實務將相牽連案件併為同一股偵辦，固有追求訴訟經濟、避免偵查結果兩歧之正當目的</w:t>
      </w:r>
      <w:r w:rsidRPr="00D03840">
        <w:rPr>
          <w:rFonts w:hint="eastAsia"/>
        </w:rPr>
        <w:t>，然訴訟案件偵查、審判之過程迫切攸關訴訟關係人等之權益，</w:t>
      </w:r>
      <w:r>
        <w:rPr>
          <w:rFonts w:hint="eastAsia"/>
        </w:rPr>
        <w:t>訴訟關係人究非偵查實務之專家，即便委任專業律師協助亦非易於理解，</w:t>
      </w:r>
      <w:r w:rsidRPr="00605F4D">
        <w:rPr>
          <w:rFonts w:hint="eastAsia"/>
        </w:rPr>
        <w:t>如</w:t>
      </w:r>
      <w:r w:rsidRPr="00605F4D">
        <w:rPr>
          <w:rFonts w:hint="eastAsia"/>
          <w:b/>
        </w:rPr>
        <w:t>本案告</w:t>
      </w:r>
      <w:r>
        <w:rPr>
          <w:rFonts w:hint="eastAsia"/>
          <w:b/>
        </w:rPr>
        <w:t>訴（</w:t>
      </w:r>
      <w:r w:rsidRPr="00605F4D">
        <w:rPr>
          <w:rFonts w:hint="eastAsia"/>
          <w:b/>
        </w:rPr>
        <w:t>發</w:t>
      </w:r>
      <w:r>
        <w:rPr>
          <w:rFonts w:hint="eastAsia"/>
          <w:b/>
        </w:rPr>
        <w:t>）</w:t>
      </w:r>
      <w:r w:rsidRPr="00605F4D">
        <w:rPr>
          <w:rFonts w:hint="eastAsia"/>
          <w:b/>
        </w:rPr>
        <w:t>人即陳訴人即係因認為數案件都集中在號股反而會造成結案遲滯之訴訟不經濟</w:t>
      </w:r>
      <w:r w:rsidRPr="00605F4D">
        <w:rPr>
          <w:rFonts w:hint="eastAsia"/>
        </w:rPr>
        <w:t>，</w:t>
      </w:r>
      <w:r w:rsidRPr="00605F4D">
        <w:rPr>
          <w:rFonts w:hint="eastAsia"/>
          <w:b/>
        </w:rPr>
        <w:t>故希望分案給其他股偵辦較能達到速審訴結，此一觀點</w:t>
      </w:r>
      <w:r w:rsidRPr="00605F4D">
        <w:rPr>
          <w:rFonts w:hint="eastAsia"/>
          <w:b/>
        </w:rPr>
        <w:lastRenderedPageBreak/>
        <w:t>以</w:t>
      </w:r>
      <w:r>
        <w:rPr>
          <w:rFonts w:hint="eastAsia"/>
          <w:b/>
        </w:rPr>
        <w:t>一不具偵查實務</w:t>
      </w:r>
      <w:r w:rsidRPr="00605F4D">
        <w:rPr>
          <w:rFonts w:hint="eastAsia"/>
          <w:b/>
        </w:rPr>
        <w:t>專業之人民而言</w:t>
      </w:r>
      <w:r>
        <w:rPr>
          <w:rFonts w:hint="eastAsia"/>
          <w:b/>
        </w:rPr>
        <w:t>殊</w:t>
      </w:r>
      <w:r w:rsidRPr="00605F4D">
        <w:rPr>
          <w:rFonts w:hint="eastAsia"/>
          <w:b/>
        </w:rPr>
        <w:t>在情理之中</w:t>
      </w:r>
      <w:r>
        <w:rPr>
          <w:rFonts w:hint="eastAsia"/>
        </w:rPr>
        <w:t>，惟</w:t>
      </w:r>
      <w:r w:rsidRPr="00605F4D">
        <w:rPr>
          <w:rFonts w:hint="eastAsia"/>
        </w:rPr>
        <w:t>結果反而造成後續之告訴（發）案件均集中到號股偵辦，反而無法達到陳訴人希望得到速審速結之初衷，徒增實際偵辦之號股檢察官及車股檢察事務官壓力與辛勞。</w:t>
      </w:r>
    </w:p>
    <w:p w14:paraId="54AC67F7" w14:textId="77777777" w:rsidR="00AF20C2" w:rsidRPr="00F46258" w:rsidRDefault="00AF20C2" w:rsidP="00AF20C2">
      <w:pPr>
        <w:pStyle w:val="3"/>
        <w:numPr>
          <w:ilvl w:val="2"/>
          <w:numId w:val="1"/>
        </w:numPr>
        <w:rPr>
          <w:b/>
        </w:rPr>
      </w:pPr>
      <w:r w:rsidRPr="00C15197">
        <w:rPr>
          <w:rFonts w:hint="eastAsia"/>
          <w:b/>
        </w:rPr>
        <w:t>況因實務運作上會將相牽連或專業的案件交由特定股別辦理，</w:t>
      </w:r>
      <w:r>
        <w:rPr>
          <w:rFonts w:hint="eastAsia"/>
        </w:rPr>
        <w:t>如本案黑金案件</w:t>
      </w:r>
      <w:r w:rsidRPr="00214000">
        <w:rPr>
          <w:rFonts w:hint="eastAsia"/>
        </w:rPr>
        <w:t>既已先交由專責</w:t>
      </w:r>
      <w:r>
        <w:rPr>
          <w:rFonts w:hint="eastAsia"/>
        </w:rPr>
        <w:t>黑金案件</w:t>
      </w:r>
      <w:r w:rsidRPr="00214000">
        <w:rPr>
          <w:rFonts w:hint="eastAsia"/>
        </w:rPr>
        <w:t>的號股檢察官及財經專業之車股檢察事務官辦理，則後續繫屬之案件依分案之規則亦仍由號股及車股辦理</w:t>
      </w:r>
      <w:r>
        <w:rPr>
          <w:rFonts w:hint="eastAsia"/>
        </w:rPr>
        <w:t>；又因</w:t>
      </w:r>
      <w:r w:rsidRPr="00C15197">
        <w:rPr>
          <w:rFonts w:hint="eastAsia"/>
          <w:b/>
        </w:rPr>
        <w:t>檢察官</w:t>
      </w:r>
      <w:r>
        <w:rPr>
          <w:rFonts w:hint="eastAsia"/>
          <w:b/>
        </w:rPr>
        <w:t>本</w:t>
      </w:r>
      <w:r w:rsidRPr="00C15197">
        <w:rPr>
          <w:rFonts w:hint="eastAsia"/>
          <w:b/>
        </w:rPr>
        <w:t>有調動之權利</w:t>
      </w:r>
      <w:r>
        <w:rPr>
          <w:rFonts w:hint="eastAsia"/>
        </w:rPr>
        <w:t>，</w:t>
      </w:r>
      <w:r w:rsidRPr="00971862">
        <w:rPr>
          <w:rFonts w:hint="eastAsia"/>
        </w:rPr>
        <w:t>若案件時間延長即有可能發生檢察官調動，</w:t>
      </w:r>
      <w:r w:rsidRPr="00C15197">
        <w:rPr>
          <w:rFonts w:hint="eastAsia"/>
          <w:b/>
        </w:rPr>
        <w:t>訴訟關係人最常見到者僅為專責檢察事務官。</w:t>
      </w:r>
      <w:r w:rsidRPr="001F78BB">
        <w:rPr>
          <w:rFonts w:hint="eastAsia"/>
        </w:rPr>
        <w:t>如本案陳訴人即指陳歷經三任檢察官，開庭次數不多，反大部分均由檢察事務官開庭，</w:t>
      </w:r>
      <w:r w:rsidRPr="00C15197">
        <w:rPr>
          <w:rFonts w:hint="eastAsia"/>
          <w:b/>
        </w:rPr>
        <w:t>輕則</w:t>
      </w:r>
      <w:r>
        <w:rPr>
          <w:rFonts w:hint="eastAsia"/>
          <w:b/>
        </w:rPr>
        <w:t>造成陳訴人</w:t>
      </w:r>
      <w:r w:rsidRPr="00C15197">
        <w:rPr>
          <w:rFonts w:hint="eastAsia"/>
          <w:b/>
        </w:rPr>
        <w:t>產生未受偵查主體重視、未經熟悉案情之檢察官為充分實質訊問即草率結案</w:t>
      </w:r>
      <w:r>
        <w:rPr>
          <w:rFonts w:hint="eastAsia"/>
          <w:b/>
        </w:rPr>
        <w:t>之印象</w:t>
      </w:r>
      <w:r w:rsidRPr="00C15197">
        <w:rPr>
          <w:rFonts w:hint="eastAsia"/>
          <w:b/>
        </w:rPr>
        <w:t>，</w:t>
      </w:r>
      <w:r>
        <w:rPr>
          <w:rFonts w:hint="eastAsia"/>
          <w:b/>
        </w:rPr>
        <w:t>致</w:t>
      </w:r>
      <w:r w:rsidRPr="00C15197">
        <w:rPr>
          <w:rFonts w:hint="eastAsia"/>
          <w:b/>
        </w:rPr>
        <w:t>質疑司法之公正</w:t>
      </w:r>
      <w:r w:rsidRPr="00971862">
        <w:rPr>
          <w:rFonts w:hint="eastAsia"/>
        </w:rPr>
        <w:t>，</w:t>
      </w:r>
      <w:r w:rsidRPr="00C15197">
        <w:rPr>
          <w:rFonts w:hint="eastAsia"/>
          <w:b/>
        </w:rPr>
        <w:t>重則認同一訴訟案件分由同一股辦理，卻遭該股檢察事務官主導指揮偵查專權擅斷之抨擊</w:t>
      </w:r>
      <w:r w:rsidRPr="00C15197">
        <w:rPr>
          <w:rFonts w:hint="eastAsia"/>
        </w:rPr>
        <w:t>，不啻對辛勞辦案之專責檢察事務官及接替之後手檢察官不公</w:t>
      </w:r>
      <w:r w:rsidRPr="00C15197">
        <w:rPr>
          <w:rFonts w:hint="eastAsia"/>
          <w:b/>
        </w:rPr>
        <w:t>。</w:t>
      </w:r>
      <w:r w:rsidRPr="00D03840">
        <w:rPr>
          <w:rFonts w:hint="eastAsia"/>
        </w:rPr>
        <w:t>臺北地檢署</w:t>
      </w:r>
      <w:r>
        <w:rPr>
          <w:rFonts w:hint="eastAsia"/>
        </w:rPr>
        <w:t>對於本案之處理，在追求訴訟經濟及避免偵查結果兩歧之目的下，允宜有改進之空間，</w:t>
      </w:r>
      <w:r w:rsidRPr="00D03840">
        <w:rPr>
          <w:rFonts w:hint="eastAsia"/>
        </w:rPr>
        <w:t>俾能</w:t>
      </w:r>
      <w:r w:rsidRPr="00C15197">
        <w:rPr>
          <w:rFonts w:hint="eastAsia"/>
          <w:b/>
        </w:rPr>
        <w:t>減少陳訴人</w:t>
      </w:r>
      <w:r>
        <w:rPr>
          <w:rFonts w:hint="eastAsia"/>
          <w:b/>
        </w:rPr>
        <w:t>或其他類此</w:t>
      </w:r>
      <w:r w:rsidRPr="00C15197">
        <w:rPr>
          <w:rFonts w:hint="eastAsia"/>
          <w:b/>
        </w:rPr>
        <w:t>訴訟關係人</w:t>
      </w:r>
      <w:r>
        <w:rPr>
          <w:rFonts w:hint="eastAsia"/>
          <w:b/>
        </w:rPr>
        <w:t>質疑</w:t>
      </w:r>
      <w:r w:rsidRPr="00C15197">
        <w:rPr>
          <w:rFonts w:hint="eastAsia"/>
          <w:b/>
        </w:rPr>
        <w:t>分案不公</w:t>
      </w:r>
      <w:r w:rsidRPr="00D03840">
        <w:rPr>
          <w:rFonts w:hint="eastAsia"/>
        </w:rPr>
        <w:t>，</w:t>
      </w:r>
      <w:r w:rsidRPr="00F46258">
        <w:rPr>
          <w:rFonts w:hint="eastAsia"/>
          <w:b/>
        </w:rPr>
        <w:t>同時亦避免因告訴（發）人誤會多次提告反令特定股別偵查人員徒增工作辛勞壓力、偵查過程遲滯甚至司法不公正、檢察事務官僭越檢察官權限之抨擊。</w:t>
      </w:r>
    </w:p>
    <w:p w14:paraId="751D499E" w14:textId="77777777" w:rsidR="00AF20C2" w:rsidRPr="00533FCA" w:rsidRDefault="00AF20C2" w:rsidP="00AF20C2">
      <w:pPr>
        <w:pStyle w:val="2"/>
        <w:numPr>
          <w:ilvl w:val="1"/>
          <w:numId w:val="1"/>
        </w:numPr>
      </w:pPr>
      <w:r w:rsidRPr="00533FCA">
        <w:rPr>
          <w:rFonts w:hint="eastAsia"/>
          <w:b/>
        </w:rPr>
        <w:t>承上，本案陳訴人質疑分案不公</w:t>
      </w:r>
      <w:r>
        <w:rPr>
          <w:rFonts w:hint="eastAsia"/>
          <w:b/>
        </w:rPr>
        <w:t>肇因</w:t>
      </w:r>
      <w:r w:rsidRPr="00533FCA">
        <w:rPr>
          <w:rFonts w:hint="eastAsia"/>
          <w:b/>
        </w:rPr>
        <w:t>於多起告訴（發）案件均分由同一股別處理，且加上檢察官調動因素，歷任檢察官開庭次數不多，大部分均由檢察事務官開庭乙節，查我國法制上檢察事務官係受偵查主體檢察官指揮調查並襄助之偵查輔助機關，在刑事訴訟上之</w:t>
      </w:r>
      <w:r w:rsidRPr="00533FCA">
        <w:rPr>
          <w:rFonts w:hint="eastAsia"/>
          <w:b/>
        </w:rPr>
        <w:lastRenderedPageBreak/>
        <w:t>定位為司法警察官或檢察官之手足延伸，惟檢察官無疑仍係作為主導案件偵查之主體而存在。本院曾就臺北地檢署前檢察官徐仕瑋</w:t>
      </w:r>
      <w:r>
        <w:rPr>
          <w:rFonts w:hint="eastAsia"/>
          <w:b/>
        </w:rPr>
        <w:t>違失一案</w:t>
      </w:r>
      <w:r w:rsidRPr="00533FCA">
        <w:rPr>
          <w:rFonts w:hint="eastAsia"/>
          <w:b/>
        </w:rPr>
        <w:t>提出調查意見（1</w:t>
      </w:r>
      <w:r w:rsidRPr="00533FCA">
        <w:rPr>
          <w:b/>
        </w:rPr>
        <w:t>06</w:t>
      </w:r>
      <w:r w:rsidRPr="00533FCA">
        <w:rPr>
          <w:rFonts w:hint="eastAsia"/>
          <w:b/>
        </w:rPr>
        <w:t>司調5）及糾正案（106司正2），</w:t>
      </w:r>
      <w:r>
        <w:rPr>
          <w:rFonts w:hint="eastAsia"/>
          <w:b/>
        </w:rPr>
        <w:t>然於本案陳訴人因多面對檢察事務官開庭而少見檢察官之情形下，本院先前</w:t>
      </w:r>
      <w:r w:rsidRPr="00533FCA">
        <w:rPr>
          <w:rFonts w:hint="eastAsia"/>
          <w:b/>
        </w:rPr>
        <w:t>糾正案</w:t>
      </w:r>
      <w:r>
        <w:rPr>
          <w:rFonts w:hint="eastAsia"/>
          <w:b/>
        </w:rPr>
        <w:t>所</w:t>
      </w:r>
      <w:r w:rsidRPr="00533FCA">
        <w:rPr>
          <w:rFonts w:hint="eastAsia"/>
          <w:b/>
        </w:rPr>
        <w:t>要求避免「檢察官淪為檢察</w:t>
      </w:r>
      <w:r>
        <w:rPr>
          <w:rFonts w:hint="eastAsia"/>
          <w:b/>
        </w:rPr>
        <w:t>事務</w:t>
      </w:r>
      <w:r w:rsidRPr="00533FCA">
        <w:rPr>
          <w:rFonts w:hint="eastAsia"/>
          <w:b/>
        </w:rPr>
        <w:t>官橡皮圖章」</w:t>
      </w:r>
      <w:r>
        <w:rPr>
          <w:rFonts w:hint="eastAsia"/>
          <w:b/>
        </w:rPr>
        <w:t>、「混淆檢察官、檢察事務官職務分際」之弊恐再次</w:t>
      </w:r>
      <w:r w:rsidRPr="00533FCA">
        <w:rPr>
          <w:rFonts w:hint="eastAsia"/>
          <w:b/>
        </w:rPr>
        <w:t>讓陳訴人或類此之訴訟關係人產生</w:t>
      </w:r>
      <w:r>
        <w:rPr>
          <w:rFonts w:hint="eastAsia"/>
          <w:b/>
        </w:rPr>
        <w:t>既視之</w:t>
      </w:r>
      <w:r w:rsidRPr="00533FCA">
        <w:rPr>
          <w:rFonts w:hint="eastAsia"/>
          <w:b/>
        </w:rPr>
        <w:t>不利印象，臺北地檢署及法務部允宜就此類情形檢討改進，切實劃分偵查主體及偵查輔助機關之分際，以維護法院組織法就檢察官及檢察事務官兩者分工設職之立法初衷。</w:t>
      </w:r>
    </w:p>
    <w:p w14:paraId="7F9E18E6" w14:textId="77777777" w:rsidR="00AF20C2" w:rsidRDefault="00AF20C2" w:rsidP="00AF20C2">
      <w:pPr>
        <w:pStyle w:val="3"/>
        <w:numPr>
          <w:ilvl w:val="2"/>
          <w:numId w:val="1"/>
        </w:numPr>
      </w:pPr>
      <w:r>
        <w:rPr>
          <w:rFonts w:hint="eastAsia"/>
        </w:rPr>
        <w:t>按法院組織法第66條之3規定：「（第1項）檢察事務官受檢察官之指揮，處理下列事務：一、實施搜索、扣押、勘驗或執行拘提。二、詢問告訴人、告發人、被告、證人或鑑定人。三、襄助檢察官執行其他第六十條所定之職權。（第2項）檢察事務官處理前項前二款事務，視為刑事訴訟法第二百三十條第一項之司法警察官。」。</w:t>
      </w:r>
    </w:p>
    <w:p w14:paraId="6F2E1BF9" w14:textId="77777777" w:rsidR="00AF20C2" w:rsidRPr="004633ED" w:rsidRDefault="00AF20C2" w:rsidP="00AF20C2">
      <w:pPr>
        <w:pStyle w:val="3"/>
        <w:numPr>
          <w:ilvl w:val="2"/>
          <w:numId w:val="1"/>
        </w:numPr>
      </w:pPr>
      <w:r>
        <w:rPr>
          <w:rFonts w:hint="eastAsia"/>
        </w:rPr>
        <w:t>次按地方法院檢察署檢察事務官事務分配要點</w:t>
      </w:r>
      <w:r w:rsidRPr="004944E4">
        <w:rPr>
          <w:rFonts w:hint="eastAsia"/>
        </w:rPr>
        <w:t>第4點</w:t>
      </w:r>
      <w:r>
        <w:rPr>
          <w:rFonts w:hint="eastAsia"/>
        </w:rPr>
        <w:t>規定：</w:t>
      </w:r>
      <w:r w:rsidRPr="004633ED">
        <w:rPr>
          <w:rFonts w:hint="eastAsia"/>
        </w:rPr>
        <w:t>「檢察官得指揮檢察事務官處理下列事務：</w:t>
      </w:r>
    </w:p>
    <w:p w14:paraId="56F4195D" w14:textId="77777777" w:rsidR="00AF20C2" w:rsidRPr="004633ED" w:rsidRDefault="00AF20C2" w:rsidP="00AF20C2">
      <w:pPr>
        <w:pStyle w:val="4"/>
        <w:numPr>
          <w:ilvl w:val="3"/>
          <w:numId w:val="1"/>
        </w:numPr>
      </w:pPr>
      <w:r w:rsidRPr="004633ED">
        <w:rPr>
          <w:rFonts w:hint="eastAsia"/>
        </w:rPr>
        <w:t>內勤業務：</w:t>
      </w:r>
    </w:p>
    <w:p w14:paraId="6D7DF301" w14:textId="77777777" w:rsidR="00AF20C2" w:rsidRPr="004633ED" w:rsidRDefault="00AF20C2" w:rsidP="00AF20C2">
      <w:pPr>
        <w:pStyle w:val="5"/>
        <w:numPr>
          <w:ilvl w:val="4"/>
          <w:numId w:val="1"/>
        </w:numPr>
        <w:rPr>
          <w:color w:val="000000" w:themeColor="text1"/>
        </w:rPr>
      </w:pPr>
      <w:r w:rsidRPr="004633ED">
        <w:rPr>
          <w:color w:val="000000" w:themeColor="text1"/>
        </w:rPr>
        <w:t>受理一般申告案件。</w:t>
      </w:r>
      <w:r w:rsidRPr="009F2082">
        <w:rPr>
          <w:b/>
          <w:color w:val="000000" w:themeColor="text1"/>
        </w:rPr>
        <w:t>如係社會矚目或重大案件，檢察官仍應親自受理</w:t>
      </w:r>
      <w:r w:rsidRPr="004633ED">
        <w:rPr>
          <w:color w:val="000000" w:themeColor="text1"/>
        </w:rPr>
        <w:t>。</w:t>
      </w:r>
    </w:p>
    <w:p w14:paraId="13E04EA0" w14:textId="77777777" w:rsidR="00AF20C2" w:rsidRPr="004633ED" w:rsidRDefault="00AF20C2" w:rsidP="00AF20C2">
      <w:pPr>
        <w:pStyle w:val="5"/>
        <w:numPr>
          <w:ilvl w:val="4"/>
          <w:numId w:val="1"/>
        </w:numPr>
        <w:rPr>
          <w:color w:val="000000" w:themeColor="text1"/>
        </w:rPr>
      </w:pPr>
      <w:r w:rsidRPr="004633ED">
        <w:rPr>
          <w:color w:val="000000" w:themeColor="text1"/>
        </w:rPr>
        <w:t>襄助內勤檢察官製作「速偵」案件及毒品案件之「觀察勒戒聲請書」、「羈押聲請書」等之初稿。</w:t>
      </w:r>
    </w:p>
    <w:p w14:paraId="1F34FAE9" w14:textId="77777777" w:rsidR="00AF20C2" w:rsidRPr="004633ED" w:rsidRDefault="00AF20C2" w:rsidP="00AF20C2">
      <w:pPr>
        <w:pStyle w:val="5"/>
        <w:numPr>
          <w:ilvl w:val="4"/>
          <w:numId w:val="1"/>
        </w:numPr>
        <w:rPr>
          <w:color w:val="000000" w:themeColor="text1"/>
        </w:rPr>
      </w:pPr>
      <w:r w:rsidRPr="004633ED">
        <w:rPr>
          <w:color w:val="000000" w:themeColor="text1"/>
        </w:rPr>
        <w:t>司法警察機關移送之被告、拘提或通緝到案之被告，應由檢察官親自訊問並為強制處分，不得由檢察事務官處理。</w:t>
      </w:r>
    </w:p>
    <w:p w14:paraId="4E8A8B9E" w14:textId="77777777" w:rsidR="00AF20C2" w:rsidRPr="004633ED" w:rsidRDefault="00AF20C2" w:rsidP="00AF20C2">
      <w:pPr>
        <w:pStyle w:val="4"/>
        <w:numPr>
          <w:ilvl w:val="3"/>
          <w:numId w:val="1"/>
        </w:numPr>
        <w:rPr>
          <w:color w:val="000000" w:themeColor="text1"/>
        </w:rPr>
      </w:pPr>
      <w:r w:rsidRPr="004633ED">
        <w:rPr>
          <w:color w:val="000000" w:themeColor="text1"/>
        </w:rPr>
        <w:lastRenderedPageBreak/>
        <w:t>外勤業務</w:t>
      </w:r>
      <w:r w:rsidRPr="004633ED">
        <w:rPr>
          <w:rFonts w:hint="eastAsia"/>
          <w:color w:val="000000" w:themeColor="text1"/>
        </w:rPr>
        <w:t>：</w:t>
      </w:r>
    </w:p>
    <w:p w14:paraId="341B1779" w14:textId="77777777" w:rsidR="00AF20C2" w:rsidRPr="004633ED" w:rsidRDefault="00AF20C2" w:rsidP="00AF20C2">
      <w:pPr>
        <w:pStyle w:val="5"/>
        <w:numPr>
          <w:ilvl w:val="4"/>
          <w:numId w:val="1"/>
        </w:numPr>
        <w:rPr>
          <w:color w:val="000000" w:themeColor="text1"/>
        </w:rPr>
      </w:pPr>
      <w:r w:rsidRPr="004633ED">
        <w:rPr>
          <w:color w:val="000000" w:themeColor="text1"/>
        </w:rPr>
        <w:t>奉檢察官之命實施刑事訴訟法第</w:t>
      </w:r>
      <w:r w:rsidRPr="004633ED">
        <w:rPr>
          <w:rFonts w:hint="eastAsia"/>
          <w:color w:val="000000" w:themeColor="text1"/>
        </w:rPr>
        <w:t>228</w:t>
      </w:r>
      <w:r w:rsidRPr="004633ED">
        <w:rPr>
          <w:color w:val="000000" w:themeColor="text1"/>
        </w:rPr>
        <w:t>條第</w:t>
      </w:r>
      <w:r w:rsidRPr="004633ED">
        <w:rPr>
          <w:rFonts w:hint="eastAsia"/>
          <w:color w:val="000000" w:themeColor="text1"/>
        </w:rPr>
        <w:t>1</w:t>
      </w:r>
      <w:r w:rsidRPr="004633ED">
        <w:rPr>
          <w:color w:val="000000" w:themeColor="text1"/>
        </w:rPr>
        <w:t>項之非病死或可疑為非病死案件之相驗。但涉及刑事犯罪之疑為他殺、車禍、醫療糾紛及其他重大繁雜之相驗案件，應由檢察官親自為之。</w:t>
      </w:r>
    </w:p>
    <w:p w14:paraId="0E604617" w14:textId="77777777" w:rsidR="00AF20C2" w:rsidRPr="004633ED" w:rsidRDefault="00AF20C2" w:rsidP="00AF20C2">
      <w:pPr>
        <w:pStyle w:val="5"/>
        <w:numPr>
          <w:ilvl w:val="4"/>
          <w:numId w:val="1"/>
        </w:numPr>
        <w:rPr>
          <w:color w:val="000000" w:themeColor="text1"/>
        </w:rPr>
      </w:pPr>
      <w:r w:rsidRPr="004633ED">
        <w:rPr>
          <w:color w:val="000000" w:themeColor="text1"/>
        </w:rPr>
        <w:t>解剖屍體，應由檢察官命醫師行之，不得由檢察事務官命醫師行之。</w:t>
      </w:r>
    </w:p>
    <w:p w14:paraId="1E6D9EA0" w14:textId="77777777" w:rsidR="00AF20C2" w:rsidRPr="004633ED" w:rsidRDefault="00AF20C2" w:rsidP="00AF20C2">
      <w:pPr>
        <w:pStyle w:val="4"/>
        <w:numPr>
          <w:ilvl w:val="3"/>
          <w:numId w:val="1"/>
        </w:numPr>
        <w:rPr>
          <w:color w:val="000000" w:themeColor="text1"/>
        </w:rPr>
      </w:pPr>
      <w:r w:rsidRPr="004633ED">
        <w:rPr>
          <w:color w:val="000000" w:themeColor="text1"/>
        </w:rPr>
        <w:t>一般偵查業務：</w:t>
      </w:r>
    </w:p>
    <w:p w14:paraId="6E6B116D" w14:textId="77777777" w:rsidR="00AF20C2" w:rsidRPr="004633ED" w:rsidRDefault="00AF20C2" w:rsidP="00AF20C2">
      <w:pPr>
        <w:pStyle w:val="5"/>
        <w:numPr>
          <w:ilvl w:val="4"/>
          <w:numId w:val="1"/>
        </w:numPr>
        <w:rPr>
          <w:color w:val="000000" w:themeColor="text1"/>
        </w:rPr>
      </w:pPr>
      <w:r w:rsidRPr="00154523">
        <w:rPr>
          <w:b/>
          <w:color w:val="000000" w:themeColor="text1"/>
        </w:rPr>
        <w:t>辦理交辦或交查之刑事偵查案件，並製作卷證分析報告</w:t>
      </w:r>
      <w:r w:rsidRPr="004633ED">
        <w:rPr>
          <w:color w:val="000000" w:themeColor="text1"/>
        </w:rPr>
        <w:t>。</w:t>
      </w:r>
    </w:p>
    <w:p w14:paraId="1C88705F" w14:textId="77777777" w:rsidR="00AF20C2" w:rsidRPr="004633ED" w:rsidRDefault="00AF20C2" w:rsidP="00AF20C2">
      <w:pPr>
        <w:pStyle w:val="5"/>
        <w:numPr>
          <w:ilvl w:val="4"/>
          <w:numId w:val="1"/>
        </w:numPr>
        <w:rPr>
          <w:color w:val="000000" w:themeColor="text1"/>
        </w:rPr>
      </w:pPr>
      <w:r w:rsidRPr="004633ED">
        <w:rPr>
          <w:color w:val="000000" w:themeColor="text1"/>
        </w:rPr>
        <w:t>勘驗錄影帶、錄音帶、光碟或其他證據，並製作報告。</w:t>
      </w:r>
    </w:p>
    <w:p w14:paraId="394BA409" w14:textId="77777777" w:rsidR="00AF20C2" w:rsidRPr="004633ED" w:rsidRDefault="00AF20C2" w:rsidP="00AF20C2">
      <w:pPr>
        <w:pStyle w:val="5"/>
        <w:numPr>
          <w:ilvl w:val="4"/>
          <w:numId w:val="1"/>
        </w:numPr>
        <w:rPr>
          <w:color w:val="000000" w:themeColor="text1"/>
        </w:rPr>
      </w:pPr>
      <w:r w:rsidRPr="004633ED">
        <w:rPr>
          <w:color w:val="000000" w:themeColor="text1"/>
        </w:rPr>
        <w:t>持法官核發之搜索票、拘票或檢察官核發之拘票、通訊監察書，實施搜索、扣押或執行拘提、通訊監察。</w:t>
      </w:r>
    </w:p>
    <w:p w14:paraId="25E0B79A" w14:textId="77777777" w:rsidR="00AF20C2" w:rsidRPr="004633ED" w:rsidRDefault="00AF20C2" w:rsidP="00AF20C2">
      <w:pPr>
        <w:pStyle w:val="5"/>
        <w:numPr>
          <w:ilvl w:val="4"/>
          <w:numId w:val="1"/>
        </w:numPr>
        <w:rPr>
          <w:color w:val="000000" w:themeColor="text1"/>
        </w:rPr>
      </w:pPr>
      <w:r w:rsidRPr="004633ED">
        <w:rPr>
          <w:color w:val="000000" w:themeColor="text1"/>
        </w:rPr>
        <w:t>實施刑事訴訟法第</w:t>
      </w:r>
      <w:r w:rsidRPr="004633ED">
        <w:rPr>
          <w:rFonts w:hint="eastAsia"/>
          <w:color w:val="000000" w:themeColor="text1"/>
        </w:rPr>
        <w:t>213</w:t>
      </w:r>
      <w:r w:rsidRPr="004633ED">
        <w:rPr>
          <w:color w:val="000000" w:themeColor="text1"/>
        </w:rPr>
        <w:t>條第</w:t>
      </w:r>
      <w:r w:rsidRPr="004633ED">
        <w:rPr>
          <w:rFonts w:hint="eastAsia"/>
          <w:color w:val="000000" w:themeColor="text1"/>
        </w:rPr>
        <w:t>1</w:t>
      </w:r>
      <w:r w:rsidRPr="004633ED">
        <w:rPr>
          <w:color w:val="000000" w:themeColor="text1"/>
        </w:rPr>
        <w:t>款、第</w:t>
      </w:r>
      <w:r w:rsidRPr="004633ED">
        <w:rPr>
          <w:rFonts w:hint="eastAsia"/>
          <w:color w:val="000000" w:themeColor="text1"/>
        </w:rPr>
        <w:t>2</w:t>
      </w:r>
      <w:r w:rsidRPr="004633ED">
        <w:rPr>
          <w:color w:val="000000" w:themeColor="text1"/>
        </w:rPr>
        <w:t>款、第</w:t>
      </w:r>
      <w:r w:rsidRPr="004633ED">
        <w:rPr>
          <w:rFonts w:hint="eastAsia"/>
          <w:color w:val="000000" w:themeColor="text1"/>
        </w:rPr>
        <w:t>5</w:t>
      </w:r>
      <w:r w:rsidRPr="004633ED">
        <w:rPr>
          <w:color w:val="000000" w:themeColor="text1"/>
        </w:rPr>
        <w:t>款及第</w:t>
      </w:r>
      <w:r w:rsidRPr="004633ED">
        <w:rPr>
          <w:rFonts w:hint="eastAsia"/>
          <w:color w:val="000000" w:themeColor="text1"/>
        </w:rPr>
        <w:t>6</w:t>
      </w:r>
      <w:r w:rsidRPr="004633ED">
        <w:rPr>
          <w:color w:val="000000" w:themeColor="text1"/>
        </w:rPr>
        <w:t>款之勘驗，並製作報告。</w:t>
      </w:r>
    </w:p>
    <w:p w14:paraId="38F0499D" w14:textId="77777777" w:rsidR="00AF20C2" w:rsidRPr="004633ED" w:rsidRDefault="00AF20C2" w:rsidP="00AF20C2">
      <w:pPr>
        <w:pStyle w:val="5"/>
        <w:numPr>
          <w:ilvl w:val="4"/>
          <w:numId w:val="1"/>
        </w:numPr>
        <w:rPr>
          <w:color w:val="000000" w:themeColor="text1"/>
        </w:rPr>
      </w:pPr>
      <w:r w:rsidRPr="0070638E">
        <w:rPr>
          <w:b/>
          <w:color w:val="000000" w:themeColor="text1"/>
        </w:rPr>
        <w:t>詢問告訴人、告發人</w:t>
      </w:r>
      <w:r w:rsidRPr="004633ED">
        <w:rPr>
          <w:color w:val="000000" w:themeColor="text1"/>
        </w:rPr>
        <w:t>、被告、證人、鑑定人。詢問時，宜由書記官或其他適當之人協助記錄。如有實施強制處分或命具結之必要者，應由檢察官親自訊問；經檢察官傳喚到庭而拒絕檢察事務官詢問者，檢察官亦應親自訊問。</w:t>
      </w:r>
    </w:p>
    <w:p w14:paraId="7544EE7D" w14:textId="77777777" w:rsidR="00AF20C2" w:rsidRPr="004633ED" w:rsidRDefault="00AF20C2" w:rsidP="00AF20C2">
      <w:pPr>
        <w:pStyle w:val="4"/>
        <w:numPr>
          <w:ilvl w:val="3"/>
          <w:numId w:val="1"/>
        </w:numPr>
        <w:rPr>
          <w:color w:val="000000" w:themeColor="text1"/>
        </w:rPr>
      </w:pPr>
      <w:r w:rsidRPr="004633ED">
        <w:rPr>
          <w:color w:val="000000" w:themeColor="text1"/>
        </w:rPr>
        <w:t>公訴業務</w:t>
      </w:r>
    </w:p>
    <w:p w14:paraId="707E252C" w14:textId="77777777" w:rsidR="00AF20C2" w:rsidRPr="004633ED" w:rsidRDefault="00AF20C2" w:rsidP="00AF20C2">
      <w:pPr>
        <w:pStyle w:val="5"/>
        <w:numPr>
          <w:ilvl w:val="4"/>
          <w:numId w:val="1"/>
        </w:numPr>
        <w:rPr>
          <w:color w:val="000000" w:themeColor="text1"/>
        </w:rPr>
      </w:pPr>
      <w:r w:rsidRPr="004633ED">
        <w:rPr>
          <w:color w:val="000000" w:themeColor="text1"/>
        </w:rPr>
        <w:t>襄助辦理公訴案件之續行蒐集證據。</w:t>
      </w:r>
    </w:p>
    <w:p w14:paraId="3264FB40" w14:textId="77777777" w:rsidR="00AF20C2" w:rsidRPr="004633ED" w:rsidRDefault="00AF20C2" w:rsidP="00AF20C2">
      <w:pPr>
        <w:pStyle w:val="5"/>
        <w:numPr>
          <w:ilvl w:val="4"/>
          <w:numId w:val="1"/>
        </w:numPr>
        <w:rPr>
          <w:color w:val="000000" w:themeColor="text1"/>
        </w:rPr>
      </w:pPr>
      <w:r w:rsidRPr="004633ED">
        <w:rPr>
          <w:color w:val="000000" w:themeColor="text1"/>
        </w:rPr>
        <w:t>公訴案件之卷證分析報告。</w:t>
      </w:r>
    </w:p>
    <w:p w14:paraId="6707A03D" w14:textId="77777777" w:rsidR="00AF20C2" w:rsidRPr="004633ED" w:rsidRDefault="00AF20C2" w:rsidP="00AF20C2">
      <w:pPr>
        <w:pStyle w:val="5"/>
        <w:numPr>
          <w:ilvl w:val="4"/>
          <w:numId w:val="1"/>
        </w:numPr>
        <w:rPr>
          <w:color w:val="000000" w:themeColor="text1"/>
        </w:rPr>
      </w:pPr>
      <w:r w:rsidRPr="004633ED">
        <w:rPr>
          <w:color w:val="000000" w:themeColor="text1"/>
        </w:rPr>
        <w:t>檢視錄影帶、錄音帶、光碟及其他物件並製作報告。</w:t>
      </w:r>
    </w:p>
    <w:p w14:paraId="2A9B23C5" w14:textId="77777777" w:rsidR="00AF20C2" w:rsidRPr="004633ED" w:rsidRDefault="00AF20C2" w:rsidP="00AF20C2">
      <w:pPr>
        <w:pStyle w:val="5"/>
        <w:numPr>
          <w:ilvl w:val="4"/>
          <w:numId w:val="1"/>
        </w:numPr>
        <w:rPr>
          <w:color w:val="000000" w:themeColor="text1"/>
        </w:rPr>
      </w:pPr>
      <w:r w:rsidRPr="004633ED">
        <w:rPr>
          <w:color w:val="000000" w:themeColor="text1"/>
        </w:rPr>
        <w:t>協助到庭實行公訴。</w:t>
      </w:r>
    </w:p>
    <w:p w14:paraId="1CB80DB7" w14:textId="77777777" w:rsidR="00AF20C2" w:rsidRPr="004633ED" w:rsidRDefault="00AF20C2" w:rsidP="00AF20C2">
      <w:pPr>
        <w:pStyle w:val="4"/>
        <w:numPr>
          <w:ilvl w:val="3"/>
          <w:numId w:val="1"/>
        </w:numPr>
        <w:rPr>
          <w:color w:val="000000" w:themeColor="text1"/>
        </w:rPr>
      </w:pPr>
      <w:r w:rsidRPr="004633ED">
        <w:rPr>
          <w:color w:val="000000" w:themeColor="text1"/>
        </w:rPr>
        <w:t>例行性事務檢察長得指定主任檢察官、專股檢察官指揮檢察事務官襄助處理下列案件：</w:t>
      </w:r>
    </w:p>
    <w:p w14:paraId="5BF2F474" w14:textId="77777777" w:rsidR="00AF20C2" w:rsidRPr="004633ED" w:rsidRDefault="00AF20C2" w:rsidP="00AF20C2">
      <w:pPr>
        <w:pStyle w:val="5"/>
        <w:numPr>
          <w:ilvl w:val="4"/>
          <w:numId w:val="1"/>
        </w:numPr>
        <w:rPr>
          <w:color w:val="000000" w:themeColor="text1"/>
        </w:rPr>
      </w:pPr>
      <w:r w:rsidRPr="004633ED">
        <w:rPr>
          <w:color w:val="000000" w:themeColor="text1"/>
        </w:rPr>
        <w:lastRenderedPageBreak/>
        <w:t>被告姓名不詳或犯罪事實不具體之他案。</w:t>
      </w:r>
    </w:p>
    <w:p w14:paraId="1298F137" w14:textId="77777777" w:rsidR="00AF20C2" w:rsidRPr="004633ED" w:rsidRDefault="00AF20C2" w:rsidP="00AF20C2">
      <w:pPr>
        <w:pStyle w:val="5"/>
        <w:numPr>
          <w:ilvl w:val="4"/>
          <w:numId w:val="1"/>
        </w:numPr>
        <w:rPr>
          <w:color w:val="000000" w:themeColor="text1"/>
        </w:rPr>
      </w:pPr>
      <w:r w:rsidRPr="004633ED">
        <w:rPr>
          <w:color w:val="000000" w:themeColor="text1"/>
        </w:rPr>
        <w:t>核交、交查案件。</w:t>
      </w:r>
    </w:p>
    <w:p w14:paraId="106A941D" w14:textId="77777777" w:rsidR="00AF20C2" w:rsidRPr="004633ED" w:rsidRDefault="00AF20C2" w:rsidP="00AF20C2">
      <w:pPr>
        <w:pStyle w:val="5"/>
        <w:numPr>
          <w:ilvl w:val="4"/>
          <w:numId w:val="1"/>
        </w:numPr>
        <w:rPr>
          <w:color w:val="000000" w:themeColor="text1"/>
        </w:rPr>
      </w:pPr>
      <w:r w:rsidRPr="004633ED">
        <w:rPr>
          <w:color w:val="000000" w:themeColor="text1"/>
        </w:rPr>
        <w:t>犯罪被害人保護法相關案件。</w:t>
      </w:r>
    </w:p>
    <w:p w14:paraId="63C0DACC" w14:textId="77777777" w:rsidR="00AF20C2" w:rsidRPr="004633ED" w:rsidRDefault="00AF20C2" w:rsidP="00AF20C2">
      <w:pPr>
        <w:pStyle w:val="5"/>
        <w:numPr>
          <w:ilvl w:val="4"/>
          <w:numId w:val="1"/>
        </w:numPr>
        <w:rPr>
          <w:color w:val="000000" w:themeColor="text1"/>
        </w:rPr>
      </w:pPr>
      <w:r w:rsidRPr="004633ED">
        <w:rPr>
          <w:color w:val="000000" w:themeColor="text1"/>
        </w:rPr>
        <w:t>施用毒品案件。</w:t>
      </w:r>
    </w:p>
    <w:p w14:paraId="7896C223" w14:textId="77777777" w:rsidR="00AF20C2" w:rsidRPr="004633ED" w:rsidRDefault="00AF20C2" w:rsidP="00AF20C2">
      <w:pPr>
        <w:pStyle w:val="5"/>
        <w:numPr>
          <w:ilvl w:val="4"/>
          <w:numId w:val="1"/>
        </w:numPr>
        <w:rPr>
          <w:color w:val="000000" w:themeColor="text1"/>
        </w:rPr>
      </w:pPr>
      <w:r w:rsidRPr="004633ED">
        <w:rPr>
          <w:color w:val="000000" w:themeColor="text1"/>
        </w:rPr>
        <w:t>假性財產犯罪案件。</w:t>
      </w:r>
    </w:p>
    <w:p w14:paraId="4AA2A67C" w14:textId="77777777" w:rsidR="00AF20C2" w:rsidRPr="004633ED" w:rsidRDefault="00AF20C2" w:rsidP="00AF20C2">
      <w:pPr>
        <w:pStyle w:val="5"/>
        <w:numPr>
          <w:ilvl w:val="4"/>
          <w:numId w:val="1"/>
        </w:numPr>
        <w:rPr>
          <w:color w:val="000000" w:themeColor="text1"/>
        </w:rPr>
      </w:pPr>
      <w:r w:rsidRPr="004633ED">
        <w:rPr>
          <w:color w:val="000000" w:themeColor="text1"/>
        </w:rPr>
        <w:t>案情簡易之特定案件。</w:t>
      </w:r>
    </w:p>
    <w:p w14:paraId="5CD9C0EE" w14:textId="77777777" w:rsidR="00AF20C2" w:rsidRPr="004633ED" w:rsidRDefault="00AF20C2" w:rsidP="00AF20C2">
      <w:pPr>
        <w:pStyle w:val="5"/>
        <w:numPr>
          <w:ilvl w:val="4"/>
          <w:numId w:val="1"/>
        </w:numPr>
        <w:rPr>
          <w:color w:val="000000" w:themeColor="text1"/>
        </w:rPr>
      </w:pPr>
      <w:r w:rsidRPr="004633ED">
        <w:rPr>
          <w:color w:val="000000" w:themeColor="text1"/>
        </w:rPr>
        <w:t>其他經檢察長指定之案件。</w:t>
      </w:r>
    </w:p>
    <w:p w14:paraId="28CB5B28" w14:textId="77777777" w:rsidR="00AF20C2" w:rsidRDefault="00AF20C2" w:rsidP="00AF20C2">
      <w:pPr>
        <w:pStyle w:val="4"/>
        <w:numPr>
          <w:ilvl w:val="3"/>
          <w:numId w:val="1"/>
        </w:numPr>
        <w:rPr>
          <w:color w:val="000000" w:themeColor="text1"/>
        </w:rPr>
      </w:pPr>
      <w:r w:rsidRPr="004633ED">
        <w:rPr>
          <w:color w:val="000000" w:themeColor="text1"/>
        </w:rPr>
        <w:t>其他法令所定屬檢察官職權事項之襄助處理。</w:t>
      </w:r>
    </w:p>
    <w:p w14:paraId="1C74C834" w14:textId="77777777" w:rsidR="00AF20C2" w:rsidRDefault="00AF20C2" w:rsidP="00AF20C2">
      <w:pPr>
        <w:pStyle w:val="3"/>
        <w:numPr>
          <w:ilvl w:val="2"/>
          <w:numId w:val="1"/>
        </w:numPr>
        <w:rPr>
          <w:b/>
        </w:rPr>
      </w:pPr>
      <w:r>
        <w:rPr>
          <w:rFonts w:hint="eastAsia"/>
        </w:rPr>
        <w:t>由上開條文可知，我國現行制度下，檢察官係偵查之唯一主體，至於檢察事務官於偵查中之定位則係依其行使職權之具體個案為判斷，有立於偵查輔助機關</w:t>
      </w:r>
      <w:r w:rsidRPr="0070638E">
        <w:rPr>
          <w:rFonts w:hint="eastAsia"/>
          <w:b/>
        </w:rPr>
        <w:t>司法警察官地位</w:t>
      </w:r>
      <w:r>
        <w:rPr>
          <w:rFonts w:hint="eastAsia"/>
        </w:rPr>
        <w:t>（如詢問告訴人、告發人）者，有基於</w:t>
      </w:r>
      <w:r w:rsidRPr="0070638E">
        <w:rPr>
          <w:rFonts w:hint="eastAsia"/>
          <w:b/>
        </w:rPr>
        <w:t>檢察官</w:t>
      </w:r>
      <w:r>
        <w:rPr>
          <w:rFonts w:hint="eastAsia"/>
          <w:b/>
        </w:rPr>
        <w:t>之指揮作為</w:t>
      </w:r>
      <w:r w:rsidRPr="0070638E">
        <w:rPr>
          <w:rFonts w:hint="eastAsia"/>
          <w:b/>
        </w:rPr>
        <w:t>手足地位實施檢察官權限</w:t>
      </w:r>
      <w:r>
        <w:rPr>
          <w:rFonts w:hint="eastAsia"/>
          <w:b/>
        </w:rPr>
        <w:t>者，惟均無礙檢察官作為惟一偵查主體之存在。</w:t>
      </w:r>
    </w:p>
    <w:p w14:paraId="47312EFC" w14:textId="77777777" w:rsidR="00AF20C2" w:rsidRPr="0050566F" w:rsidRDefault="00AF20C2" w:rsidP="00AF20C2">
      <w:pPr>
        <w:pStyle w:val="3"/>
        <w:numPr>
          <w:ilvl w:val="2"/>
          <w:numId w:val="1"/>
        </w:numPr>
        <w:rPr>
          <w:b/>
        </w:rPr>
      </w:pPr>
      <w:r w:rsidRPr="004D7A74">
        <w:rPr>
          <w:rFonts w:hint="eastAsia"/>
        </w:rPr>
        <w:t>本院曾就臺北地檢署前檢察官徐仕瑋</w:t>
      </w:r>
      <w:r>
        <w:rPr>
          <w:rFonts w:hint="eastAsia"/>
        </w:rPr>
        <w:t>違失一案</w:t>
      </w:r>
      <w:r w:rsidRPr="004D7A74">
        <w:rPr>
          <w:rFonts w:hint="eastAsia"/>
        </w:rPr>
        <w:t>提出調查意見（106司調5）及糾正</w:t>
      </w:r>
      <w:r>
        <w:rPr>
          <w:rFonts w:hint="eastAsia"/>
        </w:rPr>
        <w:t>法務部及臺北地檢署</w:t>
      </w:r>
      <w:r w:rsidRPr="004D7A74">
        <w:rPr>
          <w:rFonts w:hint="eastAsia"/>
        </w:rPr>
        <w:t>（106司正2），</w:t>
      </w:r>
      <w:r>
        <w:rPr>
          <w:rFonts w:hint="eastAsia"/>
        </w:rPr>
        <w:t>相關糾正意見及被糾正機關改善情形略以：</w:t>
      </w:r>
    </w:p>
    <w:p w14:paraId="44E446F3" w14:textId="77777777" w:rsidR="00AF20C2" w:rsidRPr="00E5368D" w:rsidRDefault="00AF20C2" w:rsidP="00AF20C2">
      <w:pPr>
        <w:pStyle w:val="4"/>
        <w:numPr>
          <w:ilvl w:val="3"/>
          <w:numId w:val="1"/>
        </w:numPr>
      </w:pPr>
      <w:r>
        <w:rPr>
          <w:rFonts w:hint="eastAsia"/>
        </w:rPr>
        <w:t>糾正意見一：</w:t>
      </w:r>
      <w:r w:rsidRPr="00E5368D">
        <w:rPr>
          <w:rFonts w:hint="eastAsia"/>
        </w:rPr>
        <w:t xml:space="preserve"> 法務部訂頒「地方法院檢察署檢察事務官事務分配要點」之第4點，雖明確規範須由檢察官親自處理事項，但法務部105年4月15日法人字第10500547320號函復本院稱同點第1款規定，檢察事務官製作之「卷證分析報告」，若檢察官指揮檢察事務官以起訴書、聲請簡易判決處刑書、緩起訴處分書、不起訴處分書或他字案簽結公文等結案書類格式擬具「卷證分析報告」，亦與上開要點規定無違等語。依此說法，則</w:t>
      </w:r>
      <w:r w:rsidRPr="00D63FF2">
        <w:rPr>
          <w:rFonts w:hint="eastAsia"/>
          <w:b/>
        </w:rPr>
        <w:t>「卷證分析報告」與檢察官結案書類實質等同</w:t>
      </w:r>
      <w:r w:rsidRPr="00E5368D">
        <w:rPr>
          <w:rFonts w:hint="eastAsia"/>
        </w:rPr>
        <w:t>，幾可認定。且同點第5款「例行性事務」內涵，係委由各地檢署因地制宜訂定事務類型，形同將偵查中某特定</w:t>
      </w:r>
      <w:r w:rsidRPr="00E5368D">
        <w:rPr>
          <w:rFonts w:hint="eastAsia"/>
        </w:rPr>
        <w:lastRenderedPageBreak/>
        <w:t>類型案件，明定容許檢察事務官實施偵查、提起公訴等作為，臺灣雲林地方法院檢察署甚至明定部分「例行性事務」案件檢察事務官收案後，得自行負責偵查並結案，</w:t>
      </w:r>
      <w:r w:rsidRPr="002F07FB">
        <w:rPr>
          <w:rFonts w:hint="eastAsia"/>
          <w:b/>
        </w:rPr>
        <w:t>實質造成檢察官只剩下蓋章功能</w:t>
      </w:r>
      <w:r w:rsidRPr="00E5368D">
        <w:rPr>
          <w:rFonts w:hint="eastAsia"/>
        </w:rPr>
        <w:t>。上述情事均與法院組織法設置檢察事務官制度目的有違，核有嚴重違失。</w:t>
      </w:r>
    </w:p>
    <w:p w14:paraId="0482A41C" w14:textId="77777777" w:rsidR="00AF20C2" w:rsidRPr="00511AA5" w:rsidRDefault="00AF20C2" w:rsidP="00AF20C2">
      <w:pPr>
        <w:pStyle w:val="4"/>
        <w:numPr>
          <w:ilvl w:val="3"/>
          <w:numId w:val="1"/>
        </w:numPr>
      </w:pPr>
      <w:r>
        <w:rPr>
          <w:rFonts w:hint="eastAsia"/>
        </w:rPr>
        <w:t>糾正意見二：</w:t>
      </w:r>
      <w:r w:rsidRPr="00511AA5">
        <w:rPr>
          <w:rFonts w:hint="eastAsia"/>
        </w:rPr>
        <w:t>檢察事務官原依法院組織法第66條之3係「襄助」檢察官職務，並視為「司法警察官」，然臺北地檢署未明確規範檢察事務官辦理案件類型及數量限制，放任檢察官可無上限地將案件交與檢察事務官辦理，作為清理積案方法，已有不妥；復就徐仕瑋檢察官交與檢察事務官辦理之案件，該署之各層級監督體系未能確實管控辦案品質，且未落實被告偵訊階段之訴訟權益保護，實有怠察之失。在個別檢察官積案過多時，該署檢察首長未依法官法第93條第1項第2款、第94條等規定，行使相關之指揮監督權，竟任由積案過多之檢察官將大量案件交與檢察事務官辦理，</w:t>
      </w:r>
      <w:r w:rsidRPr="00D63FF2">
        <w:rPr>
          <w:rFonts w:hint="eastAsia"/>
          <w:b/>
        </w:rPr>
        <w:t>致使檢察事務官成為檢察官之分身，實際代行檢察官偵查職權，進而由檢察事務官製作「卷證分析報告」使檢察官得輕易轉製成檢察書類報結</w:t>
      </w:r>
      <w:r w:rsidRPr="00511AA5">
        <w:rPr>
          <w:rFonts w:hint="eastAsia"/>
        </w:rPr>
        <w:t>，核有嚴重違失。且該署對於檢察官將大量案件交與檢察事務官辦理之情形，並未列入檢察官職務評定之考據，</w:t>
      </w:r>
      <w:r w:rsidRPr="00D63FF2">
        <w:rPr>
          <w:rFonts w:hint="eastAsia"/>
          <w:b/>
        </w:rPr>
        <w:t>形同默許上開混淆職務分際之作為</w:t>
      </w:r>
      <w:r w:rsidRPr="00511AA5">
        <w:rPr>
          <w:rFonts w:hint="eastAsia"/>
        </w:rPr>
        <w:t>，對於用心辦案之檢察官實不公平，亦應檢討改進。</w:t>
      </w:r>
    </w:p>
    <w:p w14:paraId="22DE72C2" w14:textId="77777777" w:rsidR="00AF20C2" w:rsidRDefault="00AF20C2" w:rsidP="00AF20C2">
      <w:pPr>
        <w:pStyle w:val="4"/>
        <w:numPr>
          <w:ilvl w:val="3"/>
          <w:numId w:val="1"/>
        </w:numPr>
      </w:pPr>
      <w:r>
        <w:rPr>
          <w:rFonts w:hint="eastAsia"/>
        </w:rPr>
        <w:t>被糾正機關改善情形略以：</w:t>
      </w:r>
    </w:p>
    <w:p w14:paraId="4AE532E0" w14:textId="77777777" w:rsidR="00AF20C2" w:rsidRDefault="00AF20C2" w:rsidP="00AF20C2">
      <w:pPr>
        <w:pStyle w:val="5"/>
        <w:numPr>
          <w:ilvl w:val="4"/>
          <w:numId w:val="1"/>
        </w:numPr>
      </w:pPr>
      <w:r>
        <w:rPr>
          <w:rFonts w:hint="eastAsia"/>
        </w:rPr>
        <w:t>檢察官交辦案件進行單均有檢察官指示辦理之紀錄，且附於卷證上，民眾得以知悉。</w:t>
      </w:r>
    </w:p>
    <w:p w14:paraId="55DD9045" w14:textId="77777777" w:rsidR="00AF20C2" w:rsidRDefault="00AF20C2" w:rsidP="00AF20C2">
      <w:pPr>
        <w:pStyle w:val="5"/>
        <w:numPr>
          <w:ilvl w:val="4"/>
          <w:numId w:val="1"/>
        </w:numPr>
      </w:pPr>
      <w:r>
        <w:rPr>
          <w:rFonts w:hint="eastAsia"/>
        </w:rPr>
        <w:t>臺北地檢署檢察長於108年6月21日召開之主</w:t>
      </w:r>
      <w:r>
        <w:rPr>
          <w:rFonts w:hint="eastAsia"/>
        </w:rPr>
        <w:lastRenderedPageBreak/>
        <w:t>管工作會報中，指示檢察官於交辦檢察事務官之交辦單不得僅批示「辦結並試擬書類」。</w:t>
      </w:r>
    </w:p>
    <w:p w14:paraId="2FF47930" w14:textId="77777777" w:rsidR="00AF20C2" w:rsidRPr="002F07FB" w:rsidRDefault="00AF20C2" w:rsidP="00AF20C2">
      <w:pPr>
        <w:pStyle w:val="3"/>
        <w:numPr>
          <w:ilvl w:val="2"/>
          <w:numId w:val="1"/>
        </w:numPr>
      </w:pPr>
      <w:r>
        <w:rPr>
          <w:rFonts w:hint="eastAsia"/>
        </w:rPr>
        <w:t>法務部及臺北地檢署固針對本院前糾正案提出上開改善，然在本案中，偵查實務基於過往訴訟經濟、避免偵查結果兩歧之目的下，將陳訴人所提出之告訴（發）之相牽連案件分由專責黑金案件之號股檢察官及財經專業之車股檢察事務官辦理，加上本案檢察官調動之因素下，致使陳訴人常見檢察事務官開庭而未常見檢察官，</w:t>
      </w:r>
      <w:r w:rsidRPr="002F07FB">
        <w:rPr>
          <w:rFonts w:hint="eastAsia"/>
          <w:b/>
        </w:rPr>
        <w:t>因而產生陳訴人有分案不公甚或檢察事務官專擅獨斷檢察官權限之抨擊，則本院前糾正案</w:t>
      </w:r>
      <w:r>
        <w:rPr>
          <w:rFonts w:hint="eastAsia"/>
          <w:b/>
        </w:rPr>
        <w:t>所</w:t>
      </w:r>
      <w:r w:rsidRPr="002F07FB">
        <w:rPr>
          <w:rFonts w:hint="eastAsia"/>
          <w:b/>
        </w:rPr>
        <w:t>要求避免</w:t>
      </w:r>
      <w:r>
        <w:rPr>
          <w:rFonts w:hint="eastAsia"/>
          <w:b/>
        </w:rPr>
        <w:t>「檢察官淪為檢察事務官橡皮圖章」、</w:t>
      </w:r>
      <w:r w:rsidRPr="002F07FB">
        <w:rPr>
          <w:rFonts w:hint="eastAsia"/>
          <w:b/>
        </w:rPr>
        <w:t>「混淆檢察官、檢察事務官職務分際」</w:t>
      </w:r>
      <w:r>
        <w:rPr>
          <w:rFonts w:hint="eastAsia"/>
          <w:b/>
        </w:rPr>
        <w:t>之弊恐再讓陳訴人或類此之訴訟關係人產生既視不利印象，臺北地檢署及法務部允宜就此類情形檢討改進，切實劃分偵查主體及偵查輔助機關之分際，以維護法院組織法就檢察官及檢察事務官兩者分工設職之立法初衷。</w:t>
      </w:r>
    </w:p>
    <w:p w14:paraId="50DA0346" w14:textId="77777777" w:rsidR="00AF20C2" w:rsidRPr="0000185E" w:rsidRDefault="00AF20C2" w:rsidP="00AF20C2">
      <w:pPr>
        <w:pStyle w:val="2"/>
        <w:numPr>
          <w:ilvl w:val="1"/>
          <w:numId w:val="1"/>
        </w:numPr>
        <w:rPr>
          <w:b/>
          <w:bCs w:val="0"/>
        </w:rPr>
      </w:pPr>
      <w:r w:rsidRPr="0000185E">
        <w:rPr>
          <w:rFonts w:hint="eastAsia"/>
          <w:b/>
          <w:bCs w:val="0"/>
        </w:rPr>
        <w:t>關於陳訴人陳訴其所告訴（發）王令麟等人涉嫌犯罪之案件多次由臺北地檢署作成不起訴處分，承辦檢察官、檢察事務官乃至於檢察長於該等案件偵查或再議程序中應予迴避乙節，查現行刑事訴訟法</w:t>
      </w:r>
      <w:r>
        <w:rPr>
          <w:rFonts w:hint="eastAsia"/>
          <w:b/>
          <w:bCs w:val="0"/>
        </w:rPr>
        <w:t>第18條迴</w:t>
      </w:r>
      <w:r w:rsidRPr="0000185E">
        <w:rPr>
          <w:rFonts w:hint="eastAsia"/>
          <w:b/>
          <w:bCs w:val="0"/>
        </w:rPr>
        <w:t>避制度僅有本案當事人（即檢察官、自訴人及被告）始有聲請權，告</w:t>
      </w:r>
      <w:r>
        <w:rPr>
          <w:rFonts w:hint="eastAsia"/>
          <w:b/>
          <w:bCs w:val="0"/>
        </w:rPr>
        <w:t>（發）</w:t>
      </w:r>
      <w:r w:rsidRPr="0000185E">
        <w:rPr>
          <w:rFonts w:hint="eastAsia"/>
          <w:b/>
          <w:bCs w:val="0"/>
        </w:rPr>
        <w:t>訴人並非本案當事人，並無聲請權，法務部過往</w:t>
      </w:r>
      <w:r>
        <w:rPr>
          <w:rFonts w:hint="eastAsia"/>
          <w:b/>
          <w:bCs w:val="0"/>
        </w:rPr>
        <w:t>雖</w:t>
      </w:r>
      <w:r w:rsidRPr="0000185E">
        <w:rPr>
          <w:rFonts w:hint="eastAsia"/>
          <w:b/>
          <w:bCs w:val="0"/>
        </w:rPr>
        <w:t>曾有函釋認為告訴人宜依刑事訴訟法第26條準用第18條之法理為類推之應用請檢察官迴</w:t>
      </w:r>
      <w:r>
        <w:rPr>
          <w:rFonts w:hint="eastAsia"/>
          <w:b/>
          <w:bCs w:val="0"/>
        </w:rPr>
        <w:t>避，然究非實定法上明文之權益，個案上仍有遭程序駁回之風險</w:t>
      </w:r>
      <w:r w:rsidRPr="0000185E">
        <w:rPr>
          <w:rFonts w:hint="eastAsia"/>
          <w:b/>
          <w:bCs w:val="0"/>
        </w:rPr>
        <w:t>；又現行刑事訴訟法有關聲請檢察官迴避，經</w:t>
      </w:r>
      <w:r>
        <w:rPr>
          <w:rFonts w:hint="eastAsia"/>
          <w:b/>
          <w:bCs w:val="0"/>
        </w:rPr>
        <w:t>「</w:t>
      </w:r>
      <w:r w:rsidRPr="0000185E">
        <w:rPr>
          <w:rFonts w:hint="eastAsia"/>
          <w:b/>
          <w:bCs w:val="0"/>
        </w:rPr>
        <w:t>檢察長核定</w:t>
      </w:r>
      <w:r>
        <w:rPr>
          <w:rFonts w:hint="eastAsia"/>
          <w:b/>
          <w:bCs w:val="0"/>
        </w:rPr>
        <w:t>」</w:t>
      </w:r>
      <w:r w:rsidRPr="0000185E">
        <w:rPr>
          <w:rFonts w:hint="eastAsia"/>
          <w:b/>
          <w:bCs w:val="0"/>
        </w:rPr>
        <w:t>後，並無得向法院提起抗告或準抗告規定之明文</w:t>
      </w:r>
      <w:r>
        <w:rPr>
          <w:rFonts w:hint="eastAsia"/>
          <w:b/>
          <w:bCs w:val="0"/>
        </w:rPr>
        <w:t>，恐有致檢察官迴避制度淪為內部管控而逸脫法院之監督。是為保障訴訟關係人</w:t>
      </w:r>
      <w:r w:rsidRPr="0000185E">
        <w:rPr>
          <w:rFonts w:hint="eastAsia"/>
          <w:b/>
          <w:bCs w:val="0"/>
        </w:rPr>
        <w:t>之訴訟</w:t>
      </w:r>
      <w:r w:rsidRPr="0000185E">
        <w:rPr>
          <w:rFonts w:hint="eastAsia"/>
          <w:b/>
          <w:bCs w:val="0"/>
        </w:rPr>
        <w:lastRenderedPageBreak/>
        <w:t>上權益</w:t>
      </w:r>
      <w:r>
        <w:rPr>
          <w:rFonts w:hint="eastAsia"/>
          <w:b/>
          <w:bCs w:val="0"/>
        </w:rPr>
        <w:t>並維護司法公正，爰送請刑事訴訟法主管機關司法院作為日後修法之參考。</w:t>
      </w:r>
    </w:p>
    <w:p w14:paraId="56BC704A" w14:textId="77777777" w:rsidR="00AF20C2" w:rsidRDefault="00AF20C2" w:rsidP="00AF20C2">
      <w:pPr>
        <w:pStyle w:val="3"/>
        <w:numPr>
          <w:ilvl w:val="2"/>
          <w:numId w:val="1"/>
        </w:numPr>
      </w:pPr>
      <w:r>
        <w:rPr>
          <w:rFonts w:hint="eastAsia"/>
        </w:rPr>
        <w:t>關於告訴人得否聲請檢察長、檢察官、檢察事務官迴避乙節：</w:t>
      </w:r>
    </w:p>
    <w:p w14:paraId="162CBB40" w14:textId="77777777" w:rsidR="00AF20C2" w:rsidRDefault="00AF20C2" w:rsidP="00AF20C2">
      <w:pPr>
        <w:pStyle w:val="4"/>
        <w:numPr>
          <w:ilvl w:val="3"/>
          <w:numId w:val="1"/>
        </w:numPr>
      </w:pPr>
      <w:r>
        <w:rPr>
          <w:rFonts w:hint="eastAsia"/>
        </w:rPr>
        <w:t>按「</w:t>
      </w:r>
      <w:r w:rsidRPr="00C55A9D">
        <w:rPr>
          <w:rFonts w:hint="eastAsia"/>
        </w:rPr>
        <w:t>本法稱</w:t>
      </w:r>
      <w:r w:rsidRPr="00C55A9D">
        <w:rPr>
          <w:rFonts w:hint="eastAsia"/>
          <w:b/>
        </w:rPr>
        <w:t>當事人者，謂檢察官、自訴人及被告</w:t>
      </w:r>
      <w:r w:rsidRPr="00C55A9D">
        <w:rPr>
          <w:rFonts w:hint="eastAsia"/>
        </w:rPr>
        <w:t>。</w:t>
      </w:r>
      <w:r>
        <w:rPr>
          <w:rFonts w:hint="eastAsia"/>
        </w:rPr>
        <w:t>」「法官於該管案件有下列情形之一者，應自行迴避，不得執行職務：一、法官為被害人者。二、法官現為或曾為被告或被害人之配偶、八親等內之血親、五親等內之姻親或家長、家屬者。三、法官與被告或被害人訂有婚約者。四、法官現為或曾為被告或被害人之法定代理人者。五、法官曾為被告之代理人、辯護人、輔佐人或曾為自訴人、附帶民事訴訟當事人之代理人、輔佐人者。六、法官曾為告訴人、告發人、證人或鑑定人者。七、法官曾執行檢察官或司法警察官之職務者。八、法官曾參與前審之裁判者。」</w:t>
      </w:r>
      <w:r w:rsidRPr="00C55A9D">
        <w:rPr>
          <w:rFonts w:hint="eastAsia"/>
        </w:rPr>
        <w:t>「</w:t>
      </w:r>
      <w:r w:rsidRPr="00C55A9D">
        <w:rPr>
          <w:rFonts w:hint="eastAsia"/>
          <w:b/>
        </w:rPr>
        <w:t>當事人</w:t>
      </w:r>
      <w:r w:rsidRPr="00C55A9D">
        <w:rPr>
          <w:rFonts w:hint="eastAsia"/>
        </w:rPr>
        <w:t>遇有下列情形之一者，得聲請法官迴避：一、法官有前條情形而不自行迴避者。二、法官有前條以外情形，足認其執行職務有偏頗之虞者。」</w:t>
      </w:r>
      <w:r>
        <w:rPr>
          <w:rFonts w:hint="eastAsia"/>
        </w:rPr>
        <w:t>「（第1項）該管聲請迴避之法院或院長，如認法官有應自行迴避之原因者，應依職權為迴避之裁定。（第2項）前項裁定，毋庸送達。」</w:t>
      </w:r>
      <w:r w:rsidRPr="00C55A9D">
        <w:rPr>
          <w:rFonts w:hint="eastAsia"/>
        </w:rPr>
        <w:t>「（第1項）第十七條至第二十條及第二十四條關於法官迴避之規定，於檢察官、檢察事務官及辦理檢察事務之書記官準用之。但不得以曾於下級檢察署執行檢察官、檢察事務官、書記官或通譯之職務，為迴避之原因。（第2項）檢察官、檢察事務官及前項書記官之迴避，應聲請所屬檢察長或檢察總長核定之。（第3項）檢察長之迴避，應聲請直接上級檢察署檢察長或檢察總長核定之；其檢察官僅有一人者，亦</w:t>
      </w:r>
      <w:r w:rsidRPr="00C55A9D">
        <w:rPr>
          <w:rFonts w:hint="eastAsia"/>
        </w:rPr>
        <w:lastRenderedPageBreak/>
        <w:t>同。」</w:t>
      </w:r>
      <w:r>
        <w:rPr>
          <w:rFonts w:hint="eastAsia"/>
        </w:rPr>
        <w:t>刑事訴訟法第3條、第17條、第18條、第24條及第26條分別定有明文。</w:t>
      </w:r>
    </w:p>
    <w:p w14:paraId="4D183D19" w14:textId="77777777" w:rsidR="00AF20C2" w:rsidRDefault="00AF20C2" w:rsidP="00AF20C2">
      <w:pPr>
        <w:pStyle w:val="4"/>
        <w:numPr>
          <w:ilvl w:val="3"/>
          <w:numId w:val="1"/>
        </w:numPr>
      </w:pPr>
      <w:r>
        <w:rPr>
          <w:rFonts w:hint="eastAsia"/>
        </w:rPr>
        <w:t>臺北地檢署、臺灣高檢署、法務部於本院詢問時提出之書面資料亦均表示</w:t>
      </w:r>
      <w:r w:rsidRPr="00AE0EDE">
        <w:rPr>
          <w:rFonts w:hint="eastAsia"/>
          <w:b/>
        </w:rPr>
        <w:t>聲請檢察官、檢察事務官迴避之人若非本案當事人，依法自無聲請迴避之權</w:t>
      </w:r>
      <w:r>
        <w:rPr>
          <w:rFonts w:hint="eastAsia"/>
        </w:rPr>
        <w:t>，其聲請於法不合，應予駁回。</w:t>
      </w:r>
    </w:p>
    <w:p w14:paraId="35ECC06C" w14:textId="77777777" w:rsidR="00AF20C2" w:rsidRDefault="00AF20C2" w:rsidP="00AF20C2">
      <w:pPr>
        <w:pStyle w:val="4"/>
        <w:numPr>
          <w:ilvl w:val="3"/>
          <w:numId w:val="1"/>
        </w:numPr>
      </w:pPr>
      <w:r>
        <w:rPr>
          <w:rFonts w:hint="eastAsia"/>
        </w:rPr>
        <w:t>由上開法條文義及相關機關回應可知，現行刑事訴訟法關於</w:t>
      </w:r>
      <w:r w:rsidRPr="006B6AAF">
        <w:rPr>
          <w:rFonts w:hint="eastAsia"/>
          <w:b/>
        </w:rPr>
        <w:t>非當事人</w:t>
      </w:r>
      <w:r>
        <w:rPr>
          <w:rFonts w:hint="eastAsia"/>
        </w:rPr>
        <w:t>之訴訟關係人（例如告訴人、告發人）</w:t>
      </w:r>
      <w:r w:rsidRPr="006B6AAF">
        <w:rPr>
          <w:rFonts w:hint="eastAsia"/>
          <w:b/>
        </w:rPr>
        <w:t>實定法上並無聲請檢察長、檢察官、檢察事務官迴避之權</w:t>
      </w:r>
      <w:r>
        <w:rPr>
          <w:rFonts w:hint="eastAsia"/>
        </w:rPr>
        <w:t>，即便聲請亦將遭駁回，僅能仰仗</w:t>
      </w:r>
      <w:r w:rsidRPr="006B6AAF">
        <w:rPr>
          <w:rFonts w:hint="eastAsia"/>
          <w:b/>
        </w:rPr>
        <w:t>職權命令迴避</w:t>
      </w:r>
      <w:r>
        <w:rPr>
          <w:rFonts w:hint="eastAsia"/>
        </w:rPr>
        <w:t>或</w:t>
      </w:r>
      <w:r w:rsidRPr="006B6AAF">
        <w:rPr>
          <w:rFonts w:hint="eastAsia"/>
          <w:b/>
        </w:rPr>
        <w:t>自行迴避</w:t>
      </w:r>
      <w:r>
        <w:rPr>
          <w:rFonts w:hint="eastAsia"/>
        </w:rPr>
        <w:t>之制度，影響非當事人之訴訟關係人權益甚鉅。</w:t>
      </w:r>
    </w:p>
    <w:p w14:paraId="569ECEFE" w14:textId="77777777" w:rsidR="00AF20C2" w:rsidRDefault="00AF20C2" w:rsidP="00AF20C2">
      <w:pPr>
        <w:pStyle w:val="4"/>
        <w:numPr>
          <w:ilvl w:val="3"/>
          <w:numId w:val="1"/>
        </w:numPr>
      </w:pPr>
      <w:r w:rsidRPr="00C87836">
        <w:rPr>
          <w:rFonts w:hint="eastAsia"/>
        </w:rPr>
        <w:t>又</w:t>
      </w:r>
      <w:r>
        <w:rPr>
          <w:rFonts w:hint="eastAsia"/>
        </w:rPr>
        <w:t>過往</w:t>
      </w:r>
      <w:r w:rsidRPr="00C87836">
        <w:rPr>
          <w:rFonts w:hint="eastAsia"/>
        </w:rPr>
        <w:t>法務部雖曾有（85）法檢（二）字第1299號函：「座談日期：民國85年6月12日座談機關：臺灣高雄地方法院檢察署法律問題：告訴人認為承辦檢察官執行職務有偏頗之虞者，雖不合法定應自行迴避之要件，得否聲請檢察官迴避？提案機關討論意見：甲說：告訴人非刑事訴訟法第三條所列當事人，不得聲請。乙說：檢察官係偵查主體，其不起訴處分確定有實質確定力，於告訴人權益影響甚大。依刑事訴訟法第二十六條準用第十八條規定，應認告訴人得聲請。審查意見：聲請法官迴避、限於當事人，而所謂當事人，係以檢察官，自訴人及被告為限，則當事人以外之告訴人，因無聲請法官迴避之權。惟案件尚在偵查中，檢察官係偵查主體，就案件如何偵辦以及是否起訴對被告及告訴人雙方之權益，影響甚大。依刑事訴訟法第二十六條準用第十八條之法理為類推之應用，宜認告訴人得聲請檢察官迴避 (參程元藩、曹偉修著刑事訴訟法釋義上冊第八</w:t>
      </w:r>
      <w:r w:rsidRPr="00C87836">
        <w:rPr>
          <w:rFonts w:hint="eastAsia"/>
        </w:rPr>
        <w:lastRenderedPageBreak/>
        <w:t>十五頁) 座談會研討結果：第一、二梯次均：照審查意見辦理。臺灣高等法院檢察署研究意見：多數贊同該座談會研討結果，即同意採乙說。法務部檢察司研究意見：同意座談會研討結果採乙說。」，惟該函僅係法律座談會之審查意見，法務部檢察司固同意座談會之研討結果，然畢竟僅係檢察機關認為得類推適用刑事訴訟法第26條準用第18條寬認告訴人得聲請檢察官迴避，實務上個案中若認為非當事人不得聲請迴避亦難謂非法，仍有遭程序駁回之風險，蓋實定法上非當事人之告訴人確無聲請迴避權，告發人或其他訴訟關係人亦無論及，對非當事人之訴訟上權益恐保障不足。</w:t>
      </w:r>
    </w:p>
    <w:p w14:paraId="2577C55C" w14:textId="77777777" w:rsidR="00AF20C2" w:rsidRDefault="00AF20C2" w:rsidP="00AF20C2">
      <w:pPr>
        <w:pStyle w:val="3"/>
        <w:numPr>
          <w:ilvl w:val="2"/>
          <w:numId w:val="1"/>
        </w:numPr>
      </w:pPr>
      <w:r>
        <w:rPr>
          <w:rFonts w:hint="eastAsia"/>
        </w:rPr>
        <w:t>另若聲請檢察長、檢察官、檢察事務官迴避遭駁回之核定後，得否救濟乙節：</w:t>
      </w:r>
    </w:p>
    <w:p w14:paraId="7EDB2127" w14:textId="77777777" w:rsidR="00AF20C2" w:rsidRDefault="00AF20C2" w:rsidP="00AF20C2">
      <w:pPr>
        <w:pStyle w:val="4"/>
        <w:numPr>
          <w:ilvl w:val="3"/>
          <w:numId w:val="1"/>
        </w:numPr>
      </w:pPr>
      <w:r>
        <w:rPr>
          <w:rFonts w:hint="eastAsia"/>
        </w:rPr>
        <w:t>按「</w:t>
      </w:r>
      <w:r w:rsidRPr="00836FF4">
        <w:rPr>
          <w:rFonts w:hint="eastAsia"/>
          <w:b/>
        </w:rPr>
        <w:t>對於判決前關於管轄或訴訟程序之裁定，不得抗告。</w:t>
      </w:r>
      <w:r>
        <w:rPr>
          <w:rFonts w:hint="eastAsia"/>
        </w:rPr>
        <w:t>但下列裁定，不在此限：一、有得抗告之明文規定者。二、關於羈押、具保、責付、限制住居、限制出境、限制出海、搜索、扣押或扣押物發還、變價、擔保金、身體檢查、通訊監察、因鑑定將被告送入醫院或其他處所之裁定及依第一百零五條第三項、第四項所為之禁止或扣押之裁定。三、對於限制辯護人與被告接見或互通書信之裁定。」「對於審判長、受命法官、受託法官或檢察官所為</w:t>
      </w:r>
      <w:r w:rsidRPr="002852FD">
        <w:rPr>
          <w:rFonts w:hint="eastAsia"/>
          <w:b/>
        </w:rPr>
        <w:t>下列處分有不服者，受處分人得聲請所屬法院撤銷或變更之</w:t>
      </w:r>
      <w:r>
        <w:rPr>
          <w:rFonts w:hint="eastAsia"/>
        </w:rPr>
        <w:t>。處分已執行終結，受處分人亦得聲請，法院不得以已執行終結而無實益為由駁回：一、關於羈押、具保、責付、限制住居、限制出境、限制出海、搜索、扣押或扣押物發還、變價、擔保金、因鑑定將被告送入醫</w:t>
      </w:r>
      <w:r>
        <w:rPr>
          <w:rFonts w:hint="eastAsia"/>
        </w:rPr>
        <w:lastRenderedPageBreak/>
        <w:t>院或其他處所之處分、身體檢查、通訊監察及第一百零五條第三項、第四項所為之禁止或扣押之處分。二、對於證人、鑑定人或通譯科罰鍰之處分。三、對於限制辯護人與被告接見或互通書信之處分。四、對於第三十四條第三項指定之處分。」刑事訴訟法第404條第1項、第416條第1項分別定有明文。</w:t>
      </w:r>
    </w:p>
    <w:p w14:paraId="3793C0FE" w14:textId="77777777" w:rsidR="00AF20C2" w:rsidRDefault="00AF20C2" w:rsidP="00AF20C2">
      <w:pPr>
        <w:pStyle w:val="4"/>
        <w:numPr>
          <w:ilvl w:val="3"/>
          <w:numId w:val="1"/>
        </w:numPr>
      </w:pPr>
      <w:r>
        <w:rPr>
          <w:rFonts w:hint="eastAsia"/>
        </w:rPr>
        <w:t>另最高法院108年台抗字第1496號刑事裁定：「按對於判決前關於管轄或訴訟程序之裁定，除有得抗告之明文規定者外，不得抗告，刑事訴訟法第404條第1項定有明文。</w:t>
      </w:r>
      <w:r w:rsidRPr="002852FD">
        <w:rPr>
          <w:rFonts w:hint="eastAsia"/>
          <w:b/>
        </w:rPr>
        <w:t>又聲請法官迴避經裁定駁回者，得提起抗告，為同法第23條所明定</w:t>
      </w:r>
      <w:r>
        <w:rPr>
          <w:rFonts w:hint="eastAsia"/>
        </w:rPr>
        <w:t>；至同法第26條雖規定</w:t>
      </w:r>
      <w:r w:rsidRPr="00836FF4">
        <w:rPr>
          <w:rFonts w:hint="eastAsia"/>
          <w:b/>
        </w:rPr>
        <w:t>檢察官迴避之聲請</w:t>
      </w:r>
      <w:r>
        <w:rPr>
          <w:rFonts w:hint="eastAsia"/>
        </w:rPr>
        <w:t>，準用第17條至第20條及第24條關於法官迴避之規定，但上開</w:t>
      </w:r>
      <w:r w:rsidRPr="00836FF4">
        <w:rPr>
          <w:rFonts w:hint="eastAsia"/>
          <w:b/>
        </w:rPr>
        <w:t>第23條規定並不在準用之列</w:t>
      </w:r>
      <w:r>
        <w:rPr>
          <w:rFonts w:hint="eastAsia"/>
        </w:rPr>
        <w:t>，亦即</w:t>
      </w:r>
      <w:r w:rsidRPr="00E568B5">
        <w:rPr>
          <w:rFonts w:hint="eastAsia"/>
          <w:b/>
        </w:rPr>
        <w:t>關於聲請檢察官迴避之裁定，不得抗告</w:t>
      </w:r>
      <w:r>
        <w:rPr>
          <w:rFonts w:hint="eastAsia"/>
        </w:rPr>
        <w:t>。本件原裁定(一)關於駁回抗告人聲請指定辯護人、移轉管轄、（促）聲請大法官就法律違憲解釋以及裁定停止訴訟程序等，係法院判決其涉犯刑法第211條變造公文書罪嫌前關於訴訟程序之裁定；</w:t>
      </w:r>
      <w:r w:rsidRPr="002852FD">
        <w:rPr>
          <w:rFonts w:hint="eastAsia"/>
          <w:b/>
        </w:rPr>
        <w:t>而駁回關於聲請檢察官迴避部分，則均無得抗告之特別規定，即屬不得抗告</w:t>
      </w:r>
      <w:r>
        <w:rPr>
          <w:rFonts w:hint="eastAsia"/>
        </w:rPr>
        <w:t>。抗告人猶為與原審相同之主張，對上述事項一併提起抗告，自非法之所許，應予駁回。」</w:t>
      </w:r>
    </w:p>
    <w:p w14:paraId="3A5F9270" w14:textId="77777777" w:rsidR="00AF20C2" w:rsidRDefault="00AF20C2" w:rsidP="00AF20C2">
      <w:pPr>
        <w:pStyle w:val="4"/>
        <w:numPr>
          <w:ilvl w:val="3"/>
          <w:numId w:val="1"/>
        </w:numPr>
      </w:pPr>
      <w:r>
        <w:rPr>
          <w:rFonts w:hint="eastAsia"/>
        </w:rPr>
        <w:t>另臺灣士林地方法院108年度聲字第1049號刑事裁定：「按刑事訴訟法第17條至第20條及第24條關於推事迴避之規定，於檢察官及辦理檢察事務之書記官準用之。但不得以曾於下級法院執行檢察官、書記官或通譯之職務，為迴避之原因；又檢察官及前項書記官之迴避，應聲請所屬首席檢</w:t>
      </w:r>
      <w:r>
        <w:rPr>
          <w:rFonts w:hint="eastAsia"/>
        </w:rPr>
        <w:lastRenderedPageBreak/>
        <w:t>察官或檢察長核定之。刑事訴訟法第26條第1、2、3項分別定有明文。</w:t>
      </w:r>
      <w:r w:rsidRPr="00836FF4">
        <w:rPr>
          <w:rFonts w:hint="eastAsia"/>
          <w:b/>
        </w:rPr>
        <w:t>其中就該法第23條關於聲請推事迴避經裁定駁回者，得提出抗告之規定，並不在準用之列。</w:t>
      </w:r>
      <w:r>
        <w:rPr>
          <w:rFonts w:hint="eastAsia"/>
        </w:rPr>
        <w:t>從而，當事人聲請檢察官迴避，經檢察長核定後，於</w:t>
      </w:r>
      <w:r w:rsidRPr="00836FF4">
        <w:rPr>
          <w:rFonts w:hint="eastAsia"/>
          <w:b/>
        </w:rPr>
        <w:t>現行刑事訴訟法並無得向法院提起抗告或準用抗告之相關規定</w:t>
      </w:r>
      <w:r>
        <w:rPr>
          <w:rFonts w:hint="eastAsia"/>
        </w:rPr>
        <w:t>。至於同法第416條第1項所指對於審判長、受命法官、受託法官或檢察官所為處分有不服者，受處分人得聲請所屬法院撤銷或變更之規定，</w:t>
      </w:r>
      <w:r w:rsidRPr="00836FF4">
        <w:rPr>
          <w:rFonts w:hint="eastAsia"/>
          <w:b/>
        </w:rPr>
        <w:t>其列舉之處分亦不包括檢察長針對聲請檢察官迴避所為之核定</w:t>
      </w:r>
      <w:r>
        <w:rPr>
          <w:rFonts w:hint="eastAsia"/>
        </w:rPr>
        <w:t>，</w:t>
      </w:r>
      <w:r w:rsidRPr="00F3582E">
        <w:rPr>
          <w:rFonts w:hint="eastAsia"/>
          <w:b/>
        </w:rPr>
        <w:t>則就聲請檢察官迴避之核定結果，亦無從援引刑事訴訟法第416條第1項規定，聲請法院撤銷或變更之</w:t>
      </w:r>
      <w:r>
        <w:rPr>
          <w:rFonts w:hint="eastAsia"/>
        </w:rPr>
        <w:t>，合先敘明。」</w:t>
      </w:r>
    </w:p>
    <w:p w14:paraId="7F819512" w14:textId="77777777" w:rsidR="00AF20C2" w:rsidRDefault="00AF20C2" w:rsidP="00AF20C2">
      <w:pPr>
        <w:pStyle w:val="4"/>
        <w:numPr>
          <w:ilvl w:val="3"/>
          <w:numId w:val="1"/>
        </w:numPr>
      </w:pPr>
      <w:r>
        <w:rPr>
          <w:rFonts w:hint="eastAsia"/>
        </w:rPr>
        <w:t>由上開刑事訴訟法第404條及第416法條文義解釋及實務見解可知，對於檢察長駁回聲請檢察官、檢察事務官迴避所為之核定並無對之提起抗告或準抗告之餘地，</w:t>
      </w:r>
      <w:r w:rsidRPr="00853415">
        <w:rPr>
          <w:rFonts w:hint="eastAsia"/>
        </w:rPr>
        <w:t>致檢察官迴避制度</w:t>
      </w:r>
      <w:r>
        <w:rPr>
          <w:rFonts w:hint="eastAsia"/>
        </w:rPr>
        <w:t>實際上僅</w:t>
      </w:r>
      <w:r w:rsidRPr="00853415">
        <w:rPr>
          <w:rFonts w:hint="eastAsia"/>
        </w:rPr>
        <w:t>為</w:t>
      </w:r>
      <w:r>
        <w:rPr>
          <w:rFonts w:hint="eastAsia"/>
        </w:rPr>
        <w:t>檢察</w:t>
      </w:r>
      <w:r w:rsidRPr="00853415">
        <w:rPr>
          <w:rFonts w:hint="eastAsia"/>
        </w:rPr>
        <w:t>內部管控</w:t>
      </w:r>
      <w:r>
        <w:rPr>
          <w:rFonts w:hint="eastAsia"/>
        </w:rPr>
        <w:t>，</w:t>
      </w:r>
      <w:r w:rsidRPr="00853415">
        <w:rPr>
          <w:rFonts w:hint="eastAsia"/>
        </w:rPr>
        <w:t>而逸脫法院之</w:t>
      </w:r>
      <w:r>
        <w:rPr>
          <w:rFonts w:hint="eastAsia"/>
        </w:rPr>
        <w:t>外部</w:t>
      </w:r>
      <w:r w:rsidRPr="00853415">
        <w:rPr>
          <w:rFonts w:hint="eastAsia"/>
        </w:rPr>
        <w:t>監督</w:t>
      </w:r>
      <w:r>
        <w:rPr>
          <w:rFonts w:hint="eastAsia"/>
        </w:rPr>
        <w:t>，對於偵查中當事人及非當事人司法信任度恐有不利之影響</w:t>
      </w:r>
      <w:r w:rsidRPr="00853415">
        <w:rPr>
          <w:rFonts w:hint="eastAsia"/>
        </w:rPr>
        <w:t>。</w:t>
      </w:r>
    </w:p>
    <w:p w14:paraId="14D8F2C0" w14:textId="6A0E3811" w:rsidR="00AF20C2" w:rsidRDefault="00AF20C2" w:rsidP="00AF20C2">
      <w:pPr>
        <w:pStyle w:val="10"/>
        <w:ind w:leftChars="167" w:left="1418" w:hangingChars="250" w:hanging="850"/>
      </w:pPr>
      <w:r w:rsidRPr="006353E1">
        <w:rPr>
          <w:rFonts w:hint="eastAsia"/>
        </w:rPr>
        <w:t xml:space="preserve"> </w:t>
      </w:r>
      <w:r>
        <w:t>(</w:t>
      </w:r>
      <w:r>
        <w:rPr>
          <w:rFonts w:hint="eastAsia"/>
        </w:rPr>
        <w:t>三</w:t>
      </w:r>
      <w:r>
        <w:t>)</w:t>
      </w:r>
      <w:r>
        <w:rPr>
          <w:rFonts w:hint="eastAsia"/>
        </w:rPr>
        <w:t>綜上所述，現行刑事訴訟法對於</w:t>
      </w:r>
      <w:r w:rsidRPr="00F3582E">
        <w:rPr>
          <w:rFonts w:hint="eastAsia"/>
          <w:b/>
        </w:rPr>
        <w:t>非當事人聲請檢察官迴避之制度似有不足</w:t>
      </w:r>
      <w:r>
        <w:rPr>
          <w:rFonts w:hint="eastAsia"/>
        </w:rPr>
        <w:t>；且對於聲請檢察官迴避</w:t>
      </w:r>
      <w:r w:rsidRPr="00F3582E">
        <w:rPr>
          <w:rFonts w:hint="eastAsia"/>
          <w:b/>
        </w:rPr>
        <w:t>遭駁回之核定亦無救濟之管道</w:t>
      </w:r>
      <w:r>
        <w:rPr>
          <w:rFonts w:hint="eastAsia"/>
        </w:rPr>
        <w:t>。是為保障訴訟關係人之訴訴上權益並維護司法公正，爰送請刑事訴訟法主管機關司法院作為日後修法之參考</w:t>
      </w:r>
      <w:r w:rsidRPr="003A5584">
        <w:rPr>
          <w:rFonts w:hint="eastAsia"/>
        </w:rPr>
        <w:t>。</w:t>
      </w:r>
    </w:p>
    <w:p w14:paraId="422B5390" w14:textId="77777777" w:rsidR="00AF20C2" w:rsidRDefault="00AF20C2" w:rsidP="00AF20C2">
      <w:pPr>
        <w:pStyle w:val="10"/>
        <w:ind w:left="680" w:firstLine="680"/>
      </w:pPr>
    </w:p>
    <w:p w14:paraId="13318917" w14:textId="77777777" w:rsidR="00AF20C2" w:rsidRDefault="00AF20C2" w:rsidP="00AF20C2">
      <w:pPr>
        <w:pStyle w:val="10"/>
        <w:ind w:left="680" w:firstLine="680"/>
      </w:pPr>
    </w:p>
    <w:p w14:paraId="6E64FFA9" w14:textId="77777777" w:rsidR="00AF20C2" w:rsidRDefault="00AF20C2" w:rsidP="00AF20C2">
      <w:pPr>
        <w:pStyle w:val="10"/>
        <w:ind w:left="680" w:firstLine="680"/>
      </w:pPr>
    </w:p>
    <w:p w14:paraId="33B0DB19" w14:textId="77777777" w:rsidR="00AF20C2" w:rsidRDefault="00AF20C2" w:rsidP="00AF20C2">
      <w:pPr>
        <w:pStyle w:val="10"/>
        <w:ind w:left="680" w:firstLine="680"/>
      </w:pPr>
    </w:p>
    <w:p w14:paraId="22D22CB8" w14:textId="77777777" w:rsidR="00AF20C2" w:rsidRDefault="00AF20C2" w:rsidP="00AF20C2">
      <w:pPr>
        <w:pStyle w:val="10"/>
        <w:ind w:left="680" w:firstLine="680"/>
      </w:pPr>
    </w:p>
    <w:p w14:paraId="71312718" w14:textId="7641F25E" w:rsidR="00E25849" w:rsidRDefault="00AF20C2" w:rsidP="00AF20C2">
      <w:pPr>
        <w:pStyle w:val="10"/>
        <w:ind w:leftChars="0" w:left="680" w:hangingChars="200" w:hanging="680"/>
      </w:pPr>
      <w:r>
        <w:rPr>
          <w:rFonts w:hint="eastAsia"/>
        </w:rPr>
        <w:lastRenderedPageBreak/>
        <w:t>參</w:t>
      </w:r>
      <w:r>
        <w:rPr>
          <w:rFonts w:hAnsi="標楷體" w:hint="eastAsia"/>
        </w:rPr>
        <w:t>、</w:t>
      </w:r>
      <w:r w:rsidR="00C63603">
        <w:rPr>
          <w:rFonts w:hint="eastAsia"/>
        </w:rPr>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5B5B923" w14:textId="236922B1" w:rsidR="002C7EC7" w:rsidRPr="004755E1" w:rsidRDefault="00E25849" w:rsidP="00AF20C2">
      <w:pPr>
        <w:pStyle w:val="2"/>
        <w:numPr>
          <w:ilvl w:val="1"/>
          <w:numId w:val="16"/>
        </w:numPr>
        <w:rPr>
          <w:color w:val="000000" w:themeColor="text1"/>
        </w:rPr>
      </w:pPr>
      <w:bookmarkStart w:id="75" w:name="_Toc524895649"/>
      <w:bookmarkStart w:id="76" w:name="_Toc524896195"/>
      <w:bookmarkStart w:id="77" w:name="_Toc524896225"/>
      <w:bookmarkStart w:id="78" w:name="_Toc2400396"/>
      <w:bookmarkStart w:id="79" w:name="_Toc4316190"/>
      <w:bookmarkStart w:id="80" w:name="_Toc4473331"/>
      <w:bookmarkStart w:id="81" w:name="_Toc69556898"/>
      <w:bookmarkStart w:id="82" w:name="_Toc69556947"/>
      <w:bookmarkStart w:id="83" w:name="_Toc69609821"/>
      <w:bookmarkStart w:id="84" w:name="_Toc70241817"/>
      <w:bookmarkStart w:id="85" w:name="_Toc70242206"/>
      <w:bookmarkStart w:id="86" w:name="_Toc421794877"/>
      <w:bookmarkStart w:id="87" w:name="_Toc421795443"/>
      <w:bookmarkStart w:id="88" w:name="_Toc421796024"/>
      <w:bookmarkStart w:id="89" w:name="_Toc422728959"/>
      <w:bookmarkStart w:id="90" w:name="_Toc422834162"/>
      <w:bookmarkStart w:id="91" w:name="_Toc524902735"/>
      <w:bookmarkStart w:id="92" w:name="_Toc525066149"/>
      <w:bookmarkStart w:id="93" w:name="_Toc525070840"/>
      <w:bookmarkStart w:id="94" w:name="_Toc525938380"/>
      <w:bookmarkStart w:id="95" w:name="_Toc525939228"/>
      <w:bookmarkStart w:id="96" w:name="_Toc525939733"/>
      <w:bookmarkStart w:id="97" w:name="_Toc529218273"/>
      <w:bookmarkStart w:id="98" w:name="_Toc529222690"/>
      <w:bookmarkStart w:id="99" w:name="_Toc529223112"/>
      <w:bookmarkStart w:id="100" w:name="_Toc529223863"/>
      <w:bookmarkStart w:id="101" w:name="_Toc529228266"/>
      <w:bookmarkEnd w:id="75"/>
      <w:bookmarkEnd w:id="76"/>
      <w:bookmarkEnd w:id="77"/>
      <w:r w:rsidRPr="004755E1">
        <w:rPr>
          <w:rFonts w:hint="eastAsia"/>
          <w:color w:val="000000" w:themeColor="text1"/>
        </w:rPr>
        <w:t>調查意見</w:t>
      </w:r>
      <w:r w:rsidR="00267E55">
        <w:rPr>
          <w:rFonts w:hint="eastAsia"/>
          <w:color w:val="000000" w:themeColor="text1"/>
        </w:rPr>
        <w:t>一</w:t>
      </w:r>
      <w:r w:rsidR="003B2D52">
        <w:rPr>
          <w:rFonts w:hint="eastAsia"/>
          <w:color w:val="000000" w:themeColor="text1"/>
        </w:rPr>
        <w:t>，函請臺灣臺北地方檢察署</w:t>
      </w:r>
      <w:r w:rsidR="00F149FF">
        <w:rPr>
          <w:rFonts w:hint="eastAsia"/>
          <w:color w:val="000000" w:themeColor="text1"/>
        </w:rPr>
        <w:t>研議見復</w:t>
      </w:r>
      <w:r w:rsidR="002C7EC7" w:rsidRPr="004755E1">
        <w:rPr>
          <w:rFonts w:hint="eastAsia"/>
          <w:color w:val="000000" w:themeColor="text1"/>
        </w:rPr>
        <w:t>。</w:t>
      </w:r>
    </w:p>
    <w:p w14:paraId="278C191B" w14:textId="1C3A8BA2" w:rsidR="00E25849" w:rsidRDefault="002C7EC7" w:rsidP="00AF20C2">
      <w:pPr>
        <w:pStyle w:val="2"/>
        <w:numPr>
          <w:ilvl w:val="1"/>
          <w:numId w:val="16"/>
        </w:numPr>
      </w:pPr>
      <w:r w:rsidRPr="002C7EC7">
        <w:rPr>
          <w:rFonts w:hint="eastAsia"/>
        </w:rPr>
        <w:t>調查意見</w:t>
      </w:r>
      <w:r w:rsidR="00B357CC">
        <w:rPr>
          <w:rFonts w:hint="eastAsia"/>
        </w:rPr>
        <w:t>二</w:t>
      </w:r>
      <w:r w:rsidR="00E25849">
        <w:rPr>
          <w:rFonts w:hint="eastAsia"/>
        </w:rPr>
        <w:t>，函請</w:t>
      </w:r>
      <w:r w:rsidR="007B3CE6">
        <w:rPr>
          <w:rFonts w:hint="eastAsia"/>
        </w:rPr>
        <w:t>臺灣臺北地方檢察署及</w:t>
      </w:r>
      <w:r w:rsidR="003B2D52">
        <w:rPr>
          <w:rFonts w:hint="eastAsia"/>
        </w:rPr>
        <w:t>法務部</w:t>
      </w:r>
      <w:r w:rsidR="00B357CC">
        <w:rPr>
          <w:rFonts w:hint="eastAsia"/>
        </w:rPr>
        <w:t>研議</w:t>
      </w:r>
      <w:r w:rsidR="00E25849">
        <w:rPr>
          <w:rFonts w:hint="eastAsia"/>
        </w:rPr>
        <w:t>見復。</w:t>
      </w:r>
      <w:bookmarkEnd w:id="78"/>
      <w:bookmarkEnd w:id="79"/>
      <w:bookmarkEnd w:id="80"/>
      <w:bookmarkEnd w:id="81"/>
      <w:bookmarkEnd w:id="82"/>
      <w:bookmarkEnd w:id="83"/>
      <w:bookmarkEnd w:id="84"/>
      <w:bookmarkEnd w:id="85"/>
      <w:bookmarkEnd w:id="86"/>
      <w:bookmarkEnd w:id="87"/>
      <w:bookmarkEnd w:id="88"/>
      <w:bookmarkEnd w:id="89"/>
      <w:bookmarkEnd w:id="90"/>
    </w:p>
    <w:p w14:paraId="7644D613" w14:textId="454031D3" w:rsidR="00F149FF" w:rsidRDefault="003B2D52" w:rsidP="00AF20C2">
      <w:pPr>
        <w:pStyle w:val="2"/>
        <w:numPr>
          <w:ilvl w:val="1"/>
          <w:numId w:val="16"/>
        </w:numPr>
      </w:pPr>
      <w:r>
        <w:rPr>
          <w:rFonts w:hint="eastAsia"/>
        </w:rPr>
        <w:t>調查意見三，函請司法院</w:t>
      </w:r>
      <w:r w:rsidR="00F149FF">
        <w:rPr>
          <w:rFonts w:hint="eastAsia"/>
        </w:rPr>
        <w:t>參處。</w:t>
      </w:r>
    </w:p>
    <w:p w14:paraId="4AC45467" w14:textId="733263CD" w:rsidR="00BE6D71" w:rsidRDefault="00BE6D71" w:rsidP="00AF20C2">
      <w:pPr>
        <w:pStyle w:val="2"/>
        <w:numPr>
          <w:ilvl w:val="1"/>
          <w:numId w:val="16"/>
        </w:numPr>
      </w:pPr>
      <w:r w:rsidRPr="00BE6D71">
        <w:rPr>
          <w:rFonts w:hint="eastAsia"/>
        </w:rPr>
        <w:t>調查意見，函復本案陳訴人。</w:t>
      </w:r>
    </w:p>
    <w:bookmarkEnd w:id="91"/>
    <w:bookmarkEnd w:id="92"/>
    <w:bookmarkEnd w:id="93"/>
    <w:bookmarkEnd w:id="94"/>
    <w:bookmarkEnd w:id="95"/>
    <w:bookmarkEnd w:id="96"/>
    <w:bookmarkEnd w:id="97"/>
    <w:bookmarkEnd w:id="98"/>
    <w:bookmarkEnd w:id="99"/>
    <w:bookmarkEnd w:id="100"/>
    <w:bookmarkEnd w:id="101"/>
    <w:p w14:paraId="47E06170" w14:textId="105AE05B"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AF20C2">
        <w:rPr>
          <w:rFonts w:hint="eastAsia"/>
          <w:b w:val="0"/>
          <w:bCs/>
          <w:snapToGrid/>
          <w:spacing w:val="12"/>
          <w:kern w:val="0"/>
          <w:sz w:val="40"/>
        </w:rPr>
        <w:t>劉德勳</w:t>
      </w:r>
      <w:bookmarkStart w:id="102" w:name="_GoBack"/>
      <w:bookmarkEnd w:id="102"/>
    </w:p>
    <w:sectPr w:rsidR="00E2584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DB32A" w14:textId="77777777" w:rsidR="009D2AAE" w:rsidRDefault="009D2AAE">
      <w:r>
        <w:separator/>
      </w:r>
    </w:p>
  </w:endnote>
  <w:endnote w:type="continuationSeparator" w:id="0">
    <w:p w14:paraId="4E9B9114" w14:textId="77777777" w:rsidR="009D2AAE" w:rsidRDefault="009D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456FC" w14:textId="1FFFA85A" w:rsidR="00534C67" w:rsidRDefault="00534C6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F20C2">
      <w:rPr>
        <w:rStyle w:val="ac"/>
        <w:noProof/>
        <w:sz w:val="24"/>
      </w:rPr>
      <w:t>20</w:t>
    </w:r>
    <w:r>
      <w:rPr>
        <w:rStyle w:val="ac"/>
        <w:sz w:val="24"/>
      </w:rPr>
      <w:fldChar w:fldCharType="end"/>
    </w:r>
  </w:p>
  <w:p w14:paraId="7549EBA5" w14:textId="77777777" w:rsidR="00534C67" w:rsidRDefault="00534C6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21138" w14:textId="77777777" w:rsidR="009D2AAE" w:rsidRDefault="009D2AAE">
      <w:r>
        <w:separator/>
      </w:r>
    </w:p>
  </w:footnote>
  <w:footnote w:type="continuationSeparator" w:id="0">
    <w:p w14:paraId="495FB57B" w14:textId="77777777" w:rsidR="009D2AAE" w:rsidRDefault="009D2AAE">
      <w:r>
        <w:continuationSeparator/>
      </w:r>
    </w:p>
  </w:footnote>
  <w:footnote w:id="1">
    <w:p w14:paraId="36A6362B" w14:textId="77777777" w:rsidR="00AF20C2" w:rsidRDefault="00AF20C2" w:rsidP="00AF20C2">
      <w:pPr>
        <w:pStyle w:val="afc"/>
        <w:ind w:left="1700" w:right="680" w:hanging="680"/>
      </w:pPr>
      <w:r>
        <w:rPr>
          <w:rStyle w:val="afe"/>
        </w:rPr>
        <w:footnoteRef/>
      </w:r>
      <w:r>
        <w:t xml:space="preserve"> </w:t>
      </w:r>
      <w:r>
        <w:rPr>
          <w:rFonts w:hint="eastAsia"/>
        </w:rPr>
        <w:t>司法院釋字第665號解釋理由書：「</w:t>
      </w:r>
      <w:r>
        <w:rPr>
          <w:rFonts w:hAnsi="標楷體" w:hint="eastAsia"/>
        </w:rPr>
        <w:t>……</w:t>
      </w:r>
      <w:r w:rsidRPr="00D03840">
        <w:rPr>
          <w:rFonts w:hAnsi="標楷體" w:hint="eastAsia"/>
        </w:rPr>
        <w:t>上開第六條規定相牽連刑事案件分別繫屬於有管轄權之不同法院時，得合併由其中一法院管轄，</w:t>
      </w:r>
      <w:r w:rsidRPr="00D03840">
        <w:rPr>
          <w:rFonts w:hAnsi="標楷體" w:hint="eastAsia"/>
          <w:b/>
          <w:bCs/>
        </w:rPr>
        <w:t>旨在避免重複調查事證之勞費及裁判之歧異，符合訴訟經濟及裁判一致性之要求</w:t>
      </w:r>
      <w:r w:rsidRPr="00D03840">
        <w:rPr>
          <w:rFonts w:hAnsi="標楷體" w:hint="eastAsia"/>
        </w:rPr>
        <w:t>。</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BB6171"/>
    <w:multiLevelType w:val="multilevel"/>
    <w:tmpl w:val="EE0E37F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decimal"/>
      <w:lvlText w:val="%2."/>
      <w:lvlJc w:val="left"/>
      <w:pPr>
        <w:ind w:left="1021" w:hanging="681"/>
      </w:pPr>
      <w:rPr>
        <w:rFonts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40E010C"/>
    <w:multiLevelType w:val="multilevel"/>
    <w:tmpl w:val="E97E342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8F3597C"/>
    <w:multiLevelType w:val="multilevel"/>
    <w:tmpl w:val="8BAE27FC"/>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lvlText w:val="%2、"/>
      <w:lvlJc w:val="left"/>
      <w:pPr>
        <w:ind w:left="1021" w:hanging="681"/>
      </w:pPr>
      <w:rPr>
        <w:rFonts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
  </w:num>
  <w:num w:numId="2">
    <w:abstractNumId w:val="3"/>
  </w:num>
  <w:num w:numId="3">
    <w:abstractNumId w:val="0"/>
  </w:num>
  <w:num w:numId="4">
    <w:abstractNumId w:val="6"/>
  </w:num>
  <w:num w:numId="5">
    <w:abstractNumId w:val="4"/>
  </w:num>
  <w:num w:numId="6">
    <w:abstractNumId w:val="7"/>
  </w:num>
  <w:num w:numId="7">
    <w:abstractNumId w:val="2"/>
  </w:num>
  <w:num w:numId="8">
    <w:abstractNumId w:val="8"/>
  </w:num>
  <w:num w:numId="9">
    <w:abstractNumId w:val="5"/>
  </w:num>
  <w:num w:numId="10">
    <w:abstractNumId w:val="2"/>
  </w:num>
  <w:num w:numId="11">
    <w:abstractNumId w:val="2"/>
  </w:num>
  <w:num w:numId="12">
    <w:abstractNumId w:val="2"/>
  </w:num>
  <w:num w:numId="13">
    <w:abstractNumId w:val="2"/>
  </w:num>
  <w:num w:numId="14">
    <w:abstractNumId w:val="2"/>
  </w:num>
  <w:num w:numId="15">
    <w:abstractNumId w:val="1"/>
  </w:num>
  <w:num w:numId="1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1CF"/>
    <w:rsid w:val="00001540"/>
    <w:rsid w:val="000016D7"/>
    <w:rsid w:val="0000185E"/>
    <w:rsid w:val="00002454"/>
    <w:rsid w:val="00006961"/>
    <w:rsid w:val="00006BC4"/>
    <w:rsid w:val="00006E44"/>
    <w:rsid w:val="000112BF"/>
    <w:rsid w:val="00012233"/>
    <w:rsid w:val="0001294A"/>
    <w:rsid w:val="00012A43"/>
    <w:rsid w:val="00015647"/>
    <w:rsid w:val="00015F45"/>
    <w:rsid w:val="00017318"/>
    <w:rsid w:val="00017C7E"/>
    <w:rsid w:val="00017DC0"/>
    <w:rsid w:val="00020765"/>
    <w:rsid w:val="000225C8"/>
    <w:rsid w:val="000229AD"/>
    <w:rsid w:val="0002365A"/>
    <w:rsid w:val="0002466D"/>
    <w:rsid w:val="000246F7"/>
    <w:rsid w:val="00024BA3"/>
    <w:rsid w:val="00030274"/>
    <w:rsid w:val="0003114D"/>
    <w:rsid w:val="00035863"/>
    <w:rsid w:val="00036D76"/>
    <w:rsid w:val="00042C04"/>
    <w:rsid w:val="000433C6"/>
    <w:rsid w:val="00046689"/>
    <w:rsid w:val="00052E8F"/>
    <w:rsid w:val="0005323C"/>
    <w:rsid w:val="00057F32"/>
    <w:rsid w:val="00060E9F"/>
    <w:rsid w:val="00062A25"/>
    <w:rsid w:val="00064AAA"/>
    <w:rsid w:val="000654F6"/>
    <w:rsid w:val="000668C1"/>
    <w:rsid w:val="00070762"/>
    <w:rsid w:val="000722E0"/>
    <w:rsid w:val="00072E0B"/>
    <w:rsid w:val="00073CB5"/>
    <w:rsid w:val="0007425C"/>
    <w:rsid w:val="00074706"/>
    <w:rsid w:val="00077553"/>
    <w:rsid w:val="00077610"/>
    <w:rsid w:val="000851A2"/>
    <w:rsid w:val="00092984"/>
    <w:rsid w:val="00092FD8"/>
    <w:rsid w:val="0009352E"/>
    <w:rsid w:val="0009465B"/>
    <w:rsid w:val="000948FA"/>
    <w:rsid w:val="00096B96"/>
    <w:rsid w:val="00097178"/>
    <w:rsid w:val="000A24B6"/>
    <w:rsid w:val="000A2F3F"/>
    <w:rsid w:val="000A3C4D"/>
    <w:rsid w:val="000A5214"/>
    <w:rsid w:val="000A529B"/>
    <w:rsid w:val="000B0B4A"/>
    <w:rsid w:val="000B279A"/>
    <w:rsid w:val="000B3B01"/>
    <w:rsid w:val="000B61D2"/>
    <w:rsid w:val="000B6DC0"/>
    <w:rsid w:val="000B70A7"/>
    <w:rsid w:val="000B73DD"/>
    <w:rsid w:val="000C1C18"/>
    <w:rsid w:val="000C495F"/>
    <w:rsid w:val="000C773E"/>
    <w:rsid w:val="000D0C37"/>
    <w:rsid w:val="000D0E72"/>
    <w:rsid w:val="000D490C"/>
    <w:rsid w:val="000D6289"/>
    <w:rsid w:val="000D66D9"/>
    <w:rsid w:val="000D6939"/>
    <w:rsid w:val="000D6CED"/>
    <w:rsid w:val="000E17FB"/>
    <w:rsid w:val="000E2771"/>
    <w:rsid w:val="000E4447"/>
    <w:rsid w:val="000E62C4"/>
    <w:rsid w:val="000E6431"/>
    <w:rsid w:val="000F046D"/>
    <w:rsid w:val="000F05B8"/>
    <w:rsid w:val="000F21A5"/>
    <w:rsid w:val="000F346F"/>
    <w:rsid w:val="000F4705"/>
    <w:rsid w:val="00102B9F"/>
    <w:rsid w:val="00103773"/>
    <w:rsid w:val="0010425A"/>
    <w:rsid w:val="00110017"/>
    <w:rsid w:val="00112637"/>
    <w:rsid w:val="00112ABC"/>
    <w:rsid w:val="001132DE"/>
    <w:rsid w:val="001160AE"/>
    <w:rsid w:val="0012001E"/>
    <w:rsid w:val="00123B18"/>
    <w:rsid w:val="00124624"/>
    <w:rsid w:val="00124691"/>
    <w:rsid w:val="0012516D"/>
    <w:rsid w:val="00126A55"/>
    <w:rsid w:val="00127391"/>
    <w:rsid w:val="0013218B"/>
    <w:rsid w:val="0013228D"/>
    <w:rsid w:val="00133F08"/>
    <w:rsid w:val="001345E6"/>
    <w:rsid w:val="001378B0"/>
    <w:rsid w:val="00137ECC"/>
    <w:rsid w:val="00137F4F"/>
    <w:rsid w:val="0014073A"/>
    <w:rsid w:val="00140EA3"/>
    <w:rsid w:val="00142E00"/>
    <w:rsid w:val="001434AA"/>
    <w:rsid w:val="00146374"/>
    <w:rsid w:val="00152793"/>
    <w:rsid w:val="00152CBC"/>
    <w:rsid w:val="00153B7E"/>
    <w:rsid w:val="00154523"/>
    <w:rsid w:val="001545A9"/>
    <w:rsid w:val="001553D6"/>
    <w:rsid w:val="0016134A"/>
    <w:rsid w:val="001622AE"/>
    <w:rsid w:val="00162DE0"/>
    <w:rsid w:val="001637C7"/>
    <w:rsid w:val="00163D55"/>
    <w:rsid w:val="0016480E"/>
    <w:rsid w:val="00164DA4"/>
    <w:rsid w:val="00167BA5"/>
    <w:rsid w:val="00171EB6"/>
    <w:rsid w:val="0017416E"/>
    <w:rsid w:val="00174297"/>
    <w:rsid w:val="00176CFB"/>
    <w:rsid w:val="00176EE8"/>
    <w:rsid w:val="001774A7"/>
    <w:rsid w:val="00177B73"/>
    <w:rsid w:val="00180AF3"/>
    <w:rsid w:val="00180E06"/>
    <w:rsid w:val="001817B3"/>
    <w:rsid w:val="00183014"/>
    <w:rsid w:val="00183AFD"/>
    <w:rsid w:val="00185467"/>
    <w:rsid w:val="00187548"/>
    <w:rsid w:val="00194ECA"/>
    <w:rsid w:val="001959C2"/>
    <w:rsid w:val="0019675E"/>
    <w:rsid w:val="001969F2"/>
    <w:rsid w:val="001A4D8B"/>
    <w:rsid w:val="001A51E3"/>
    <w:rsid w:val="001A5CC2"/>
    <w:rsid w:val="001A6A5D"/>
    <w:rsid w:val="001A7968"/>
    <w:rsid w:val="001B2E98"/>
    <w:rsid w:val="001B3483"/>
    <w:rsid w:val="001B3C1E"/>
    <w:rsid w:val="001B4494"/>
    <w:rsid w:val="001B6DEE"/>
    <w:rsid w:val="001C0285"/>
    <w:rsid w:val="001C0D8B"/>
    <w:rsid w:val="001C0DA8"/>
    <w:rsid w:val="001C384B"/>
    <w:rsid w:val="001C583F"/>
    <w:rsid w:val="001C6728"/>
    <w:rsid w:val="001C6BAF"/>
    <w:rsid w:val="001C6C83"/>
    <w:rsid w:val="001D01EE"/>
    <w:rsid w:val="001D06D0"/>
    <w:rsid w:val="001D2B9B"/>
    <w:rsid w:val="001D40E0"/>
    <w:rsid w:val="001D4AD7"/>
    <w:rsid w:val="001D4D48"/>
    <w:rsid w:val="001D5DE9"/>
    <w:rsid w:val="001D6684"/>
    <w:rsid w:val="001D781A"/>
    <w:rsid w:val="001E0516"/>
    <w:rsid w:val="001E0D8A"/>
    <w:rsid w:val="001E1596"/>
    <w:rsid w:val="001E2C91"/>
    <w:rsid w:val="001E392A"/>
    <w:rsid w:val="001E67BA"/>
    <w:rsid w:val="001E74C2"/>
    <w:rsid w:val="001F1F31"/>
    <w:rsid w:val="001F24C4"/>
    <w:rsid w:val="001F400F"/>
    <w:rsid w:val="001F4F82"/>
    <w:rsid w:val="001F5A48"/>
    <w:rsid w:val="001F6260"/>
    <w:rsid w:val="001F78BB"/>
    <w:rsid w:val="001F7A79"/>
    <w:rsid w:val="00200007"/>
    <w:rsid w:val="00200F2D"/>
    <w:rsid w:val="002020B2"/>
    <w:rsid w:val="002030A5"/>
    <w:rsid w:val="002030EF"/>
    <w:rsid w:val="00203131"/>
    <w:rsid w:val="0020349D"/>
    <w:rsid w:val="0020543C"/>
    <w:rsid w:val="00205AFB"/>
    <w:rsid w:val="00210EF1"/>
    <w:rsid w:val="0021107B"/>
    <w:rsid w:val="00212330"/>
    <w:rsid w:val="00212E88"/>
    <w:rsid w:val="00213C9C"/>
    <w:rsid w:val="00214000"/>
    <w:rsid w:val="0022009E"/>
    <w:rsid w:val="00223241"/>
    <w:rsid w:val="0022425C"/>
    <w:rsid w:val="002246DE"/>
    <w:rsid w:val="0022635D"/>
    <w:rsid w:val="00227722"/>
    <w:rsid w:val="00233143"/>
    <w:rsid w:val="00234462"/>
    <w:rsid w:val="002404BB"/>
    <w:rsid w:val="002429E2"/>
    <w:rsid w:val="00246A11"/>
    <w:rsid w:val="00247989"/>
    <w:rsid w:val="00247D0F"/>
    <w:rsid w:val="00252BC4"/>
    <w:rsid w:val="00254014"/>
    <w:rsid w:val="00254B39"/>
    <w:rsid w:val="00255B7F"/>
    <w:rsid w:val="0025674D"/>
    <w:rsid w:val="0026391A"/>
    <w:rsid w:val="0026504D"/>
    <w:rsid w:val="00265204"/>
    <w:rsid w:val="00266411"/>
    <w:rsid w:val="00266FB9"/>
    <w:rsid w:val="00267E55"/>
    <w:rsid w:val="0027327C"/>
    <w:rsid w:val="00273A2F"/>
    <w:rsid w:val="00280986"/>
    <w:rsid w:val="002818B1"/>
    <w:rsid w:val="00281ECE"/>
    <w:rsid w:val="00282CCE"/>
    <w:rsid w:val="002831C7"/>
    <w:rsid w:val="002838D1"/>
    <w:rsid w:val="002840C6"/>
    <w:rsid w:val="00284DC5"/>
    <w:rsid w:val="002852FD"/>
    <w:rsid w:val="002864DF"/>
    <w:rsid w:val="0028787C"/>
    <w:rsid w:val="0029069A"/>
    <w:rsid w:val="00292ED2"/>
    <w:rsid w:val="002948F9"/>
    <w:rsid w:val="00294A9D"/>
    <w:rsid w:val="00295174"/>
    <w:rsid w:val="00296172"/>
    <w:rsid w:val="00296B92"/>
    <w:rsid w:val="002A2C22"/>
    <w:rsid w:val="002A42FD"/>
    <w:rsid w:val="002A4D69"/>
    <w:rsid w:val="002A617E"/>
    <w:rsid w:val="002A78D9"/>
    <w:rsid w:val="002B02EB"/>
    <w:rsid w:val="002B44AE"/>
    <w:rsid w:val="002C0602"/>
    <w:rsid w:val="002C130B"/>
    <w:rsid w:val="002C28FF"/>
    <w:rsid w:val="002C3D29"/>
    <w:rsid w:val="002C4D71"/>
    <w:rsid w:val="002C5565"/>
    <w:rsid w:val="002C6225"/>
    <w:rsid w:val="002C6FF8"/>
    <w:rsid w:val="002C761A"/>
    <w:rsid w:val="002C7EC7"/>
    <w:rsid w:val="002D0B9F"/>
    <w:rsid w:val="002D5C16"/>
    <w:rsid w:val="002D5DF1"/>
    <w:rsid w:val="002E130B"/>
    <w:rsid w:val="002E46C2"/>
    <w:rsid w:val="002F037E"/>
    <w:rsid w:val="002F07FB"/>
    <w:rsid w:val="002F2476"/>
    <w:rsid w:val="002F3DFF"/>
    <w:rsid w:val="002F5E05"/>
    <w:rsid w:val="0030425F"/>
    <w:rsid w:val="003045DE"/>
    <w:rsid w:val="0030621F"/>
    <w:rsid w:val="00307A76"/>
    <w:rsid w:val="003114B9"/>
    <w:rsid w:val="003118A9"/>
    <w:rsid w:val="0031383D"/>
    <w:rsid w:val="0031455E"/>
    <w:rsid w:val="00315A16"/>
    <w:rsid w:val="00315F68"/>
    <w:rsid w:val="00317053"/>
    <w:rsid w:val="003173A2"/>
    <w:rsid w:val="0032109C"/>
    <w:rsid w:val="00322B45"/>
    <w:rsid w:val="00323809"/>
    <w:rsid w:val="00323D41"/>
    <w:rsid w:val="00325414"/>
    <w:rsid w:val="003255F7"/>
    <w:rsid w:val="00326288"/>
    <w:rsid w:val="0032634E"/>
    <w:rsid w:val="003302F1"/>
    <w:rsid w:val="0033199B"/>
    <w:rsid w:val="00332160"/>
    <w:rsid w:val="003409BA"/>
    <w:rsid w:val="00343705"/>
    <w:rsid w:val="00344248"/>
    <w:rsid w:val="0034470E"/>
    <w:rsid w:val="003453AD"/>
    <w:rsid w:val="003471AB"/>
    <w:rsid w:val="00351B69"/>
    <w:rsid w:val="00352DB0"/>
    <w:rsid w:val="00353494"/>
    <w:rsid w:val="00361060"/>
    <w:rsid w:val="00361063"/>
    <w:rsid w:val="00363FEF"/>
    <w:rsid w:val="0036481A"/>
    <w:rsid w:val="00366BC1"/>
    <w:rsid w:val="00366C4E"/>
    <w:rsid w:val="00367A6B"/>
    <w:rsid w:val="00367E85"/>
    <w:rsid w:val="0037094A"/>
    <w:rsid w:val="00371C87"/>
    <w:rsid w:val="00371ED3"/>
    <w:rsid w:val="003721A3"/>
    <w:rsid w:val="00372659"/>
    <w:rsid w:val="00372FFC"/>
    <w:rsid w:val="00375788"/>
    <w:rsid w:val="00377082"/>
    <w:rsid w:val="0037728A"/>
    <w:rsid w:val="00380B7D"/>
    <w:rsid w:val="00381A99"/>
    <w:rsid w:val="00382619"/>
    <w:rsid w:val="003829C2"/>
    <w:rsid w:val="003830B2"/>
    <w:rsid w:val="00383650"/>
    <w:rsid w:val="00383F59"/>
    <w:rsid w:val="00384724"/>
    <w:rsid w:val="00384D98"/>
    <w:rsid w:val="00386113"/>
    <w:rsid w:val="00391901"/>
    <w:rsid w:val="003919B7"/>
    <w:rsid w:val="00391D57"/>
    <w:rsid w:val="00392292"/>
    <w:rsid w:val="0039284A"/>
    <w:rsid w:val="003949A7"/>
    <w:rsid w:val="00394F45"/>
    <w:rsid w:val="00395D8B"/>
    <w:rsid w:val="003A04D7"/>
    <w:rsid w:val="003A076B"/>
    <w:rsid w:val="003A1918"/>
    <w:rsid w:val="003A54F1"/>
    <w:rsid w:val="003A5584"/>
    <w:rsid w:val="003A5927"/>
    <w:rsid w:val="003A7BF5"/>
    <w:rsid w:val="003B1017"/>
    <w:rsid w:val="003B1655"/>
    <w:rsid w:val="003B2D52"/>
    <w:rsid w:val="003B3C07"/>
    <w:rsid w:val="003B5129"/>
    <w:rsid w:val="003B6081"/>
    <w:rsid w:val="003B6775"/>
    <w:rsid w:val="003B6CC7"/>
    <w:rsid w:val="003C20C3"/>
    <w:rsid w:val="003C2808"/>
    <w:rsid w:val="003C2851"/>
    <w:rsid w:val="003C48C6"/>
    <w:rsid w:val="003C5928"/>
    <w:rsid w:val="003C5FE2"/>
    <w:rsid w:val="003D04D2"/>
    <w:rsid w:val="003D05FB"/>
    <w:rsid w:val="003D194A"/>
    <w:rsid w:val="003D1B16"/>
    <w:rsid w:val="003D3B05"/>
    <w:rsid w:val="003D45BF"/>
    <w:rsid w:val="003D508A"/>
    <w:rsid w:val="003D537F"/>
    <w:rsid w:val="003D7B75"/>
    <w:rsid w:val="003E0208"/>
    <w:rsid w:val="003E1D75"/>
    <w:rsid w:val="003E4664"/>
    <w:rsid w:val="003E4B41"/>
    <w:rsid w:val="003E4B57"/>
    <w:rsid w:val="003E7FE4"/>
    <w:rsid w:val="003F173B"/>
    <w:rsid w:val="003F27E1"/>
    <w:rsid w:val="003F399F"/>
    <w:rsid w:val="003F3F1B"/>
    <w:rsid w:val="003F437A"/>
    <w:rsid w:val="003F5369"/>
    <w:rsid w:val="003F55F0"/>
    <w:rsid w:val="003F5C2B"/>
    <w:rsid w:val="003F675F"/>
    <w:rsid w:val="003F6AF4"/>
    <w:rsid w:val="00402240"/>
    <w:rsid w:val="004023E9"/>
    <w:rsid w:val="00403C3F"/>
    <w:rsid w:val="0040454A"/>
    <w:rsid w:val="00406447"/>
    <w:rsid w:val="00413F83"/>
    <w:rsid w:val="004142AC"/>
    <w:rsid w:val="004145FF"/>
    <w:rsid w:val="0041490C"/>
    <w:rsid w:val="00414A69"/>
    <w:rsid w:val="00414C6B"/>
    <w:rsid w:val="00416191"/>
    <w:rsid w:val="00416721"/>
    <w:rsid w:val="00416BDB"/>
    <w:rsid w:val="0042056B"/>
    <w:rsid w:val="00421EF0"/>
    <w:rsid w:val="004224FA"/>
    <w:rsid w:val="00423D07"/>
    <w:rsid w:val="004248BC"/>
    <w:rsid w:val="004260B8"/>
    <w:rsid w:val="00426FB6"/>
    <w:rsid w:val="00427936"/>
    <w:rsid w:val="004302C7"/>
    <w:rsid w:val="00431DFC"/>
    <w:rsid w:val="00434872"/>
    <w:rsid w:val="00435B99"/>
    <w:rsid w:val="004370FF"/>
    <w:rsid w:val="0044193B"/>
    <w:rsid w:val="00441C86"/>
    <w:rsid w:val="0044346F"/>
    <w:rsid w:val="0044486E"/>
    <w:rsid w:val="0044516D"/>
    <w:rsid w:val="00451699"/>
    <w:rsid w:val="00453FF6"/>
    <w:rsid w:val="0045477F"/>
    <w:rsid w:val="004560E4"/>
    <w:rsid w:val="0045695E"/>
    <w:rsid w:val="00461BF9"/>
    <w:rsid w:val="004626ED"/>
    <w:rsid w:val="00463BCF"/>
    <w:rsid w:val="0046520A"/>
    <w:rsid w:val="004672AB"/>
    <w:rsid w:val="004703BC"/>
    <w:rsid w:val="004714FE"/>
    <w:rsid w:val="004755E1"/>
    <w:rsid w:val="00476A3B"/>
    <w:rsid w:val="00477BAA"/>
    <w:rsid w:val="00480081"/>
    <w:rsid w:val="00480DB9"/>
    <w:rsid w:val="00485428"/>
    <w:rsid w:val="004903F7"/>
    <w:rsid w:val="004944E4"/>
    <w:rsid w:val="00495053"/>
    <w:rsid w:val="004A14A7"/>
    <w:rsid w:val="004A1F59"/>
    <w:rsid w:val="004A29BE"/>
    <w:rsid w:val="004A3225"/>
    <w:rsid w:val="004A33EE"/>
    <w:rsid w:val="004A3AA8"/>
    <w:rsid w:val="004B13C7"/>
    <w:rsid w:val="004B2DBD"/>
    <w:rsid w:val="004B4184"/>
    <w:rsid w:val="004B778F"/>
    <w:rsid w:val="004C0609"/>
    <w:rsid w:val="004C3B31"/>
    <w:rsid w:val="004C4308"/>
    <w:rsid w:val="004C5DF0"/>
    <w:rsid w:val="004C639F"/>
    <w:rsid w:val="004D141F"/>
    <w:rsid w:val="004D2742"/>
    <w:rsid w:val="004D33AB"/>
    <w:rsid w:val="004D62C5"/>
    <w:rsid w:val="004D6310"/>
    <w:rsid w:val="004D6F2E"/>
    <w:rsid w:val="004D7A74"/>
    <w:rsid w:val="004D7ED0"/>
    <w:rsid w:val="004E0062"/>
    <w:rsid w:val="004E05A1"/>
    <w:rsid w:val="004E644E"/>
    <w:rsid w:val="004E7B4A"/>
    <w:rsid w:val="004E7C56"/>
    <w:rsid w:val="004F0191"/>
    <w:rsid w:val="004F02EE"/>
    <w:rsid w:val="004F11E4"/>
    <w:rsid w:val="004F2468"/>
    <w:rsid w:val="004F472A"/>
    <w:rsid w:val="004F5E57"/>
    <w:rsid w:val="004F6710"/>
    <w:rsid w:val="0050074E"/>
    <w:rsid w:val="00500C3E"/>
    <w:rsid w:val="00502849"/>
    <w:rsid w:val="00504334"/>
    <w:rsid w:val="0050498D"/>
    <w:rsid w:val="0050536D"/>
    <w:rsid w:val="0050566F"/>
    <w:rsid w:val="0051031B"/>
    <w:rsid w:val="005104D7"/>
    <w:rsid w:val="00510B9E"/>
    <w:rsid w:val="00511AA5"/>
    <w:rsid w:val="00512490"/>
    <w:rsid w:val="00513CAB"/>
    <w:rsid w:val="00514993"/>
    <w:rsid w:val="005155E1"/>
    <w:rsid w:val="00516436"/>
    <w:rsid w:val="00527A95"/>
    <w:rsid w:val="00530089"/>
    <w:rsid w:val="0053317A"/>
    <w:rsid w:val="00533FCA"/>
    <w:rsid w:val="00534697"/>
    <w:rsid w:val="00534C67"/>
    <w:rsid w:val="00536BC2"/>
    <w:rsid w:val="00540123"/>
    <w:rsid w:val="005425E1"/>
    <w:rsid w:val="005427C5"/>
    <w:rsid w:val="00542CF6"/>
    <w:rsid w:val="00547C0A"/>
    <w:rsid w:val="00547DAA"/>
    <w:rsid w:val="00553C03"/>
    <w:rsid w:val="00554735"/>
    <w:rsid w:val="00560DDA"/>
    <w:rsid w:val="00561A01"/>
    <w:rsid w:val="00563692"/>
    <w:rsid w:val="00564DE0"/>
    <w:rsid w:val="00566D30"/>
    <w:rsid w:val="00571679"/>
    <w:rsid w:val="005738A6"/>
    <w:rsid w:val="005768FD"/>
    <w:rsid w:val="00577347"/>
    <w:rsid w:val="005806D2"/>
    <w:rsid w:val="00581524"/>
    <w:rsid w:val="0058195C"/>
    <w:rsid w:val="00581C31"/>
    <w:rsid w:val="005833B8"/>
    <w:rsid w:val="00584235"/>
    <w:rsid w:val="005844E7"/>
    <w:rsid w:val="0058746E"/>
    <w:rsid w:val="005908B8"/>
    <w:rsid w:val="005910F7"/>
    <w:rsid w:val="00591C76"/>
    <w:rsid w:val="00592E01"/>
    <w:rsid w:val="00592E02"/>
    <w:rsid w:val="005943A9"/>
    <w:rsid w:val="0059512E"/>
    <w:rsid w:val="005A0F86"/>
    <w:rsid w:val="005A1B16"/>
    <w:rsid w:val="005A4374"/>
    <w:rsid w:val="005A54CB"/>
    <w:rsid w:val="005A6DD2"/>
    <w:rsid w:val="005B1313"/>
    <w:rsid w:val="005B3D9F"/>
    <w:rsid w:val="005B66E7"/>
    <w:rsid w:val="005B7EB5"/>
    <w:rsid w:val="005C031D"/>
    <w:rsid w:val="005C1496"/>
    <w:rsid w:val="005C31E6"/>
    <w:rsid w:val="005C3829"/>
    <w:rsid w:val="005C385D"/>
    <w:rsid w:val="005C6491"/>
    <w:rsid w:val="005D1A08"/>
    <w:rsid w:val="005D25EF"/>
    <w:rsid w:val="005D3539"/>
    <w:rsid w:val="005D3B20"/>
    <w:rsid w:val="005D6BC1"/>
    <w:rsid w:val="005D71B7"/>
    <w:rsid w:val="005D7CA8"/>
    <w:rsid w:val="005E044F"/>
    <w:rsid w:val="005E4604"/>
    <w:rsid w:val="005E4759"/>
    <w:rsid w:val="005E5C68"/>
    <w:rsid w:val="005E65C0"/>
    <w:rsid w:val="005E7593"/>
    <w:rsid w:val="005F0390"/>
    <w:rsid w:val="005F1DA9"/>
    <w:rsid w:val="005F516D"/>
    <w:rsid w:val="005F5587"/>
    <w:rsid w:val="00602301"/>
    <w:rsid w:val="006039BC"/>
    <w:rsid w:val="00605F4D"/>
    <w:rsid w:val="006072CD"/>
    <w:rsid w:val="0061052D"/>
    <w:rsid w:val="00612023"/>
    <w:rsid w:val="00612761"/>
    <w:rsid w:val="006136C6"/>
    <w:rsid w:val="00613FAB"/>
    <w:rsid w:val="00614190"/>
    <w:rsid w:val="0061797B"/>
    <w:rsid w:val="00622A99"/>
    <w:rsid w:val="00622DC8"/>
    <w:rsid w:val="00622E67"/>
    <w:rsid w:val="00624EA7"/>
    <w:rsid w:val="00626B57"/>
    <w:rsid w:val="00626EDC"/>
    <w:rsid w:val="00634366"/>
    <w:rsid w:val="006353E1"/>
    <w:rsid w:val="006375E2"/>
    <w:rsid w:val="006376D5"/>
    <w:rsid w:val="006452D3"/>
    <w:rsid w:val="00646F81"/>
    <w:rsid w:val="006470EC"/>
    <w:rsid w:val="006542D6"/>
    <w:rsid w:val="0065598E"/>
    <w:rsid w:val="00655AF2"/>
    <w:rsid w:val="00655BC5"/>
    <w:rsid w:val="006568BE"/>
    <w:rsid w:val="00660124"/>
    <w:rsid w:val="0066025D"/>
    <w:rsid w:val="0066091A"/>
    <w:rsid w:val="006674B2"/>
    <w:rsid w:val="00671E8B"/>
    <w:rsid w:val="00674C48"/>
    <w:rsid w:val="006766DB"/>
    <w:rsid w:val="006773EC"/>
    <w:rsid w:val="00680504"/>
    <w:rsid w:val="00681CD9"/>
    <w:rsid w:val="00682A12"/>
    <w:rsid w:val="006830BE"/>
    <w:rsid w:val="00683E30"/>
    <w:rsid w:val="00685866"/>
    <w:rsid w:val="00687024"/>
    <w:rsid w:val="00687634"/>
    <w:rsid w:val="00690825"/>
    <w:rsid w:val="00691C85"/>
    <w:rsid w:val="0069302D"/>
    <w:rsid w:val="00695E22"/>
    <w:rsid w:val="00697553"/>
    <w:rsid w:val="006A1AB3"/>
    <w:rsid w:val="006A3314"/>
    <w:rsid w:val="006A535A"/>
    <w:rsid w:val="006B0486"/>
    <w:rsid w:val="006B29BF"/>
    <w:rsid w:val="006B5527"/>
    <w:rsid w:val="006B63DF"/>
    <w:rsid w:val="006B6AAF"/>
    <w:rsid w:val="006B7093"/>
    <w:rsid w:val="006B7417"/>
    <w:rsid w:val="006C52DC"/>
    <w:rsid w:val="006C6F73"/>
    <w:rsid w:val="006D10C6"/>
    <w:rsid w:val="006D29C4"/>
    <w:rsid w:val="006D31F9"/>
    <w:rsid w:val="006D34AA"/>
    <w:rsid w:val="006D3691"/>
    <w:rsid w:val="006D5902"/>
    <w:rsid w:val="006D6340"/>
    <w:rsid w:val="006D6A9E"/>
    <w:rsid w:val="006D6C73"/>
    <w:rsid w:val="006E4080"/>
    <w:rsid w:val="006E52D8"/>
    <w:rsid w:val="006E53BB"/>
    <w:rsid w:val="006E5EF0"/>
    <w:rsid w:val="006E7B6F"/>
    <w:rsid w:val="006E7F92"/>
    <w:rsid w:val="006F0843"/>
    <w:rsid w:val="006F3563"/>
    <w:rsid w:val="006F42B9"/>
    <w:rsid w:val="006F5A99"/>
    <w:rsid w:val="006F6103"/>
    <w:rsid w:val="006F72F2"/>
    <w:rsid w:val="006F7900"/>
    <w:rsid w:val="00704E00"/>
    <w:rsid w:val="0070638E"/>
    <w:rsid w:val="00706A7C"/>
    <w:rsid w:val="007070F9"/>
    <w:rsid w:val="007209E7"/>
    <w:rsid w:val="00720BF6"/>
    <w:rsid w:val="0072205D"/>
    <w:rsid w:val="007240D0"/>
    <w:rsid w:val="00726182"/>
    <w:rsid w:val="0072734C"/>
    <w:rsid w:val="00727635"/>
    <w:rsid w:val="00727E01"/>
    <w:rsid w:val="00730AC6"/>
    <w:rsid w:val="0073222C"/>
    <w:rsid w:val="00732329"/>
    <w:rsid w:val="007326B0"/>
    <w:rsid w:val="007337CA"/>
    <w:rsid w:val="00734C01"/>
    <w:rsid w:val="00734CE4"/>
    <w:rsid w:val="00735123"/>
    <w:rsid w:val="0073574A"/>
    <w:rsid w:val="0074059C"/>
    <w:rsid w:val="00741593"/>
    <w:rsid w:val="00741837"/>
    <w:rsid w:val="007445DB"/>
    <w:rsid w:val="0074523E"/>
    <w:rsid w:val="007453E6"/>
    <w:rsid w:val="00747806"/>
    <w:rsid w:val="0075199E"/>
    <w:rsid w:val="00751E42"/>
    <w:rsid w:val="00752883"/>
    <w:rsid w:val="00755170"/>
    <w:rsid w:val="00761EB7"/>
    <w:rsid w:val="007627E6"/>
    <w:rsid w:val="007635A1"/>
    <w:rsid w:val="00764CFB"/>
    <w:rsid w:val="007658D1"/>
    <w:rsid w:val="0076638E"/>
    <w:rsid w:val="00767B65"/>
    <w:rsid w:val="00770453"/>
    <w:rsid w:val="0077304B"/>
    <w:rsid w:val="0077309D"/>
    <w:rsid w:val="007743BE"/>
    <w:rsid w:val="00774561"/>
    <w:rsid w:val="007774EE"/>
    <w:rsid w:val="007776BE"/>
    <w:rsid w:val="00781822"/>
    <w:rsid w:val="00783F21"/>
    <w:rsid w:val="00784A52"/>
    <w:rsid w:val="00784EC9"/>
    <w:rsid w:val="00786841"/>
    <w:rsid w:val="00787159"/>
    <w:rsid w:val="007873B6"/>
    <w:rsid w:val="0079043A"/>
    <w:rsid w:val="00790E6D"/>
    <w:rsid w:val="00791668"/>
    <w:rsid w:val="00791AA1"/>
    <w:rsid w:val="00792B1F"/>
    <w:rsid w:val="007941BF"/>
    <w:rsid w:val="00796144"/>
    <w:rsid w:val="0079655F"/>
    <w:rsid w:val="007967FD"/>
    <w:rsid w:val="007A2F73"/>
    <w:rsid w:val="007A3793"/>
    <w:rsid w:val="007A5327"/>
    <w:rsid w:val="007A54D3"/>
    <w:rsid w:val="007A7115"/>
    <w:rsid w:val="007B0451"/>
    <w:rsid w:val="007B3CE6"/>
    <w:rsid w:val="007B46E7"/>
    <w:rsid w:val="007B4C85"/>
    <w:rsid w:val="007C0CC2"/>
    <w:rsid w:val="007C1945"/>
    <w:rsid w:val="007C1BA2"/>
    <w:rsid w:val="007C252D"/>
    <w:rsid w:val="007C2B48"/>
    <w:rsid w:val="007C6B8E"/>
    <w:rsid w:val="007C78A7"/>
    <w:rsid w:val="007D0C6F"/>
    <w:rsid w:val="007D20E9"/>
    <w:rsid w:val="007D2828"/>
    <w:rsid w:val="007D3014"/>
    <w:rsid w:val="007D6ED0"/>
    <w:rsid w:val="007D7881"/>
    <w:rsid w:val="007D7E3A"/>
    <w:rsid w:val="007E0E10"/>
    <w:rsid w:val="007E4768"/>
    <w:rsid w:val="007E5442"/>
    <w:rsid w:val="007E699C"/>
    <w:rsid w:val="007E777B"/>
    <w:rsid w:val="007E7F47"/>
    <w:rsid w:val="007F0BFF"/>
    <w:rsid w:val="007F187C"/>
    <w:rsid w:val="007F2070"/>
    <w:rsid w:val="007F63C1"/>
    <w:rsid w:val="007F75CF"/>
    <w:rsid w:val="008053F5"/>
    <w:rsid w:val="008064AD"/>
    <w:rsid w:val="00807AF7"/>
    <w:rsid w:val="00810198"/>
    <w:rsid w:val="00810830"/>
    <w:rsid w:val="00815966"/>
    <w:rsid w:val="00815DA8"/>
    <w:rsid w:val="0082194D"/>
    <w:rsid w:val="008221F9"/>
    <w:rsid w:val="00823A1F"/>
    <w:rsid w:val="0082564F"/>
    <w:rsid w:val="008269C9"/>
    <w:rsid w:val="00826EF5"/>
    <w:rsid w:val="008306F1"/>
    <w:rsid w:val="008310AA"/>
    <w:rsid w:val="00831693"/>
    <w:rsid w:val="008323AE"/>
    <w:rsid w:val="008341BB"/>
    <w:rsid w:val="00836FF4"/>
    <w:rsid w:val="00840043"/>
    <w:rsid w:val="00840104"/>
    <w:rsid w:val="00840C1F"/>
    <w:rsid w:val="008411C9"/>
    <w:rsid w:val="00841FC5"/>
    <w:rsid w:val="008420A0"/>
    <w:rsid w:val="00843D0F"/>
    <w:rsid w:val="00844A6D"/>
    <w:rsid w:val="00844C7A"/>
    <w:rsid w:val="0084549D"/>
    <w:rsid w:val="00845709"/>
    <w:rsid w:val="00846C28"/>
    <w:rsid w:val="00847BBC"/>
    <w:rsid w:val="008521B9"/>
    <w:rsid w:val="008527F2"/>
    <w:rsid w:val="00852D86"/>
    <w:rsid w:val="00852EEF"/>
    <w:rsid w:val="008531BC"/>
    <w:rsid w:val="00853415"/>
    <w:rsid w:val="00853EDD"/>
    <w:rsid w:val="008553A9"/>
    <w:rsid w:val="008572D7"/>
    <w:rsid w:val="008576BD"/>
    <w:rsid w:val="00857C64"/>
    <w:rsid w:val="00857E87"/>
    <w:rsid w:val="00860463"/>
    <w:rsid w:val="00863C5C"/>
    <w:rsid w:val="00865669"/>
    <w:rsid w:val="008716C2"/>
    <w:rsid w:val="00872084"/>
    <w:rsid w:val="00872D77"/>
    <w:rsid w:val="00872FB8"/>
    <w:rsid w:val="008733DA"/>
    <w:rsid w:val="00876E27"/>
    <w:rsid w:val="0088487F"/>
    <w:rsid w:val="008850E4"/>
    <w:rsid w:val="008868B9"/>
    <w:rsid w:val="00893874"/>
    <w:rsid w:val="008939AB"/>
    <w:rsid w:val="00896680"/>
    <w:rsid w:val="0089740C"/>
    <w:rsid w:val="008A12F5"/>
    <w:rsid w:val="008A5587"/>
    <w:rsid w:val="008B1587"/>
    <w:rsid w:val="008B1B01"/>
    <w:rsid w:val="008B1C7F"/>
    <w:rsid w:val="008B3BCD"/>
    <w:rsid w:val="008B405B"/>
    <w:rsid w:val="008B4372"/>
    <w:rsid w:val="008B49DC"/>
    <w:rsid w:val="008B534F"/>
    <w:rsid w:val="008B6DF8"/>
    <w:rsid w:val="008C106C"/>
    <w:rsid w:val="008C10F1"/>
    <w:rsid w:val="008C1926"/>
    <w:rsid w:val="008C1E99"/>
    <w:rsid w:val="008C4947"/>
    <w:rsid w:val="008D4FB6"/>
    <w:rsid w:val="008D71E9"/>
    <w:rsid w:val="008E0085"/>
    <w:rsid w:val="008E2AA6"/>
    <w:rsid w:val="008E311B"/>
    <w:rsid w:val="008F093D"/>
    <w:rsid w:val="008F207A"/>
    <w:rsid w:val="008F327D"/>
    <w:rsid w:val="008F46E7"/>
    <w:rsid w:val="008F64CA"/>
    <w:rsid w:val="008F67FD"/>
    <w:rsid w:val="008F6F0B"/>
    <w:rsid w:val="008F7300"/>
    <w:rsid w:val="008F73AB"/>
    <w:rsid w:val="008F7E4B"/>
    <w:rsid w:val="009027AD"/>
    <w:rsid w:val="00902913"/>
    <w:rsid w:val="009074AD"/>
    <w:rsid w:val="009077EB"/>
    <w:rsid w:val="00907BA7"/>
    <w:rsid w:val="0091064E"/>
    <w:rsid w:val="00911FC5"/>
    <w:rsid w:val="009128C0"/>
    <w:rsid w:val="00912D60"/>
    <w:rsid w:val="009151B2"/>
    <w:rsid w:val="00916C59"/>
    <w:rsid w:val="00916D68"/>
    <w:rsid w:val="00916DD5"/>
    <w:rsid w:val="00917AA4"/>
    <w:rsid w:val="00921792"/>
    <w:rsid w:val="00930659"/>
    <w:rsid w:val="00931A10"/>
    <w:rsid w:val="0093283D"/>
    <w:rsid w:val="0093453B"/>
    <w:rsid w:val="00937044"/>
    <w:rsid w:val="00940263"/>
    <w:rsid w:val="0094133A"/>
    <w:rsid w:val="00942990"/>
    <w:rsid w:val="00944A19"/>
    <w:rsid w:val="00944DD2"/>
    <w:rsid w:val="00947108"/>
    <w:rsid w:val="00947967"/>
    <w:rsid w:val="00955201"/>
    <w:rsid w:val="00956551"/>
    <w:rsid w:val="0096181E"/>
    <w:rsid w:val="00963C8D"/>
    <w:rsid w:val="00965200"/>
    <w:rsid w:val="009668B3"/>
    <w:rsid w:val="00971471"/>
    <w:rsid w:val="00971862"/>
    <w:rsid w:val="00971BA2"/>
    <w:rsid w:val="0097207D"/>
    <w:rsid w:val="00977BB4"/>
    <w:rsid w:val="009849C2"/>
    <w:rsid w:val="00984D24"/>
    <w:rsid w:val="009858EB"/>
    <w:rsid w:val="00990792"/>
    <w:rsid w:val="009943A9"/>
    <w:rsid w:val="009968BB"/>
    <w:rsid w:val="00997ABB"/>
    <w:rsid w:val="009A138F"/>
    <w:rsid w:val="009A2BB5"/>
    <w:rsid w:val="009A334B"/>
    <w:rsid w:val="009A3F47"/>
    <w:rsid w:val="009A5920"/>
    <w:rsid w:val="009A6640"/>
    <w:rsid w:val="009B0046"/>
    <w:rsid w:val="009B1095"/>
    <w:rsid w:val="009B11A0"/>
    <w:rsid w:val="009B4F05"/>
    <w:rsid w:val="009B5701"/>
    <w:rsid w:val="009C1440"/>
    <w:rsid w:val="009C2107"/>
    <w:rsid w:val="009C22E3"/>
    <w:rsid w:val="009C4432"/>
    <w:rsid w:val="009C5D9E"/>
    <w:rsid w:val="009C75ED"/>
    <w:rsid w:val="009D1251"/>
    <w:rsid w:val="009D2AAE"/>
    <w:rsid w:val="009D2C3E"/>
    <w:rsid w:val="009D47A8"/>
    <w:rsid w:val="009D5967"/>
    <w:rsid w:val="009E0625"/>
    <w:rsid w:val="009E3034"/>
    <w:rsid w:val="009E4C14"/>
    <w:rsid w:val="009E4E5B"/>
    <w:rsid w:val="009E5249"/>
    <w:rsid w:val="009E549F"/>
    <w:rsid w:val="009E6A66"/>
    <w:rsid w:val="009E740D"/>
    <w:rsid w:val="009F2082"/>
    <w:rsid w:val="009F23D4"/>
    <w:rsid w:val="009F289A"/>
    <w:rsid w:val="009F28A8"/>
    <w:rsid w:val="009F2DB3"/>
    <w:rsid w:val="009F4709"/>
    <w:rsid w:val="009F473E"/>
    <w:rsid w:val="009F5247"/>
    <w:rsid w:val="009F5CA2"/>
    <w:rsid w:val="009F682A"/>
    <w:rsid w:val="009F7F31"/>
    <w:rsid w:val="00A00315"/>
    <w:rsid w:val="00A00929"/>
    <w:rsid w:val="00A022BE"/>
    <w:rsid w:val="00A05269"/>
    <w:rsid w:val="00A059E6"/>
    <w:rsid w:val="00A07AEE"/>
    <w:rsid w:val="00A07B4B"/>
    <w:rsid w:val="00A10E5D"/>
    <w:rsid w:val="00A13447"/>
    <w:rsid w:val="00A1449A"/>
    <w:rsid w:val="00A14735"/>
    <w:rsid w:val="00A16921"/>
    <w:rsid w:val="00A21D33"/>
    <w:rsid w:val="00A23F83"/>
    <w:rsid w:val="00A24C95"/>
    <w:rsid w:val="00A24ED2"/>
    <w:rsid w:val="00A25340"/>
    <w:rsid w:val="00A2599A"/>
    <w:rsid w:val="00A26094"/>
    <w:rsid w:val="00A26F3F"/>
    <w:rsid w:val="00A27ED7"/>
    <w:rsid w:val="00A301BF"/>
    <w:rsid w:val="00A302B2"/>
    <w:rsid w:val="00A3310A"/>
    <w:rsid w:val="00A331B4"/>
    <w:rsid w:val="00A3484E"/>
    <w:rsid w:val="00A356D3"/>
    <w:rsid w:val="00A36ADA"/>
    <w:rsid w:val="00A37873"/>
    <w:rsid w:val="00A37C4D"/>
    <w:rsid w:val="00A438D8"/>
    <w:rsid w:val="00A440E2"/>
    <w:rsid w:val="00A4489C"/>
    <w:rsid w:val="00A4492E"/>
    <w:rsid w:val="00A45983"/>
    <w:rsid w:val="00A45E7D"/>
    <w:rsid w:val="00A45F5B"/>
    <w:rsid w:val="00A473F5"/>
    <w:rsid w:val="00A50D26"/>
    <w:rsid w:val="00A51F9D"/>
    <w:rsid w:val="00A53BCE"/>
    <w:rsid w:val="00A5416A"/>
    <w:rsid w:val="00A571EA"/>
    <w:rsid w:val="00A6202D"/>
    <w:rsid w:val="00A62806"/>
    <w:rsid w:val="00A62CD3"/>
    <w:rsid w:val="00A62DA2"/>
    <w:rsid w:val="00A639F4"/>
    <w:rsid w:val="00A643FA"/>
    <w:rsid w:val="00A64A64"/>
    <w:rsid w:val="00A65864"/>
    <w:rsid w:val="00A65FAE"/>
    <w:rsid w:val="00A66253"/>
    <w:rsid w:val="00A66A78"/>
    <w:rsid w:val="00A73783"/>
    <w:rsid w:val="00A75731"/>
    <w:rsid w:val="00A770E3"/>
    <w:rsid w:val="00A819BD"/>
    <w:rsid w:val="00A81A32"/>
    <w:rsid w:val="00A82ECC"/>
    <w:rsid w:val="00A835BD"/>
    <w:rsid w:val="00A8587B"/>
    <w:rsid w:val="00A9027B"/>
    <w:rsid w:val="00A90A7D"/>
    <w:rsid w:val="00A92A8A"/>
    <w:rsid w:val="00A95CA3"/>
    <w:rsid w:val="00A975DA"/>
    <w:rsid w:val="00A97B15"/>
    <w:rsid w:val="00AA0278"/>
    <w:rsid w:val="00AA3B37"/>
    <w:rsid w:val="00AA42D5"/>
    <w:rsid w:val="00AB0A39"/>
    <w:rsid w:val="00AB1BA4"/>
    <w:rsid w:val="00AB2FAB"/>
    <w:rsid w:val="00AB5C14"/>
    <w:rsid w:val="00AB6E8D"/>
    <w:rsid w:val="00AC1EE7"/>
    <w:rsid w:val="00AC305C"/>
    <w:rsid w:val="00AC333F"/>
    <w:rsid w:val="00AC50C1"/>
    <w:rsid w:val="00AC585C"/>
    <w:rsid w:val="00AC62F0"/>
    <w:rsid w:val="00AC67E6"/>
    <w:rsid w:val="00AD11FA"/>
    <w:rsid w:val="00AD1925"/>
    <w:rsid w:val="00AD1B24"/>
    <w:rsid w:val="00AE067D"/>
    <w:rsid w:val="00AE0A58"/>
    <w:rsid w:val="00AE0BAB"/>
    <w:rsid w:val="00AE0EDE"/>
    <w:rsid w:val="00AE468C"/>
    <w:rsid w:val="00AE4916"/>
    <w:rsid w:val="00AE6C25"/>
    <w:rsid w:val="00AE77E7"/>
    <w:rsid w:val="00AF04C5"/>
    <w:rsid w:val="00AF0703"/>
    <w:rsid w:val="00AF1181"/>
    <w:rsid w:val="00AF20C2"/>
    <w:rsid w:val="00AF2F79"/>
    <w:rsid w:val="00AF39B8"/>
    <w:rsid w:val="00AF4653"/>
    <w:rsid w:val="00AF4A12"/>
    <w:rsid w:val="00AF7DB7"/>
    <w:rsid w:val="00B048A3"/>
    <w:rsid w:val="00B06A64"/>
    <w:rsid w:val="00B10D02"/>
    <w:rsid w:val="00B1191A"/>
    <w:rsid w:val="00B15526"/>
    <w:rsid w:val="00B159BE"/>
    <w:rsid w:val="00B16B43"/>
    <w:rsid w:val="00B201E2"/>
    <w:rsid w:val="00B23B21"/>
    <w:rsid w:val="00B2704B"/>
    <w:rsid w:val="00B30F4E"/>
    <w:rsid w:val="00B315FC"/>
    <w:rsid w:val="00B332C6"/>
    <w:rsid w:val="00B334E3"/>
    <w:rsid w:val="00B337EE"/>
    <w:rsid w:val="00B357CC"/>
    <w:rsid w:val="00B443E4"/>
    <w:rsid w:val="00B44BB7"/>
    <w:rsid w:val="00B477B8"/>
    <w:rsid w:val="00B51C53"/>
    <w:rsid w:val="00B52552"/>
    <w:rsid w:val="00B5484D"/>
    <w:rsid w:val="00B563EA"/>
    <w:rsid w:val="00B56CDF"/>
    <w:rsid w:val="00B60E51"/>
    <w:rsid w:val="00B60F09"/>
    <w:rsid w:val="00B63A54"/>
    <w:rsid w:val="00B64594"/>
    <w:rsid w:val="00B64D46"/>
    <w:rsid w:val="00B64DBE"/>
    <w:rsid w:val="00B75400"/>
    <w:rsid w:val="00B76604"/>
    <w:rsid w:val="00B772C5"/>
    <w:rsid w:val="00B77D18"/>
    <w:rsid w:val="00B805D4"/>
    <w:rsid w:val="00B80893"/>
    <w:rsid w:val="00B825D6"/>
    <w:rsid w:val="00B8313A"/>
    <w:rsid w:val="00B86DF4"/>
    <w:rsid w:val="00B87500"/>
    <w:rsid w:val="00B877ED"/>
    <w:rsid w:val="00B92408"/>
    <w:rsid w:val="00B93503"/>
    <w:rsid w:val="00B96156"/>
    <w:rsid w:val="00B968A5"/>
    <w:rsid w:val="00B96F0F"/>
    <w:rsid w:val="00B97C4B"/>
    <w:rsid w:val="00B97DA6"/>
    <w:rsid w:val="00BA31E8"/>
    <w:rsid w:val="00BA4D03"/>
    <w:rsid w:val="00BA528B"/>
    <w:rsid w:val="00BA55E0"/>
    <w:rsid w:val="00BA6BD4"/>
    <w:rsid w:val="00BA6C7A"/>
    <w:rsid w:val="00BB17D1"/>
    <w:rsid w:val="00BB3752"/>
    <w:rsid w:val="00BB4403"/>
    <w:rsid w:val="00BB6688"/>
    <w:rsid w:val="00BC0F34"/>
    <w:rsid w:val="00BC17DF"/>
    <w:rsid w:val="00BC26D4"/>
    <w:rsid w:val="00BC2D02"/>
    <w:rsid w:val="00BC3EC4"/>
    <w:rsid w:val="00BE0C80"/>
    <w:rsid w:val="00BE0D93"/>
    <w:rsid w:val="00BE220B"/>
    <w:rsid w:val="00BE612F"/>
    <w:rsid w:val="00BE62F0"/>
    <w:rsid w:val="00BE6D71"/>
    <w:rsid w:val="00BE76D1"/>
    <w:rsid w:val="00BF083A"/>
    <w:rsid w:val="00BF2A42"/>
    <w:rsid w:val="00BF34E2"/>
    <w:rsid w:val="00BF4E8B"/>
    <w:rsid w:val="00BF7D55"/>
    <w:rsid w:val="00C01A8E"/>
    <w:rsid w:val="00C02551"/>
    <w:rsid w:val="00C03D8C"/>
    <w:rsid w:val="00C04700"/>
    <w:rsid w:val="00C04873"/>
    <w:rsid w:val="00C055EC"/>
    <w:rsid w:val="00C10DC9"/>
    <w:rsid w:val="00C12FB3"/>
    <w:rsid w:val="00C1445B"/>
    <w:rsid w:val="00C15197"/>
    <w:rsid w:val="00C1549F"/>
    <w:rsid w:val="00C17341"/>
    <w:rsid w:val="00C218A5"/>
    <w:rsid w:val="00C22500"/>
    <w:rsid w:val="00C2464F"/>
    <w:rsid w:val="00C24EEF"/>
    <w:rsid w:val="00C25CF6"/>
    <w:rsid w:val="00C26ACE"/>
    <w:rsid w:val="00C26C36"/>
    <w:rsid w:val="00C32162"/>
    <w:rsid w:val="00C32768"/>
    <w:rsid w:val="00C41F22"/>
    <w:rsid w:val="00C42A0C"/>
    <w:rsid w:val="00C431DF"/>
    <w:rsid w:val="00C445AF"/>
    <w:rsid w:val="00C456BD"/>
    <w:rsid w:val="00C45FBF"/>
    <w:rsid w:val="00C460B3"/>
    <w:rsid w:val="00C530DC"/>
    <w:rsid w:val="00C5350D"/>
    <w:rsid w:val="00C53748"/>
    <w:rsid w:val="00C53DF2"/>
    <w:rsid w:val="00C54640"/>
    <w:rsid w:val="00C559ED"/>
    <w:rsid w:val="00C55A9D"/>
    <w:rsid w:val="00C57095"/>
    <w:rsid w:val="00C6123C"/>
    <w:rsid w:val="00C614D0"/>
    <w:rsid w:val="00C62B1E"/>
    <w:rsid w:val="00C6311A"/>
    <w:rsid w:val="00C63603"/>
    <w:rsid w:val="00C6472F"/>
    <w:rsid w:val="00C65DA4"/>
    <w:rsid w:val="00C70081"/>
    <w:rsid w:val="00C70274"/>
    <w:rsid w:val="00C7084D"/>
    <w:rsid w:val="00C70F13"/>
    <w:rsid w:val="00C7174C"/>
    <w:rsid w:val="00C7315E"/>
    <w:rsid w:val="00C75895"/>
    <w:rsid w:val="00C7798C"/>
    <w:rsid w:val="00C81AA6"/>
    <w:rsid w:val="00C83C9F"/>
    <w:rsid w:val="00C87836"/>
    <w:rsid w:val="00C936CA"/>
    <w:rsid w:val="00C94840"/>
    <w:rsid w:val="00C9664F"/>
    <w:rsid w:val="00C97F75"/>
    <w:rsid w:val="00CA07F6"/>
    <w:rsid w:val="00CA198A"/>
    <w:rsid w:val="00CA40D9"/>
    <w:rsid w:val="00CA4D7E"/>
    <w:rsid w:val="00CA4EE3"/>
    <w:rsid w:val="00CB024C"/>
    <w:rsid w:val="00CB027F"/>
    <w:rsid w:val="00CB034D"/>
    <w:rsid w:val="00CB5C45"/>
    <w:rsid w:val="00CB5D23"/>
    <w:rsid w:val="00CC0EBB"/>
    <w:rsid w:val="00CC2548"/>
    <w:rsid w:val="00CC6297"/>
    <w:rsid w:val="00CC7690"/>
    <w:rsid w:val="00CD01B9"/>
    <w:rsid w:val="00CD1986"/>
    <w:rsid w:val="00CD54BF"/>
    <w:rsid w:val="00CD6F8A"/>
    <w:rsid w:val="00CE0DC9"/>
    <w:rsid w:val="00CE4678"/>
    <w:rsid w:val="00CE4D5C"/>
    <w:rsid w:val="00CF05DA"/>
    <w:rsid w:val="00CF3331"/>
    <w:rsid w:val="00CF58EB"/>
    <w:rsid w:val="00CF5CAE"/>
    <w:rsid w:val="00CF6FEC"/>
    <w:rsid w:val="00CF703D"/>
    <w:rsid w:val="00D0106E"/>
    <w:rsid w:val="00D0299C"/>
    <w:rsid w:val="00D03840"/>
    <w:rsid w:val="00D03855"/>
    <w:rsid w:val="00D042FF"/>
    <w:rsid w:val="00D0458F"/>
    <w:rsid w:val="00D06383"/>
    <w:rsid w:val="00D1158D"/>
    <w:rsid w:val="00D15A1F"/>
    <w:rsid w:val="00D20E85"/>
    <w:rsid w:val="00D24615"/>
    <w:rsid w:val="00D25169"/>
    <w:rsid w:val="00D30B01"/>
    <w:rsid w:val="00D32C95"/>
    <w:rsid w:val="00D36B28"/>
    <w:rsid w:val="00D3725B"/>
    <w:rsid w:val="00D37842"/>
    <w:rsid w:val="00D41A15"/>
    <w:rsid w:val="00D42DC2"/>
    <w:rsid w:val="00D4302B"/>
    <w:rsid w:val="00D44EBA"/>
    <w:rsid w:val="00D452EA"/>
    <w:rsid w:val="00D5124B"/>
    <w:rsid w:val="00D52323"/>
    <w:rsid w:val="00D537E1"/>
    <w:rsid w:val="00D55BB2"/>
    <w:rsid w:val="00D60596"/>
    <w:rsid w:val="00D6091A"/>
    <w:rsid w:val="00D60FE5"/>
    <w:rsid w:val="00D6243F"/>
    <w:rsid w:val="00D6316D"/>
    <w:rsid w:val="00D63496"/>
    <w:rsid w:val="00D63FF2"/>
    <w:rsid w:val="00D6588D"/>
    <w:rsid w:val="00D6605A"/>
    <w:rsid w:val="00D6695F"/>
    <w:rsid w:val="00D6696C"/>
    <w:rsid w:val="00D67DC6"/>
    <w:rsid w:val="00D67FCC"/>
    <w:rsid w:val="00D7072E"/>
    <w:rsid w:val="00D7364A"/>
    <w:rsid w:val="00D75535"/>
    <w:rsid w:val="00D75644"/>
    <w:rsid w:val="00D75F17"/>
    <w:rsid w:val="00D779D6"/>
    <w:rsid w:val="00D77E43"/>
    <w:rsid w:val="00D77FA1"/>
    <w:rsid w:val="00D81656"/>
    <w:rsid w:val="00D81BB3"/>
    <w:rsid w:val="00D83D87"/>
    <w:rsid w:val="00D84A6D"/>
    <w:rsid w:val="00D86A30"/>
    <w:rsid w:val="00D9458D"/>
    <w:rsid w:val="00D95B77"/>
    <w:rsid w:val="00D96012"/>
    <w:rsid w:val="00D97CB4"/>
    <w:rsid w:val="00D97DD4"/>
    <w:rsid w:val="00D97F73"/>
    <w:rsid w:val="00DA0D3E"/>
    <w:rsid w:val="00DA4CDA"/>
    <w:rsid w:val="00DA5742"/>
    <w:rsid w:val="00DA5A8A"/>
    <w:rsid w:val="00DA5EC0"/>
    <w:rsid w:val="00DA6552"/>
    <w:rsid w:val="00DA77D8"/>
    <w:rsid w:val="00DB0AD9"/>
    <w:rsid w:val="00DB1170"/>
    <w:rsid w:val="00DB11E8"/>
    <w:rsid w:val="00DB26CD"/>
    <w:rsid w:val="00DB2A27"/>
    <w:rsid w:val="00DB441C"/>
    <w:rsid w:val="00DB44AF"/>
    <w:rsid w:val="00DC07F7"/>
    <w:rsid w:val="00DC0C62"/>
    <w:rsid w:val="00DC1F58"/>
    <w:rsid w:val="00DC2CEE"/>
    <w:rsid w:val="00DC339B"/>
    <w:rsid w:val="00DC469F"/>
    <w:rsid w:val="00DC5D40"/>
    <w:rsid w:val="00DC69A7"/>
    <w:rsid w:val="00DD26F0"/>
    <w:rsid w:val="00DD30E9"/>
    <w:rsid w:val="00DD3A3D"/>
    <w:rsid w:val="00DD3B77"/>
    <w:rsid w:val="00DD4F47"/>
    <w:rsid w:val="00DD5565"/>
    <w:rsid w:val="00DD7FBB"/>
    <w:rsid w:val="00DE0B9F"/>
    <w:rsid w:val="00DE2A9E"/>
    <w:rsid w:val="00DE4238"/>
    <w:rsid w:val="00DE45C4"/>
    <w:rsid w:val="00DE657F"/>
    <w:rsid w:val="00DF1218"/>
    <w:rsid w:val="00DF22BB"/>
    <w:rsid w:val="00DF2397"/>
    <w:rsid w:val="00DF6408"/>
    <w:rsid w:val="00DF6462"/>
    <w:rsid w:val="00DF7BCB"/>
    <w:rsid w:val="00E017A5"/>
    <w:rsid w:val="00E01E80"/>
    <w:rsid w:val="00E021F3"/>
    <w:rsid w:val="00E026ED"/>
    <w:rsid w:val="00E02FA0"/>
    <w:rsid w:val="00E036DC"/>
    <w:rsid w:val="00E05B1D"/>
    <w:rsid w:val="00E10454"/>
    <w:rsid w:val="00E112E5"/>
    <w:rsid w:val="00E122D8"/>
    <w:rsid w:val="00E12CC8"/>
    <w:rsid w:val="00E13384"/>
    <w:rsid w:val="00E15352"/>
    <w:rsid w:val="00E16E18"/>
    <w:rsid w:val="00E173BE"/>
    <w:rsid w:val="00E20D02"/>
    <w:rsid w:val="00E21CC7"/>
    <w:rsid w:val="00E23401"/>
    <w:rsid w:val="00E24D9E"/>
    <w:rsid w:val="00E25849"/>
    <w:rsid w:val="00E25AF2"/>
    <w:rsid w:val="00E2795F"/>
    <w:rsid w:val="00E3197E"/>
    <w:rsid w:val="00E32123"/>
    <w:rsid w:val="00E3369E"/>
    <w:rsid w:val="00E34210"/>
    <w:rsid w:val="00E342F8"/>
    <w:rsid w:val="00E351ED"/>
    <w:rsid w:val="00E36BCE"/>
    <w:rsid w:val="00E415E0"/>
    <w:rsid w:val="00E42566"/>
    <w:rsid w:val="00E42B19"/>
    <w:rsid w:val="00E42B50"/>
    <w:rsid w:val="00E44A57"/>
    <w:rsid w:val="00E46009"/>
    <w:rsid w:val="00E50365"/>
    <w:rsid w:val="00E50FC3"/>
    <w:rsid w:val="00E5368D"/>
    <w:rsid w:val="00E5447E"/>
    <w:rsid w:val="00E549E4"/>
    <w:rsid w:val="00E54AAA"/>
    <w:rsid w:val="00E560A3"/>
    <w:rsid w:val="00E568B5"/>
    <w:rsid w:val="00E6034B"/>
    <w:rsid w:val="00E6038E"/>
    <w:rsid w:val="00E63805"/>
    <w:rsid w:val="00E6549E"/>
    <w:rsid w:val="00E65EDE"/>
    <w:rsid w:val="00E67C76"/>
    <w:rsid w:val="00E70F81"/>
    <w:rsid w:val="00E724A0"/>
    <w:rsid w:val="00E729B9"/>
    <w:rsid w:val="00E76513"/>
    <w:rsid w:val="00E77055"/>
    <w:rsid w:val="00E77460"/>
    <w:rsid w:val="00E833C4"/>
    <w:rsid w:val="00E83ABC"/>
    <w:rsid w:val="00E844F2"/>
    <w:rsid w:val="00E85FED"/>
    <w:rsid w:val="00E90AD0"/>
    <w:rsid w:val="00E92FCB"/>
    <w:rsid w:val="00E934A1"/>
    <w:rsid w:val="00E97F04"/>
    <w:rsid w:val="00EA147F"/>
    <w:rsid w:val="00EA4A27"/>
    <w:rsid w:val="00EA4FA6"/>
    <w:rsid w:val="00EA7DE1"/>
    <w:rsid w:val="00EB02DC"/>
    <w:rsid w:val="00EB1A25"/>
    <w:rsid w:val="00EB1F9C"/>
    <w:rsid w:val="00EB42A4"/>
    <w:rsid w:val="00EB709A"/>
    <w:rsid w:val="00EC5D0B"/>
    <w:rsid w:val="00EC6F45"/>
    <w:rsid w:val="00EC7363"/>
    <w:rsid w:val="00ED03AB"/>
    <w:rsid w:val="00ED1963"/>
    <w:rsid w:val="00ED1CD4"/>
    <w:rsid w:val="00ED1D2B"/>
    <w:rsid w:val="00ED346F"/>
    <w:rsid w:val="00ED4186"/>
    <w:rsid w:val="00ED64B5"/>
    <w:rsid w:val="00ED69E4"/>
    <w:rsid w:val="00EE024E"/>
    <w:rsid w:val="00EE1DC6"/>
    <w:rsid w:val="00EE7CCA"/>
    <w:rsid w:val="00EE7E4F"/>
    <w:rsid w:val="00EF12CD"/>
    <w:rsid w:val="00EF28FC"/>
    <w:rsid w:val="00EF7BD2"/>
    <w:rsid w:val="00F00E3B"/>
    <w:rsid w:val="00F03F3C"/>
    <w:rsid w:val="00F0609E"/>
    <w:rsid w:val="00F06E53"/>
    <w:rsid w:val="00F149FF"/>
    <w:rsid w:val="00F16A14"/>
    <w:rsid w:val="00F17200"/>
    <w:rsid w:val="00F22136"/>
    <w:rsid w:val="00F22957"/>
    <w:rsid w:val="00F23D1A"/>
    <w:rsid w:val="00F30C91"/>
    <w:rsid w:val="00F32DF8"/>
    <w:rsid w:val="00F3582E"/>
    <w:rsid w:val="00F362D7"/>
    <w:rsid w:val="00F37D7B"/>
    <w:rsid w:val="00F420E6"/>
    <w:rsid w:val="00F4289E"/>
    <w:rsid w:val="00F4306A"/>
    <w:rsid w:val="00F46258"/>
    <w:rsid w:val="00F5314C"/>
    <w:rsid w:val="00F542E4"/>
    <w:rsid w:val="00F566BD"/>
    <w:rsid w:val="00F5688C"/>
    <w:rsid w:val="00F56E94"/>
    <w:rsid w:val="00F57526"/>
    <w:rsid w:val="00F60048"/>
    <w:rsid w:val="00F6077A"/>
    <w:rsid w:val="00F614F2"/>
    <w:rsid w:val="00F624E0"/>
    <w:rsid w:val="00F635DD"/>
    <w:rsid w:val="00F642E0"/>
    <w:rsid w:val="00F65972"/>
    <w:rsid w:val="00F6623A"/>
    <w:rsid w:val="00F6627B"/>
    <w:rsid w:val="00F679D6"/>
    <w:rsid w:val="00F7336E"/>
    <w:rsid w:val="00F734F2"/>
    <w:rsid w:val="00F7412D"/>
    <w:rsid w:val="00F74D25"/>
    <w:rsid w:val="00F75052"/>
    <w:rsid w:val="00F804D3"/>
    <w:rsid w:val="00F80F5C"/>
    <w:rsid w:val="00F810B6"/>
    <w:rsid w:val="00F816CB"/>
    <w:rsid w:val="00F81CD2"/>
    <w:rsid w:val="00F8256F"/>
    <w:rsid w:val="00F82641"/>
    <w:rsid w:val="00F85653"/>
    <w:rsid w:val="00F90339"/>
    <w:rsid w:val="00F90867"/>
    <w:rsid w:val="00F90F18"/>
    <w:rsid w:val="00F937E4"/>
    <w:rsid w:val="00F956FF"/>
    <w:rsid w:val="00F95EE7"/>
    <w:rsid w:val="00F96DAE"/>
    <w:rsid w:val="00F972BB"/>
    <w:rsid w:val="00FA0749"/>
    <w:rsid w:val="00FA33C4"/>
    <w:rsid w:val="00FA39E6"/>
    <w:rsid w:val="00FA62DC"/>
    <w:rsid w:val="00FA7BC9"/>
    <w:rsid w:val="00FB2180"/>
    <w:rsid w:val="00FB29F5"/>
    <w:rsid w:val="00FB378E"/>
    <w:rsid w:val="00FB37F1"/>
    <w:rsid w:val="00FB3A22"/>
    <w:rsid w:val="00FB3CE8"/>
    <w:rsid w:val="00FB47C0"/>
    <w:rsid w:val="00FB501B"/>
    <w:rsid w:val="00FB719A"/>
    <w:rsid w:val="00FB7770"/>
    <w:rsid w:val="00FC0E29"/>
    <w:rsid w:val="00FC62C6"/>
    <w:rsid w:val="00FD0A4E"/>
    <w:rsid w:val="00FD232C"/>
    <w:rsid w:val="00FD2444"/>
    <w:rsid w:val="00FD314E"/>
    <w:rsid w:val="00FD3B91"/>
    <w:rsid w:val="00FD557A"/>
    <w:rsid w:val="00FD576B"/>
    <w:rsid w:val="00FD579E"/>
    <w:rsid w:val="00FD5E62"/>
    <w:rsid w:val="00FD6845"/>
    <w:rsid w:val="00FE25EF"/>
    <w:rsid w:val="00FE4516"/>
    <w:rsid w:val="00FE6493"/>
    <w:rsid w:val="00FE64C8"/>
    <w:rsid w:val="00FE6B56"/>
    <w:rsid w:val="00FF0868"/>
    <w:rsid w:val="00FF3539"/>
    <w:rsid w:val="00FF6506"/>
    <w:rsid w:val="00FF6A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44E92A"/>
  <w15:docId w15:val="{71B2E4DE-8D3F-447F-A1FF-CDA61AC6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C65DA4"/>
    <w:pPr>
      <w:snapToGrid w:val="0"/>
      <w:jc w:val="left"/>
    </w:pPr>
    <w:rPr>
      <w:sz w:val="20"/>
    </w:rPr>
  </w:style>
  <w:style w:type="character" w:customStyle="1" w:styleId="afd">
    <w:name w:val="註腳文字 字元"/>
    <w:basedOn w:val="a7"/>
    <w:link w:val="afc"/>
    <w:uiPriority w:val="99"/>
    <w:semiHidden/>
    <w:rsid w:val="00C65DA4"/>
    <w:rPr>
      <w:rFonts w:ascii="標楷體" w:eastAsia="標楷體"/>
      <w:kern w:val="2"/>
    </w:rPr>
  </w:style>
  <w:style w:type="character" w:styleId="afe">
    <w:name w:val="footnote reference"/>
    <w:basedOn w:val="a7"/>
    <w:uiPriority w:val="99"/>
    <w:semiHidden/>
    <w:unhideWhenUsed/>
    <w:rsid w:val="00C65DA4"/>
    <w:rPr>
      <w:vertAlign w:val="superscript"/>
    </w:rPr>
  </w:style>
  <w:style w:type="paragraph" w:styleId="HTML">
    <w:name w:val="HTML Preformatted"/>
    <w:basedOn w:val="a6"/>
    <w:link w:val="HTML0"/>
    <w:uiPriority w:val="99"/>
    <w:semiHidden/>
    <w:unhideWhenUsed/>
    <w:rsid w:val="004D6F2E"/>
    <w:rPr>
      <w:rFonts w:ascii="Courier New" w:hAnsi="Courier New" w:cs="Courier New"/>
      <w:sz w:val="20"/>
    </w:rPr>
  </w:style>
  <w:style w:type="character" w:customStyle="1" w:styleId="HTML0">
    <w:name w:val="HTML 預設格式 字元"/>
    <w:basedOn w:val="a7"/>
    <w:link w:val="HTML"/>
    <w:uiPriority w:val="99"/>
    <w:semiHidden/>
    <w:rsid w:val="004D6F2E"/>
    <w:rPr>
      <w:rFonts w:ascii="Courier New" w:eastAsia="標楷體" w:hAnsi="Courier New" w:cs="Courier New"/>
      <w:kern w:val="2"/>
    </w:rPr>
  </w:style>
  <w:style w:type="paragraph" w:customStyle="1" w:styleId="Textbody">
    <w:name w:val="Text body"/>
    <w:rsid w:val="00844A6D"/>
    <w:pPr>
      <w:widowControl w:val="0"/>
      <w:suppressAutoHyphens/>
      <w:autoSpaceDN w:val="0"/>
    </w:pPr>
    <w:rPr>
      <w:rFonts w:ascii="Calibri" w:hAnsi="Calibri"/>
      <w:kern w:val="3"/>
      <w:sz w:val="24"/>
      <w:szCs w:val="22"/>
    </w:rPr>
  </w:style>
  <w:style w:type="character" w:styleId="aff">
    <w:name w:val="FollowedHyperlink"/>
    <w:basedOn w:val="a7"/>
    <w:uiPriority w:val="99"/>
    <w:semiHidden/>
    <w:unhideWhenUsed/>
    <w:rsid w:val="0030621F"/>
    <w:rPr>
      <w:color w:val="800080" w:themeColor="followedHyperlink"/>
      <w:u w:val="single"/>
    </w:rPr>
  </w:style>
  <w:style w:type="character" w:customStyle="1" w:styleId="30">
    <w:name w:val="標題 3 字元"/>
    <w:basedOn w:val="a7"/>
    <w:link w:val="3"/>
    <w:rsid w:val="00EC5D0B"/>
    <w:rPr>
      <w:rFonts w:ascii="標楷體" w:eastAsia="標楷體" w:hAnsi="Arial"/>
      <w:bCs/>
      <w:kern w:val="32"/>
      <w:sz w:val="32"/>
      <w:szCs w:val="36"/>
    </w:rPr>
  </w:style>
  <w:style w:type="character" w:customStyle="1" w:styleId="40">
    <w:name w:val="標題 4 字元"/>
    <w:basedOn w:val="a7"/>
    <w:link w:val="4"/>
    <w:rsid w:val="00EC5D0B"/>
    <w:rPr>
      <w:rFonts w:ascii="標楷體" w:eastAsia="標楷體" w:hAnsi="Arial"/>
      <w:kern w:val="32"/>
      <w:sz w:val="32"/>
      <w:szCs w:val="36"/>
    </w:rPr>
  </w:style>
  <w:style w:type="character" w:customStyle="1" w:styleId="50">
    <w:name w:val="標題 5 字元"/>
    <w:basedOn w:val="a7"/>
    <w:link w:val="5"/>
    <w:rsid w:val="00EC5D0B"/>
    <w:rPr>
      <w:rFonts w:ascii="標楷體" w:eastAsia="標楷體" w:hAnsi="Arial"/>
      <w:bCs/>
      <w:kern w:val="32"/>
      <w:sz w:val="32"/>
      <w:szCs w:val="36"/>
    </w:rPr>
  </w:style>
  <w:style w:type="character" w:styleId="aff0">
    <w:name w:val="endnote reference"/>
    <w:basedOn w:val="a7"/>
    <w:uiPriority w:val="99"/>
    <w:semiHidden/>
    <w:unhideWhenUsed/>
    <w:rsid w:val="0061052D"/>
    <w:rPr>
      <w:vertAlign w:val="superscript"/>
    </w:rPr>
  </w:style>
  <w:style w:type="character" w:customStyle="1" w:styleId="aff1">
    <w:name w:val="內文文字"/>
    <w:basedOn w:val="a7"/>
    <w:rsid w:val="00940263"/>
    <w:rPr>
      <w:rFonts w:ascii="細明體" w:eastAsia="細明體" w:hAnsi="細明體" w:cs="細明體"/>
      <w:b w:val="0"/>
      <w:bCs w:val="0"/>
      <w:i w:val="0"/>
      <w:iCs w:val="0"/>
      <w:smallCaps w:val="0"/>
      <w:strike w:val="0"/>
      <w:color w:val="000000"/>
      <w:spacing w:val="0"/>
      <w:w w:val="100"/>
      <w:position w:val="0"/>
      <w:sz w:val="23"/>
      <w:szCs w:val="23"/>
      <w:u w:val="none"/>
      <w:lang w:val="ja-JP"/>
    </w:rPr>
  </w:style>
  <w:style w:type="character" w:customStyle="1" w:styleId="-1pt">
    <w:name w:val="內文文字 + 間距 -1 pt"/>
    <w:basedOn w:val="a7"/>
    <w:rsid w:val="00940263"/>
    <w:rPr>
      <w:rFonts w:ascii="細明體" w:eastAsia="細明體" w:hAnsi="細明體" w:cs="細明體"/>
      <w:b w:val="0"/>
      <w:bCs w:val="0"/>
      <w:i w:val="0"/>
      <w:iCs w:val="0"/>
      <w:smallCaps w:val="0"/>
      <w:strike w:val="0"/>
      <w:color w:val="000000"/>
      <w:spacing w:val="-20"/>
      <w:w w:val="100"/>
      <w:position w:val="0"/>
      <w:sz w:val="23"/>
      <w:szCs w:val="23"/>
      <w:u w:val="none"/>
      <w:lang w:val="ja-JP"/>
    </w:rPr>
  </w:style>
  <w:style w:type="character" w:customStyle="1" w:styleId="0pt">
    <w:name w:val="內文文字 + 間距 0 pt"/>
    <w:basedOn w:val="a7"/>
    <w:rsid w:val="00A24ED2"/>
    <w:rPr>
      <w:rFonts w:ascii="細明體" w:eastAsia="細明體" w:hAnsi="細明體" w:cs="細明體"/>
      <w:b w:val="0"/>
      <w:bCs w:val="0"/>
      <w:i w:val="0"/>
      <w:iCs w:val="0"/>
      <w:smallCaps w:val="0"/>
      <w:strike w:val="0"/>
      <w:color w:val="000000"/>
      <w:spacing w:val="-10"/>
      <w:w w:val="100"/>
      <w:position w:val="0"/>
      <w:sz w:val="23"/>
      <w:szCs w:val="23"/>
      <w:u w:val="none"/>
      <w:lang w:val="ja-JP"/>
    </w:rPr>
  </w:style>
  <w:style w:type="character" w:customStyle="1" w:styleId="aff2">
    <w:name w:val="內文文字 + 粗體"/>
    <w:basedOn w:val="a7"/>
    <w:rsid w:val="00A24ED2"/>
    <w:rPr>
      <w:rFonts w:ascii="細明體" w:eastAsia="細明體" w:hAnsi="細明體" w:cs="細明體"/>
      <w:b/>
      <w:bCs/>
      <w:i w:val="0"/>
      <w:iCs w:val="0"/>
      <w:smallCaps w:val="0"/>
      <w:strike w:val="0"/>
      <w:color w:val="000000"/>
      <w:spacing w:val="0"/>
      <w:w w:val="100"/>
      <w:position w:val="0"/>
      <w:sz w:val="23"/>
      <w:szCs w:val="23"/>
      <w:u w:val="none"/>
      <w:lang w:val="ja-JP"/>
    </w:rPr>
  </w:style>
  <w:style w:type="character" w:customStyle="1" w:styleId="aff3">
    <w:name w:val="內文文字 + 斜體"/>
    <w:aliases w:val="間距 -1 pt"/>
    <w:basedOn w:val="a7"/>
    <w:rsid w:val="00A24ED2"/>
    <w:rPr>
      <w:rFonts w:ascii="細明體" w:eastAsia="細明體" w:hAnsi="細明體" w:cs="細明體"/>
      <w:b w:val="0"/>
      <w:bCs w:val="0"/>
      <w:i/>
      <w:iCs/>
      <w:smallCaps w:val="0"/>
      <w:strike w:val="0"/>
      <w:color w:val="000000"/>
      <w:spacing w:val="-20"/>
      <w:w w:val="100"/>
      <w:position w:val="0"/>
      <w:sz w:val="23"/>
      <w:szCs w:val="23"/>
      <w:u w:val="none"/>
      <w:lang w:val="en-US"/>
    </w:rPr>
  </w:style>
  <w:style w:type="character" w:customStyle="1" w:styleId="60">
    <w:name w:val="標題 6 字元"/>
    <w:basedOn w:val="a7"/>
    <w:link w:val="6"/>
    <w:rsid w:val="00AF20C2"/>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9115">
      <w:bodyDiv w:val="1"/>
      <w:marLeft w:val="0"/>
      <w:marRight w:val="0"/>
      <w:marTop w:val="0"/>
      <w:marBottom w:val="0"/>
      <w:divBdr>
        <w:top w:val="none" w:sz="0" w:space="0" w:color="auto"/>
        <w:left w:val="none" w:sz="0" w:space="0" w:color="auto"/>
        <w:bottom w:val="none" w:sz="0" w:space="0" w:color="auto"/>
        <w:right w:val="none" w:sz="0" w:space="0" w:color="auto"/>
      </w:divBdr>
    </w:div>
    <w:div w:id="12850202">
      <w:bodyDiv w:val="1"/>
      <w:marLeft w:val="0"/>
      <w:marRight w:val="0"/>
      <w:marTop w:val="0"/>
      <w:marBottom w:val="0"/>
      <w:divBdr>
        <w:top w:val="none" w:sz="0" w:space="0" w:color="auto"/>
        <w:left w:val="none" w:sz="0" w:space="0" w:color="auto"/>
        <w:bottom w:val="none" w:sz="0" w:space="0" w:color="auto"/>
        <w:right w:val="none" w:sz="0" w:space="0" w:color="auto"/>
      </w:divBdr>
    </w:div>
    <w:div w:id="204682574">
      <w:bodyDiv w:val="1"/>
      <w:marLeft w:val="0"/>
      <w:marRight w:val="0"/>
      <w:marTop w:val="0"/>
      <w:marBottom w:val="0"/>
      <w:divBdr>
        <w:top w:val="none" w:sz="0" w:space="0" w:color="auto"/>
        <w:left w:val="none" w:sz="0" w:space="0" w:color="auto"/>
        <w:bottom w:val="none" w:sz="0" w:space="0" w:color="auto"/>
        <w:right w:val="none" w:sz="0" w:space="0" w:color="auto"/>
      </w:divBdr>
    </w:div>
    <w:div w:id="211188646">
      <w:bodyDiv w:val="1"/>
      <w:marLeft w:val="0"/>
      <w:marRight w:val="0"/>
      <w:marTop w:val="0"/>
      <w:marBottom w:val="0"/>
      <w:divBdr>
        <w:top w:val="none" w:sz="0" w:space="0" w:color="auto"/>
        <w:left w:val="none" w:sz="0" w:space="0" w:color="auto"/>
        <w:bottom w:val="none" w:sz="0" w:space="0" w:color="auto"/>
        <w:right w:val="none" w:sz="0" w:space="0" w:color="auto"/>
      </w:divBdr>
    </w:div>
    <w:div w:id="238901946">
      <w:bodyDiv w:val="1"/>
      <w:marLeft w:val="0"/>
      <w:marRight w:val="0"/>
      <w:marTop w:val="0"/>
      <w:marBottom w:val="0"/>
      <w:divBdr>
        <w:top w:val="none" w:sz="0" w:space="0" w:color="auto"/>
        <w:left w:val="none" w:sz="0" w:space="0" w:color="auto"/>
        <w:bottom w:val="none" w:sz="0" w:space="0" w:color="auto"/>
        <w:right w:val="none" w:sz="0" w:space="0" w:color="auto"/>
      </w:divBdr>
    </w:div>
    <w:div w:id="283536993">
      <w:bodyDiv w:val="1"/>
      <w:marLeft w:val="0"/>
      <w:marRight w:val="0"/>
      <w:marTop w:val="0"/>
      <w:marBottom w:val="0"/>
      <w:divBdr>
        <w:top w:val="none" w:sz="0" w:space="0" w:color="auto"/>
        <w:left w:val="none" w:sz="0" w:space="0" w:color="auto"/>
        <w:bottom w:val="none" w:sz="0" w:space="0" w:color="auto"/>
        <w:right w:val="none" w:sz="0" w:space="0" w:color="auto"/>
      </w:divBdr>
    </w:div>
    <w:div w:id="407583557">
      <w:bodyDiv w:val="1"/>
      <w:marLeft w:val="0"/>
      <w:marRight w:val="0"/>
      <w:marTop w:val="0"/>
      <w:marBottom w:val="0"/>
      <w:divBdr>
        <w:top w:val="none" w:sz="0" w:space="0" w:color="auto"/>
        <w:left w:val="none" w:sz="0" w:space="0" w:color="auto"/>
        <w:bottom w:val="none" w:sz="0" w:space="0" w:color="auto"/>
        <w:right w:val="none" w:sz="0" w:space="0" w:color="auto"/>
      </w:divBdr>
    </w:div>
    <w:div w:id="449713630">
      <w:bodyDiv w:val="1"/>
      <w:marLeft w:val="0"/>
      <w:marRight w:val="0"/>
      <w:marTop w:val="0"/>
      <w:marBottom w:val="0"/>
      <w:divBdr>
        <w:top w:val="none" w:sz="0" w:space="0" w:color="auto"/>
        <w:left w:val="none" w:sz="0" w:space="0" w:color="auto"/>
        <w:bottom w:val="none" w:sz="0" w:space="0" w:color="auto"/>
        <w:right w:val="none" w:sz="0" w:space="0" w:color="auto"/>
      </w:divBdr>
    </w:div>
    <w:div w:id="586496365">
      <w:bodyDiv w:val="1"/>
      <w:marLeft w:val="0"/>
      <w:marRight w:val="0"/>
      <w:marTop w:val="0"/>
      <w:marBottom w:val="0"/>
      <w:divBdr>
        <w:top w:val="none" w:sz="0" w:space="0" w:color="auto"/>
        <w:left w:val="none" w:sz="0" w:space="0" w:color="auto"/>
        <w:bottom w:val="none" w:sz="0" w:space="0" w:color="auto"/>
        <w:right w:val="none" w:sz="0" w:space="0" w:color="auto"/>
      </w:divBdr>
    </w:div>
    <w:div w:id="666248990">
      <w:bodyDiv w:val="1"/>
      <w:marLeft w:val="0"/>
      <w:marRight w:val="0"/>
      <w:marTop w:val="0"/>
      <w:marBottom w:val="0"/>
      <w:divBdr>
        <w:top w:val="none" w:sz="0" w:space="0" w:color="auto"/>
        <w:left w:val="none" w:sz="0" w:space="0" w:color="auto"/>
        <w:bottom w:val="none" w:sz="0" w:space="0" w:color="auto"/>
        <w:right w:val="none" w:sz="0" w:space="0" w:color="auto"/>
      </w:divBdr>
    </w:div>
    <w:div w:id="667176549">
      <w:bodyDiv w:val="1"/>
      <w:marLeft w:val="0"/>
      <w:marRight w:val="0"/>
      <w:marTop w:val="0"/>
      <w:marBottom w:val="0"/>
      <w:divBdr>
        <w:top w:val="none" w:sz="0" w:space="0" w:color="auto"/>
        <w:left w:val="none" w:sz="0" w:space="0" w:color="auto"/>
        <w:bottom w:val="none" w:sz="0" w:space="0" w:color="auto"/>
        <w:right w:val="none" w:sz="0" w:space="0" w:color="auto"/>
      </w:divBdr>
    </w:div>
    <w:div w:id="70059321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3403144">
      <w:bodyDiv w:val="1"/>
      <w:marLeft w:val="0"/>
      <w:marRight w:val="0"/>
      <w:marTop w:val="0"/>
      <w:marBottom w:val="0"/>
      <w:divBdr>
        <w:top w:val="none" w:sz="0" w:space="0" w:color="auto"/>
        <w:left w:val="none" w:sz="0" w:space="0" w:color="auto"/>
        <w:bottom w:val="none" w:sz="0" w:space="0" w:color="auto"/>
        <w:right w:val="none" w:sz="0" w:space="0" w:color="auto"/>
      </w:divBdr>
    </w:div>
    <w:div w:id="904341900">
      <w:bodyDiv w:val="1"/>
      <w:marLeft w:val="0"/>
      <w:marRight w:val="0"/>
      <w:marTop w:val="0"/>
      <w:marBottom w:val="0"/>
      <w:divBdr>
        <w:top w:val="none" w:sz="0" w:space="0" w:color="auto"/>
        <w:left w:val="none" w:sz="0" w:space="0" w:color="auto"/>
        <w:bottom w:val="none" w:sz="0" w:space="0" w:color="auto"/>
        <w:right w:val="none" w:sz="0" w:space="0" w:color="auto"/>
      </w:divBdr>
    </w:div>
    <w:div w:id="1310742949">
      <w:bodyDiv w:val="1"/>
      <w:marLeft w:val="0"/>
      <w:marRight w:val="0"/>
      <w:marTop w:val="0"/>
      <w:marBottom w:val="0"/>
      <w:divBdr>
        <w:top w:val="none" w:sz="0" w:space="0" w:color="auto"/>
        <w:left w:val="none" w:sz="0" w:space="0" w:color="auto"/>
        <w:bottom w:val="none" w:sz="0" w:space="0" w:color="auto"/>
        <w:right w:val="none" w:sz="0" w:space="0" w:color="auto"/>
      </w:divBdr>
    </w:div>
    <w:div w:id="1333991040">
      <w:bodyDiv w:val="1"/>
      <w:marLeft w:val="0"/>
      <w:marRight w:val="0"/>
      <w:marTop w:val="0"/>
      <w:marBottom w:val="0"/>
      <w:divBdr>
        <w:top w:val="none" w:sz="0" w:space="0" w:color="auto"/>
        <w:left w:val="none" w:sz="0" w:space="0" w:color="auto"/>
        <w:bottom w:val="none" w:sz="0" w:space="0" w:color="auto"/>
        <w:right w:val="none" w:sz="0" w:space="0" w:color="auto"/>
      </w:divBdr>
    </w:div>
    <w:div w:id="1439525303">
      <w:bodyDiv w:val="1"/>
      <w:marLeft w:val="0"/>
      <w:marRight w:val="0"/>
      <w:marTop w:val="0"/>
      <w:marBottom w:val="0"/>
      <w:divBdr>
        <w:top w:val="none" w:sz="0" w:space="0" w:color="auto"/>
        <w:left w:val="none" w:sz="0" w:space="0" w:color="auto"/>
        <w:bottom w:val="none" w:sz="0" w:space="0" w:color="auto"/>
        <w:right w:val="none" w:sz="0" w:space="0" w:color="auto"/>
      </w:divBdr>
    </w:div>
    <w:div w:id="1488129012">
      <w:bodyDiv w:val="1"/>
      <w:marLeft w:val="0"/>
      <w:marRight w:val="0"/>
      <w:marTop w:val="0"/>
      <w:marBottom w:val="0"/>
      <w:divBdr>
        <w:top w:val="none" w:sz="0" w:space="0" w:color="auto"/>
        <w:left w:val="none" w:sz="0" w:space="0" w:color="auto"/>
        <w:bottom w:val="none" w:sz="0" w:space="0" w:color="auto"/>
        <w:right w:val="none" w:sz="0" w:space="0" w:color="auto"/>
      </w:divBdr>
    </w:div>
    <w:div w:id="1558080088">
      <w:bodyDiv w:val="1"/>
      <w:marLeft w:val="0"/>
      <w:marRight w:val="0"/>
      <w:marTop w:val="0"/>
      <w:marBottom w:val="0"/>
      <w:divBdr>
        <w:top w:val="none" w:sz="0" w:space="0" w:color="auto"/>
        <w:left w:val="none" w:sz="0" w:space="0" w:color="auto"/>
        <w:bottom w:val="none" w:sz="0" w:space="0" w:color="auto"/>
        <w:right w:val="none" w:sz="0" w:space="0" w:color="auto"/>
      </w:divBdr>
    </w:div>
    <w:div w:id="1559895825">
      <w:bodyDiv w:val="1"/>
      <w:marLeft w:val="0"/>
      <w:marRight w:val="0"/>
      <w:marTop w:val="0"/>
      <w:marBottom w:val="0"/>
      <w:divBdr>
        <w:top w:val="none" w:sz="0" w:space="0" w:color="auto"/>
        <w:left w:val="none" w:sz="0" w:space="0" w:color="auto"/>
        <w:bottom w:val="none" w:sz="0" w:space="0" w:color="auto"/>
        <w:right w:val="none" w:sz="0" w:space="0" w:color="auto"/>
      </w:divBdr>
      <w:divsChild>
        <w:div w:id="108402528">
          <w:marLeft w:val="0"/>
          <w:marRight w:val="0"/>
          <w:marTop w:val="0"/>
          <w:marBottom w:val="0"/>
          <w:divBdr>
            <w:top w:val="none" w:sz="0" w:space="0" w:color="auto"/>
            <w:left w:val="none" w:sz="0" w:space="0" w:color="auto"/>
            <w:bottom w:val="none" w:sz="0" w:space="0" w:color="auto"/>
            <w:right w:val="none" w:sz="0" w:space="0" w:color="auto"/>
          </w:divBdr>
          <w:divsChild>
            <w:div w:id="1934239767">
              <w:marLeft w:val="0"/>
              <w:marRight w:val="0"/>
              <w:marTop w:val="100"/>
              <w:marBottom w:val="100"/>
              <w:divBdr>
                <w:top w:val="none" w:sz="0" w:space="0" w:color="auto"/>
                <w:left w:val="none" w:sz="0" w:space="0" w:color="auto"/>
                <w:bottom w:val="none" w:sz="0" w:space="0" w:color="auto"/>
                <w:right w:val="none" w:sz="0" w:space="0" w:color="auto"/>
              </w:divBdr>
              <w:divsChild>
                <w:div w:id="966159110">
                  <w:marLeft w:val="0"/>
                  <w:marRight w:val="0"/>
                  <w:marTop w:val="0"/>
                  <w:marBottom w:val="0"/>
                  <w:divBdr>
                    <w:top w:val="single" w:sz="6" w:space="15" w:color="ABABAB"/>
                    <w:left w:val="single" w:sz="6" w:space="15" w:color="ABABAB"/>
                    <w:bottom w:val="single" w:sz="6" w:space="15" w:color="ABABAB"/>
                    <w:right w:val="single" w:sz="6" w:space="15" w:color="ABABAB"/>
                  </w:divBdr>
                  <w:divsChild>
                    <w:div w:id="53053884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67569449">
      <w:bodyDiv w:val="1"/>
      <w:marLeft w:val="0"/>
      <w:marRight w:val="0"/>
      <w:marTop w:val="0"/>
      <w:marBottom w:val="0"/>
      <w:divBdr>
        <w:top w:val="none" w:sz="0" w:space="0" w:color="auto"/>
        <w:left w:val="none" w:sz="0" w:space="0" w:color="auto"/>
        <w:bottom w:val="none" w:sz="0" w:space="0" w:color="auto"/>
        <w:right w:val="none" w:sz="0" w:space="0" w:color="auto"/>
      </w:divBdr>
    </w:div>
    <w:div w:id="1625844264">
      <w:bodyDiv w:val="1"/>
      <w:marLeft w:val="0"/>
      <w:marRight w:val="0"/>
      <w:marTop w:val="0"/>
      <w:marBottom w:val="0"/>
      <w:divBdr>
        <w:top w:val="none" w:sz="0" w:space="0" w:color="auto"/>
        <w:left w:val="none" w:sz="0" w:space="0" w:color="auto"/>
        <w:bottom w:val="none" w:sz="0" w:space="0" w:color="auto"/>
        <w:right w:val="none" w:sz="0" w:space="0" w:color="auto"/>
      </w:divBdr>
    </w:div>
    <w:div w:id="1654986273">
      <w:bodyDiv w:val="1"/>
      <w:marLeft w:val="0"/>
      <w:marRight w:val="0"/>
      <w:marTop w:val="0"/>
      <w:marBottom w:val="0"/>
      <w:divBdr>
        <w:top w:val="none" w:sz="0" w:space="0" w:color="auto"/>
        <w:left w:val="none" w:sz="0" w:space="0" w:color="auto"/>
        <w:bottom w:val="none" w:sz="0" w:space="0" w:color="auto"/>
        <w:right w:val="none" w:sz="0" w:space="0" w:color="auto"/>
      </w:divBdr>
      <w:divsChild>
        <w:div w:id="83262008">
          <w:marLeft w:val="0"/>
          <w:marRight w:val="0"/>
          <w:marTop w:val="0"/>
          <w:marBottom w:val="0"/>
          <w:divBdr>
            <w:top w:val="none" w:sz="0" w:space="0" w:color="auto"/>
            <w:left w:val="none" w:sz="0" w:space="0" w:color="auto"/>
            <w:bottom w:val="none" w:sz="0" w:space="0" w:color="auto"/>
            <w:right w:val="none" w:sz="0" w:space="0" w:color="auto"/>
          </w:divBdr>
          <w:divsChild>
            <w:div w:id="1858689737">
              <w:marLeft w:val="0"/>
              <w:marRight w:val="0"/>
              <w:marTop w:val="100"/>
              <w:marBottom w:val="100"/>
              <w:divBdr>
                <w:top w:val="none" w:sz="0" w:space="0" w:color="auto"/>
                <w:left w:val="none" w:sz="0" w:space="0" w:color="auto"/>
                <w:bottom w:val="none" w:sz="0" w:space="0" w:color="auto"/>
                <w:right w:val="none" w:sz="0" w:space="0" w:color="auto"/>
              </w:divBdr>
              <w:divsChild>
                <w:div w:id="2061319575">
                  <w:marLeft w:val="0"/>
                  <w:marRight w:val="0"/>
                  <w:marTop w:val="45"/>
                  <w:marBottom w:val="120"/>
                  <w:divBdr>
                    <w:top w:val="none" w:sz="0" w:space="0" w:color="auto"/>
                    <w:left w:val="none" w:sz="0" w:space="0" w:color="auto"/>
                    <w:bottom w:val="none" w:sz="0" w:space="0" w:color="auto"/>
                    <w:right w:val="none" w:sz="0" w:space="0" w:color="auto"/>
                  </w:divBdr>
                  <w:divsChild>
                    <w:div w:id="409087556">
                      <w:marLeft w:val="0"/>
                      <w:marRight w:val="0"/>
                      <w:marTop w:val="0"/>
                      <w:marBottom w:val="0"/>
                      <w:divBdr>
                        <w:top w:val="none" w:sz="0" w:space="0" w:color="auto"/>
                        <w:left w:val="none" w:sz="0" w:space="0" w:color="auto"/>
                        <w:bottom w:val="none" w:sz="0" w:space="0" w:color="auto"/>
                        <w:right w:val="none" w:sz="0" w:space="0" w:color="auto"/>
                      </w:divBdr>
                      <w:divsChild>
                        <w:div w:id="1880775930">
                          <w:marLeft w:val="0"/>
                          <w:marRight w:val="0"/>
                          <w:marTop w:val="180"/>
                          <w:marBottom w:val="180"/>
                          <w:divBdr>
                            <w:top w:val="single" w:sz="6" w:space="0" w:color="4EA3E9"/>
                            <w:left w:val="single" w:sz="6" w:space="0" w:color="4EA3E9"/>
                            <w:bottom w:val="single" w:sz="6" w:space="12" w:color="4EA3E9"/>
                            <w:right w:val="single" w:sz="6" w:space="0" w:color="4EA3E9"/>
                          </w:divBdr>
                          <w:divsChild>
                            <w:div w:id="1523930124">
                              <w:marLeft w:val="0"/>
                              <w:marRight w:val="0"/>
                              <w:marTop w:val="0"/>
                              <w:marBottom w:val="720"/>
                              <w:divBdr>
                                <w:top w:val="single" w:sz="6" w:space="10" w:color="FF9933"/>
                                <w:left w:val="single" w:sz="6" w:space="10" w:color="FF9933"/>
                                <w:bottom w:val="single" w:sz="6" w:space="10" w:color="FF9933"/>
                                <w:right w:val="single" w:sz="6" w:space="10" w:color="FF9933"/>
                              </w:divBdr>
                              <w:divsChild>
                                <w:div w:id="11617009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488892">
      <w:bodyDiv w:val="1"/>
      <w:marLeft w:val="0"/>
      <w:marRight w:val="0"/>
      <w:marTop w:val="0"/>
      <w:marBottom w:val="0"/>
      <w:divBdr>
        <w:top w:val="none" w:sz="0" w:space="0" w:color="auto"/>
        <w:left w:val="none" w:sz="0" w:space="0" w:color="auto"/>
        <w:bottom w:val="none" w:sz="0" w:space="0" w:color="auto"/>
        <w:right w:val="none" w:sz="0" w:space="0" w:color="auto"/>
      </w:divBdr>
    </w:div>
    <w:div w:id="1843428864">
      <w:bodyDiv w:val="1"/>
      <w:marLeft w:val="0"/>
      <w:marRight w:val="0"/>
      <w:marTop w:val="0"/>
      <w:marBottom w:val="0"/>
      <w:divBdr>
        <w:top w:val="none" w:sz="0" w:space="0" w:color="auto"/>
        <w:left w:val="none" w:sz="0" w:space="0" w:color="auto"/>
        <w:bottom w:val="none" w:sz="0" w:space="0" w:color="auto"/>
        <w:right w:val="none" w:sz="0" w:space="0" w:color="auto"/>
      </w:divBdr>
    </w:div>
    <w:div w:id="1895315076">
      <w:bodyDiv w:val="1"/>
      <w:marLeft w:val="0"/>
      <w:marRight w:val="0"/>
      <w:marTop w:val="0"/>
      <w:marBottom w:val="0"/>
      <w:divBdr>
        <w:top w:val="none" w:sz="0" w:space="0" w:color="auto"/>
        <w:left w:val="none" w:sz="0" w:space="0" w:color="auto"/>
        <w:bottom w:val="none" w:sz="0" w:space="0" w:color="auto"/>
        <w:right w:val="none" w:sz="0" w:space="0" w:color="auto"/>
      </w:divBdr>
    </w:div>
    <w:div w:id="1918512778">
      <w:bodyDiv w:val="1"/>
      <w:marLeft w:val="0"/>
      <w:marRight w:val="0"/>
      <w:marTop w:val="0"/>
      <w:marBottom w:val="0"/>
      <w:divBdr>
        <w:top w:val="none" w:sz="0" w:space="0" w:color="auto"/>
        <w:left w:val="none" w:sz="0" w:space="0" w:color="auto"/>
        <w:bottom w:val="none" w:sz="0" w:space="0" w:color="auto"/>
        <w:right w:val="none" w:sz="0" w:space="0" w:color="auto"/>
      </w:divBdr>
    </w:div>
    <w:div w:id="1942108074">
      <w:bodyDiv w:val="1"/>
      <w:marLeft w:val="0"/>
      <w:marRight w:val="0"/>
      <w:marTop w:val="0"/>
      <w:marBottom w:val="0"/>
      <w:divBdr>
        <w:top w:val="none" w:sz="0" w:space="0" w:color="auto"/>
        <w:left w:val="none" w:sz="0" w:space="0" w:color="auto"/>
        <w:bottom w:val="none" w:sz="0" w:space="0" w:color="auto"/>
        <w:right w:val="none" w:sz="0" w:space="0" w:color="auto"/>
      </w:divBdr>
    </w:div>
    <w:div w:id="1958368676">
      <w:bodyDiv w:val="1"/>
      <w:marLeft w:val="0"/>
      <w:marRight w:val="0"/>
      <w:marTop w:val="0"/>
      <w:marBottom w:val="0"/>
      <w:divBdr>
        <w:top w:val="none" w:sz="0" w:space="0" w:color="auto"/>
        <w:left w:val="none" w:sz="0" w:space="0" w:color="auto"/>
        <w:bottom w:val="none" w:sz="0" w:space="0" w:color="auto"/>
        <w:right w:val="none" w:sz="0" w:space="0" w:color="auto"/>
      </w:divBdr>
    </w:div>
    <w:div w:id="202278112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558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0E3DF-A106-476B-AAC3-EAFE1B95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7</TotalTime>
  <Pages>20</Pages>
  <Words>1757</Words>
  <Characters>10021</Characters>
  <Application>Microsoft Office Word</Application>
  <DocSecurity>0</DocSecurity>
  <Lines>83</Lines>
  <Paragraphs>23</Paragraphs>
  <ScaleCrop>false</ScaleCrop>
  <Company>cy</Company>
  <LinksUpToDate>false</LinksUpToDate>
  <CharactersWithSpaces>11755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王秀鳳</dc:creator>
  <cp:keywords/>
  <dc:description/>
  <cp:lastModifiedBy>林秀珍</cp:lastModifiedBy>
  <cp:revision>4</cp:revision>
  <cp:lastPrinted>2020-07-27T03:19:00Z</cp:lastPrinted>
  <dcterms:created xsi:type="dcterms:W3CDTF">2020-07-30T01:47:00Z</dcterms:created>
  <dcterms:modified xsi:type="dcterms:W3CDTF">2020-07-30T07:59:00Z</dcterms:modified>
</cp:coreProperties>
</file>