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E7851" w:rsidRDefault="0091669C" w:rsidP="00F37D7B">
      <w:pPr>
        <w:pStyle w:val="af6"/>
        <w:rPr>
          <w:rFonts w:hAnsi="標楷體"/>
        </w:rPr>
      </w:pPr>
      <w:r w:rsidRPr="004E7851">
        <w:rPr>
          <w:rFonts w:hAnsi="標楷體" w:hint="eastAsia"/>
        </w:rPr>
        <w:t>調查</w:t>
      </w:r>
      <w:r w:rsidR="00927114">
        <w:rPr>
          <w:rFonts w:hAnsi="標楷體" w:hint="eastAsia"/>
        </w:rPr>
        <w:t>意見</w:t>
      </w:r>
    </w:p>
    <w:p w:rsidR="007748B7" w:rsidRPr="004E7851" w:rsidRDefault="00E25849" w:rsidP="00340605">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E7851">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40605" w:rsidRPr="004E7851">
        <w:rPr>
          <w:rFonts w:hAnsi="標楷體" w:hint="eastAsia"/>
        </w:rPr>
        <w:t>據審計部106年度中央政府總決算審核報告，政府已建置跨部會食品雲，期提升食品安全管理效能，惟資料後續勾稽運用，仍有未盡周妥情事，允宜研謀改善，以發揮系統建置綜效，強化食品安全管理體系案</w:t>
      </w:r>
      <w:r w:rsidR="007748B7" w:rsidRPr="004E7851">
        <w:rPr>
          <w:rFonts w:hAnsi="標楷體"/>
        </w:rPr>
        <w:t>。</w:t>
      </w:r>
    </w:p>
    <w:p w:rsidR="00F07B22" w:rsidRPr="004E7851" w:rsidRDefault="00F07B22" w:rsidP="00F07B22">
      <w:pPr>
        <w:pStyle w:val="1"/>
        <w:rPr>
          <w:rFonts w:hAnsi="標楷體"/>
        </w:rPr>
      </w:pPr>
      <w:r w:rsidRPr="004E7851">
        <w:rPr>
          <w:rFonts w:hAnsi="標楷體" w:hint="eastAsia"/>
        </w:rPr>
        <w:t>調查意見</w:t>
      </w:r>
    </w:p>
    <w:p w:rsidR="00F07B22" w:rsidRPr="004E7851" w:rsidRDefault="009D42D3" w:rsidP="009D42D3">
      <w:pPr>
        <w:pStyle w:val="11"/>
        <w:ind w:left="680" w:firstLine="680"/>
        <w:rPr>
          <w:rFonts w:hAnsi="標楷體"/>
        </w:rPr>
      </w:pPr>
      <w:r w:rsidRPr="004E7851">
        <w:rPr>
          <w:rFonts w:hAnsi="標楷體" w:hint="eastAsia"/>
        </w:rPr>
        <w:t>據審計部</w:t>
      </w:r>
      <w:r w:rsidRPr="004E7851">
        <w:rPr>
          <w:rFonts w:hAnsi="標楷體"/>
        </w:rPr>
        <w:t>民國（下同）</w:t>
      </w:r>
      <w:r w:rsidRPr="004E7851">
        <w:rPr>
          <w:rFonts w:hAnsi="標楷體" w:hint="eastAsia"/>
        </w:rPr>
        <w:t>106年度中央政府總決算審核報告，政府已建置跨部會食品雲，期提升食品安全管理效能，惟資料後續勾稽運用，仍有未盡周妥情事，允宜研謀改善，以發揮系統建置綜效，強化食品安全管理體系案。經調閱審計部相關卷證，並請該部赴院簡報說明，再就相關爭點向衛生福利部(下稱衛福部)、行政院農業委員會(下稱農委會)、行政院環境保護署(下稱環保署)、經濟部及財政部等調閱相關卷證，再於109年1月6日邀請此領域專家學者召開諮詢會議，經彙整本案案情分析後，於109年4月22日詢問衛福部食品藥物管理署(下稱食藥署)、環保署毒物及化學物質局(下稱化學局)、財政部及經濟部等相關主管人員，</w:t>
      </w:r>
      <w:r w:rsidR="00DE5E5F" w:rsidRPr="004E7851">
        <w:rPr>
          <w:rFonts w:hAnsi="標楷體" w:hint="eastAsia"/>
        </w:rPr>
        <w:t>嗣再於109年6月17日赴食藥署食藥戰情中心履勘，再就相關問題向該署、農委會及教育部等調卷研析後，</w:t>
      </w:r>
      <w:r w:rsidRPr="004E7851">
        <w:rPr>
          <w:rFonts w:hAnsi="標楷體" w:hint="eastAsia"/>
        </w:rPr>
        <w:t>業調查竣事，</w:t>
      </w:r>
      <w:r w:rsidR="00273828" w:rsidRPr="004E7851">
        <w:rPr>
          <w:rFonts w:hAnsi="標楷體" w:hint="eastAsia"/>
        </w:rPr>
        <w:t>茲陳述調查意見如下：</w:t>
      </w:r>
    </w:p>
    <w:p w:rsidR="0038637D" w:rsidRPr="004E7851" w:rsidRDefault="0038637D" w:rsidP="00C74FF4">
      <w:pPr>
        <w:pStyle w:val="2"/>
        <w:rPr>
          <w:rFonts w:hAnsi="標楷體"/>
          <w:b/>
        </w:rPr>
      </w:pPr>
      <w:r w:rsidRPr="004E7851">
        <w:rPr>
          <w:rFonts w:hAnsi="標楷體" w:hint="eastAsia"/>
          <w:b/>
        </w:rPr>
        <w:t>食藥署雖自103年起陸續擴</w:t>
      </w:r>
      <w:r w:rsidR="00473793" w:rsidRPr="004E7851">
        <w:rPr>
          <w:rFonts w:hAnsi="標楷體" w:hint="eastAsia"/>
          <w:b/>
        </w:rPr>
        <w:t>增</w:t>
      </w:r>
      <w:r w:rsidR="007C25DA" w:rsidRPr="004E7851">
        <w:rPr>
          <w:rFonts w:hAnsi="標楷體" w:hint="eastAsia"/>
          <w:b/>
        </w:rPr>
        <w:t>規範應辦理食品追溯追蹤系統之食品業者，逐步擴</w:t>
      </w:r>
      <w:r w:rsidR="00473793" w:rsidRPr="004E7851">
        <w:rPr>
          <w:rFonts w:hAnsi="標楷體" w:hint="eastAsia"/>
          <w:b/>
        </w:rPr>
        <w:t>大</w:t>
      </w:r>
      <w:r w:rsidR="007C25DA" w:rsidRPr="004E7851">
        <w:rPr>
          <w:rFonts w:hAnsi="標楷體" w:hint="eastAsia"/>
          <w:b/>
        </w:rPr>
        <w:t>管理對象</w:t>
      </w:r>
      <w:r w:rsidRPr="004E7851">
        <w:rPr>
          <w:rFonts w:hAnsi="標楷體" w:hint="eastAsia"/>
          <w:b/>
        </w:rPr>
        <w:t>，惟對於各相關業者落實</w:t>
      </w:r>
      <w:r w:rsidR="009F2E00" w:rsidRPr="004E7851">
        <w:rPr>
          <w:rFonts w:hAnsi="標楷體" w:hint="eastAsia"/>
          <w:b/>
        </w:rPr>
        <w:t>執行</w:t>
      </w:r>
      <w:r w:rsidRPr="004E7851">
        <w:rPr>
          <w:rFonts w:hAnsi="標楷體" w:hint="eastAsia"/>
          <w:b/>
        </w:rPr>
        <w:t>情形，卻未積極主動掌握及依法督管，致</w:t>
      </w:r>
      <w:r w:rsidR="00557F9B" w:rsidRPr="004E7851">
        <w:rPr>
          <w:rFonts w:hAnsi="標楷體" w:hint="eastAsia"/>
          <w:b/>
        </w:rPr>
        <w:t>難以</w:t>
      </w:r>
      <w:r w:rsidR="009F2E00" w:rsidRPr="004E7851">
        <w:rPr>
          <w:rFonts w:hAnsi="標楷體" w:hint="eastAsia"/>
          <w:b/>
        </w:rPr>
        <w:t>達成法規範目的；且截至108年底止，該署統計按食品安全衛生管理法規定申請登錄之食品業者計475</w:t>
      </w:r>
      <w:r w:rsidR="009F2E00" w:rsidRPr="004E7851">
        <w:rPr>
          <w:rFonts w:hAnsi="標楷體"/>
          <w:b/>
        </w:rPr>
        <w:t>,</w:t>
      </w:r>
      <w:r w:rsidR="009F2E00" w:rsidRPr="004E7851">
        <w:rPr>
          <w:rFonts w:hAnsi="標楷體" w:hint="eastAsia"/>
          <w:b/>
        </w:rPr>
        <w:t>763家次，然其中應建立食品追溯追蹤系統之業者僅有10,099家次，</w:t>
      </w:r>
      <w:r w:rsidR="007C25DA" w:rsidRPr="004E7851">
        <w:rPr>
          <w:rFonts w:hAnsi="標楷體" w:hint="eastAsia"/>
          <w:b/>
        </w:rPr>
        <w:t>亦即約</w:t>
      </w:r>
      <w:r w:rsidR="009F2E00" w:rsidRPr="004E7851">
        <w:rPr>
          <w:rFonts w:hAnsi="標楷體" w:hint="eastAsia"/>
          <w:b/>
        </w:rPr>
        <w:t>僅2%</w:t>
      </w:r>
      <w:r w:rsidR="007C25DA" w:rsidRPr="004E7851">
        <w:rPr>
          <w:rFonts w:hAnsi="標楷體" w:hint="eastAsia"/>
          <w:b/>
        </w:rPr>
        <w:t>食品業者須建立追溯追蹤系統</w:t>
      </w:r>
      <w:r w:rsidR="00473793" w:rsidRPr="004E7851">
        <w:rPr>
          <w:rFonts w:hAnsi="標楷體" w:hint="eastAsia"/>
          <w:b/>
        </w:rPr>
        <w:t>。此</w:t>
      </w:r>
      <w:r w:rsidR="007C25DA" w:rsidRPr="004E7851">
        <w:rPr>
          <w:rFonts w:hAnsi="標楷體" w:hint="eastAsia"/>
          <w:b/>
        </w:rPr>
        <w:t>均肇</w:t>
      </w:r>
      <w:r w:rsidR="00473793" w:rsidRPr="004E7851">
        <w:rPr>
          <w:rFonts w:hAnsi="標楷體" w:hint="eastAsia"/>
          <w:b/>
        </w:rPr>
        <w:t>使</w:t>
      </w:r>
      <w:r w:rsidR="007C25DA" w:rsidRPr="004E7851">
        <w:rPr>
          <w:rFonts w:hAnsi="標楷體" w:hint="eastAsia"/>
          <w:b/>
        </w:rPr>
        <w:t>食品雲系統欠缺絕大數食品</w:t>
      </w:r>
      <w:r w:rsidR="007C25DA" w:rsidRPr="004E7851">
        <w:rPr>
          <w:rFonts w:hAnsi="標楷體" w:hint="eastAsia"/>
          <w:b/>
        </w:rPr>
        <w:lastRenderedPageBreak/>
        <w:t>業者資料，自有礙食品雲風險預測效能，</w:t>
      </w:r>
      <w:r w:rsidR="00473793" w:rsidRPr="004E7851">
        <w:rPr>
          <w:rFonts w:hAnsi="標楷體" w:hint="eastAsia"/>
          <w:b/>
        </w:rPr>
        <w:t>確</w:t>
      </w:r>
      <w:r w:rsidR="007C25DA" w:rsidRPr="004E7851">
        <w:rPr>
          <w:rFonts w:hAnsi="標楷體" w:hint="eastAsia"/>
          <w:b/>
        </w:rPr>
        <w:t>有</w:t>
      </w:r>
      <w:r w:rsidR="00473793" w:rsidRPr="004E7851">
        <w:rPr>
          <w:rFonts w:hAnsi="標楷體" w:hint="eastAsia"/>
          <w:b/>
        </w:rPr>
        <w:t>失當</w:t>
      </w:r>
      <w:r w:rsidRPr="004E7851">
        <w:rPr>
          <w:rFonts w:hAnsi="標楷體" w:hint="eastAsia"/>
          <w:b/>
        </w:rPr>
        <w:t>。</w:t>
      </w:r>
    </w:p>
    <w:p w:rsidR="007F6FD8" w:rsidRPr="004E7851" w:rsidRDefault="00373DF9" w:rsidP="001C111F">
      <w:pPr>
        <w:pStyle w:val="3"/>
        <w:rPr>
          <w:rFonts w:hAnsi="標楷體"/>
        </w:rPr>
      </w:pPr>
      <w:r w:rsidRPr="004E7851">
        <w:rPr>
          <w:rFonts w:hAnsi="標楷體" w:hint="eastAsia"/>
        </w:rPr>
        <w:t>按食品安全衛生管理法</w:t>
      </w:r>
      <w:r w:rsidR="00CD4F83" w:rsidRPr="004E7851">
        <w:rPr>
          <w:rFonts w:hAnsi="標楷體" w:hint="eastAsia"/>
        </w:rPr>
        <w:t>(下稱食安法)</w:t>
      </w:r>
      <w:r w:rsidR="007F6FD8" w:rsidRPr="004E7851">
        <w:rPr>
          <w:rFonts w:hAnsi="標楷體" w:hint="eastAsia"/>
        </w:rPr>
        <w:t>第2條規定：</w:t>
      </w:r>
      <w:r w:rsidR="00240E31" w:rsidRPr="004E7851">
        <w:rPr>
          <w:rFonts w:hAnsi="標楷體" w:hint="eastAsia"/>
        </w:rPr>
        <w:t>「</w:t>
      </w:r>
      <w:r w:rsidR="00006B0D" w:rsidRPr="004E7851">
        <w:rPr>
          <w:rFonts w:hAnsi="標楷體" w:hint="eastAsia"/>
        </w:rPr>
        <w:t>本法所稱主管機關：在中央為衛生福利主管機關；在直轄市為直轄市政府；在縣（市）為縣（市）政府。</w:t>
      </w:r>
      <w:r w:rsidR="00240E31" w:rsidRPr="004E7851">
        <w:rPr>
          <w:rFonts w:hAnsi="標楷體" w:hint="eastAsia"/>
        </w:rPr>
        <w:t>」</w:t>
      </w:r>
      <w:r w:rsidR="00006B0D" w:rsidRPr="004E7851">
        <w:rPr>
          <w:rFonts w:hAnsi="標楷體" w:hint="eastAsia"/>
        </w:rPr>
        <w:t>同法第9條規定：「(第1項)食品業者應保存產品原材料、半成品及成品之來源相關文件。(第2項)經中央主管機關公告類別與規模之食品業者，應依其產業模式，建立產品原材料、半成品與成品供應來源及流向之追溯或追蹤系統。……</w:t>
      </w:r>
      <w:r w:rsidR="00CD4F83" w:rsidRPr="004E7851">
        <w:rPr>
          <w:rFonts w:hAnsi="標楷體" w:hint="eastAsia"/>
        </w:rPr>
        <w:t>(第4項)中央主管機關應建立第二項之追溯或追蹤系統，食品業者應以電子方式申報追溯或追蹤系統之資料，其電子申報方式及規格由中央主管機關定之。(第5項)第一項保存文件種類與期間及第二項追溯或追蹤系統之建立、應記錄之事項、查核及其他應遵行事項之辦法，由中央主管機關定之。</w:t>
      </w:r>
      <w:r w:rsidR="00006B0D" w:rsidRPr="004E7851">
        <w:rPr>
          <w:rFonts w:hAnsi="標楷體" w:hint="eastAsia"/>
        </w:rPr>
        <w:t>」</w:t>
      </w:r>
      <w:r w:rsidR="00CD4F83" w:rsidRPr="004E7851">
        <w:rPr>
          <w:rFonts w:hAnsi="標楷體" w:hint="eastAsia"/>
        </w:rPr>
        <w:t>再按同法第第48條規定：</w:t>
      </w:r>
      <w:r w:rsidR="00240E31" w:rsidRPr="004E7851">
        <w:rPr>
          <w:rFonts w:hAnsi="標楷體" w:hint="eastAsia"/>
        </w:rPr>
        <w:t>「</w:t>
      </w:r>
      <w:r w:rsidR="00006B0D" w:rsidRPr="004E7851">
        <w:rPr>
          <w:rFonts w:hAnsi="標楷體" w:hint="eastAsia"/>
        </w:rPr>
        <w:t>有下列行為之一者，經命限期改正，屆期不改正者，處新臺幣</w:t>
      </w:r>
      <w:r w:rsidR="00ED2937" w:rsidRPr="004E7851">
        <w:rPr>
          <w:rFonts w:hAnsi="標楷體" w:hint="eastAsia"/>
        </w:rPr>
        <w:t>（</w:t>
      </w:r>
      <w:r w:rsidR="00ED2937" w:rsidRPr="004E7851">
        <w:rPr>
          <w:rFonts w:hAnsi="標楷體" w:hint="eastAsia"/>
          <w:lang w:eastAsia="zh-HK"/>
        </w:rPr>
        <w:t>下同</w:t>
      </w:r>
      <w:r w:rsidR="00ED2937" w:rsidRPr="004E7851">
        <w:rPr>
          <w:rFonts w:hAnsi="標楷體" w:hint="eastAsia"/>
        </w:rPr>
        <w:t>）</w:t>
      </w:r>
      <w:r w:rsidR="00006B0D" w:rsidRPr="004E7851">
        <w:rPr>
          <w:rFonts w:hAnsi="標楷體" w:hint="eastAsia"/>
        </w:rPr>
        <w:t>三萬元以上三百萬元以下罰鍰；情節重大者，並得命其歇業、停業一定期間、廢止其公司、商業、工廠之全部或部分登記事項，或食品業者之登錄；經廢止登錄者，一年內不得再申請重新登錄：一、違反第七條第一項規定未訂定食品安全監測計畫、第二項或第三項規定未設置實驗室。二、違反第八條第三項規定，未辦理登錄，或違反第八條第五項規定，未取得驗證。三、違反第九條第一項規定，未保存文件或保存未達規定期限。四、違反第九條第二項規定，未建立追溯或追蹤系統。……</w:t>
      </w:r>
      <w:r w:rsidR="00240E31" w:rsidRPr="004E7851">
        <w:rPr>
          <w:rFonts w:hAnsi="標楷體" w:hint="eastAsia"/>
        </w:rPr>
        <w:t>」</w:t>
      </w:r>
      <w:r w:rsidR="00006B0D" w:rsidRPr="004E7851">
        <w:rPr>
          <w:rFonts w:hAnsi="標楷體" w:hint="eastAsia"/>
        </w:rPr>
        <w:t>基此，經衛福部公告類別與規模之食品業者，應依其產業模式，建立產品原材料、半成品與成品供應來源及流向之追溯或追蹤系統，違者經命限期改正，屆期不改正者，處3萬元</w:t>
      </w:r>
      <w:r w:rsidR="00006B0D" w:rsidRPr="004E7851">
        <w:rPr>
          <w:rFonts w:hAnsi="標楷體" w:hint="eastAsia"/>
        </w:rPr>
        <w:lastRenderedPageBreak/>
        <w:t>以上300萬元以下罰鍰；情節重大者，並得命其歇業、停業一定期間、廢止其公司、商業、工廠之全部或部分登記事項，或食品業者之登錄；經廢止登錄者，1年內不得再申請重新登錄。</w:t>
      </w:r>
    </w:p>
    <w:p w:rsidR="003D4362" w:rsidRPr="004E7851" w:rsidRDefault="00CD4F83" w:rsidP="00294FD4">
      <w:pPr>
        <w:pStyle w:val="3"/>
        <w:rPr>
          <w:rFonts w:hAnsi="標楷體"/>
        </w:rPr>
        <w:sectPr w:rsidR="003D4362" w:rsidRPr="004E7851" w:rsidSect="00052A9F">
          <w:footerReference w:type="default" r:id="rId8"/>
          <w:pgSz w:w="11907" w:h="16840" w:code="9"/>
          <w:pgMar w:top="1701" w:right="1418" w:bottom="1418" w:left="1418" w:header="851" w:footer="851" w:gutter="227"/>
          <w:cols w:space="425"/>
          <w:docGrid w:type="linesAndChars" w:linePitch="457" w:charSpace="4127"/>
        </w:sectPr>
      </w:pPr>
      <w:r w:rsidRPr="004E7851">
        <w:rPr>
          <w:rFonts w:hAnsi="標楷體" w:hint="eastAsia"/>
        </w:rPr>
        <w:t>衛福部依上開食安法第9條第5項規定，於102年</w:t>
      </w:r>
      <w:r w:rsidR="00294FD4" w:rsidRPr="004E7851">
        <w:rPr>
          <w:rFonts w:hAnsi="標楷體" w:hint="eastAsia"/>
        </w:rPr>
        <w:t>11月19日訂定發布「食品及其相關產品追溯追蹤系統管理辦法」(下稱追溯追蹤管理辦法)，以為強化食品鏈上下游之串聯管理、配合食品業者登錄制度、辦理食品追溯追蹤電子申報，精進食品管理及完善產製供銷紀錄建立。嗣該部</w:t>
      </w:r>
      <w:r w:rsidRPr="004E7851">
        <w:rPr>
          <w:rFonts w:hAnsi="標楷體" w:hint="eastAsia"/>
        </w:rPr>
        <w:t>授權食藥署於103年10月27日、104年7月31日、106年3月1日及107年6月26日公告「應建立食品追溯追蹤系統之食品業者」，要求指定</w:t>
      </w:r>
      <w:r w:rsidR="00294FD4" w:rsidRPr="004E7851">
        <w:rPr>
          <w:rFonts w:hAnsi="標楷體" w:hint="eastAsia"/>
        </w:rPr>
        <w:t>共25類</w:t>
      </w:r>
      <w:r w:rsidRPr="004E7851">
        <w:rPr>
          <w:rFonts w:hAnsi="標楷體" w:hint="eastAsia"/>
        </w:rPr>
        <w:t>業別、規模之食品業者，應依規定生效日期以電子方式申報追溯追蹤系統資料</w:t>
      </w:r>
      <w:r w:rsidR="005C0374" w:rsidRPr="004E7851">
        <w:rPr>
          <w:rFonts w:hAnsi="標楷體" w:hint="eastAsia"/>
        </w:rPr>
        <w:t>，包括：食用油脂、肉品加工、水產品、餐盒食品、食品添加物、黃豆製品、嬰幼兒食品……等(詳如下表一)。</w:t>
      </w:r>
    </w:p>
    <w:p w:rsidR="005C0374" w:rsidRPr="004E7851" w:rsidRDefault="003D4362" w:rsidP="003D4362">
      <w:pPr>
        <w:pStyle w:val="a3"/>
        <w:rPr>
          <w:rFonts w:hAnsi="標楷體"/>
        </w:rPr>
      </w:pPr>
      <w:r w:rsidRPr="004E7851">
        <w:rPr>
          <w:rFonts w:hAnsi="標楷體" w:hint="eastAsia"/>
        </w:rPr>
        <w:lastRenderedPageBreak/>
        <w:t>衛福部公告應建立食品追溯追蹤系統之食品業者</w:t>
      </w:r>
    </w:p>
    <w:tbl>
      <w:tblPr>
        <w:tblW w:w="14592"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7"/>
        <w:gridCol w:w="942"/>
        <w:gridCol w:w="2207"/>
        <w:gridCol w:w="1841"/>
        <w:gridCol w:w="2009"/>
        <w:gridCol w:w="6866"/>
      </w:tblGrid>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spacing w:line="232" w:lineRule="auto"/>
              <w:ind w:leftChars="-4" w:left="1" w:rightChars="-23" w:right="-78" w:hangingChars="5" w:hanging="15"/>
              <w:jc w:val="center"/>
              <w:rPr>
                <w:rFonts w:hAnsi="標楷體" w:cs="微軟正黑體"/>
                <w:kern w:val="0"/>
                <w:sz w:val="28"/>
                <w:szCs w:val="28"/>
              </w:rPr>
            </w:pPr>
            <w:r w:rsidRPr="004E7851">
              <w:rPr>
                <w:rFonts w:hAnsi="標楷體" w:cs="微軟正黑體" w:hint="eastAsia"/>
                <w:kern w:val="0"/>
                <w:sz w:val="28"/>
                <w:szCs w:val="28"/>
              </w:rPr>
              <w:t>序號</w:t>
            </w:r>
          </w:p>
        </w:tc>
        <w:tc>
          <w:tcPr>
            <w:tcW w:w="3149" w:type="dxa"/>
            <w:gridSpan w:val="2"/>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spacing w:line="223" w:lineRule="auto"/>
              <w:jc w:val="center"/>
              <w:rPr>
                <w:rFonts w:hAnsi="標楷體" w:cs="微軟正黑體"/>
                <w:kern w:val="0"/>
                <w:sz w:val="28"/>
                <w:szCs w:val="28"/>
              </w:rPr>
            </w:pPr>
            <w:r w:rsidRPr="004E7851">
              <w:rPr>
                <w:rFonts w:hAnsi="標楷體" w:cs="微軟正黑體" w:hint="eastAsia"/>
                <w:kern w:val="0"/>
                <w:sz w:val="28"/>
                <w:szCs w:val="28"/>
              </w:rPr>
              <w:t>業別</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spacing w:line="232" w:lineRule="auto"/>
              <w:ind w:left="32"/>
              <w:jc w:val="center"/>
              <w:rPr>
                <w:rFonts w:hAnsi="標楷體" w:cs="微軟正黑體"/>
                <w:kern w:val="0"/>
                <w:sz w:val="28"/>
                <w:szCs w:val="28"/>
              </w:rPr>
            </w:pPr>
            <w:r w:rsidRPr="004E7851">
              <w:rPr>
                <w:rFonts w:hAnsi="標楷體" w:cs="微軟正黑體" w:hint="eastAsia"/>
                <w:kern w:val="0"/>
                <w:sz w:val="28"/>
                <w:szCs w:val="28"/>
              </w:rPr>
              <w:t>公告日期</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spacing w:line="232" w:lineRule="auto"/>
              <w:ind w:leftChars="-38" w:left="3" w:hangingChars="44" w:hanging="132"/>
              <w:jc w:val="center"/>
              <w:rPr>
                <w:rFonts w:hAnsi="標楷體" w:cs="微軟正黑體"/>
                <w:kern w:val="0"/>
                <w:sz w:val="28"/>
                <w:szCs w:val="28"/>
              </w:rPr>
            </w:pPr>
            <w:r w:rsidRPr="004E7851">
              <w:rPr>
                <w:rFonts w:hAnsi="標楷體" w:cs="微軟正黑體" w:hint="eastAsia"/>
                <w:kern w:val="0"/>
                <w:sz w:val="28"/>
                <w:szCs w:val="28"/>
              </w:rPr>
              <w:t>實施日期</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spacing w:line="232" w:lineRule="auto"/>
              <w:jc w:val="center"/>
              <w:rPr>
                <w:rFonts w:hAnsi="標楷體" w:cs="微軟正黑體"/>
                <w:kern w:val="0"/>
                <w:sz w:val="28"/>
                <w:szCs w:val="28"/>
              </w:rPr>
            </w:pPr>
            <w:r w:rsidRPr="004E7851">
              <w:rPr>
                <w:rFonts w:hAnsi="標楷體" w:cs="微軟正黑體" w:hint="eastAsia"/>
                <w:kern w:val="0"/>
                <w:sz w:val="28"/>
                <w:szCs w:val="28"/>
              </w:rPr>
              <w:t>規模</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1</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13" w:left="1" w:hangingChars="15" w:hanging="45"/>
              <w:jc w:val="left"/>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食用油脂</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103</w:t>
            </w:r>
            <w:r w:rsidRPr="004E7851">
              <w:rPr>
                <w:rFonts w:hAnsi="標楷體" w:cs="微軟正黑體"/>
                <w:spacing w:val="8"/>
                <w:kern w:val="0"/>
                <w:sz w:val="28"/>
                <w:szCs w:val="28"/>
              </w:rPr>
              <w:t>.</w:t>
            </w:r>
            <w:r w:rsidRPr="004E7851">
              <w:rPr>
                <w:rFonts w:hAnsi="標楷體" w:cs="微軟正黑體"/>
                <w:spacing w:val="6"/>
                <w:kern w:val="0"/>
                <w:sz w:val="28"/>
                <w:szCs w:val="28"/>
              </w:rPr>
              <w:t>10</w:t>
            </w:r>
            <w:r w:rsidRPr="004E7851">
              <w:rPr>
                <w:rFonts w:hAnsi="標楷體" w:cs="微軟正黑體"/>
                <w:spacing w:val="8"/>
                <w:kern w:val="0"/>
                <w:sz w:val="28"/>
                <w:szCs w:val="28"/>
              </w:rPr>
              <w:t>.</w:t>
            </w:r>
            <w:r w:rsidRPr="004E7851">
              <w:rPr>
                <w:rFonts w:hAnsi="標楷體" w:cs="微軟正黑體"/>
                <w:spacing w:val="6"/>
                <w:kern w:val="0"/>
                <w:sz w:val="28"/>
                <w:szCs w:val="28"/>
              </w:rPr>
              <w:t>2</w:t>
            </w:r>
            <w:r w:rsidRPr="004E7851">
              <w:rPr>
                <w:rFonts w:hAnsi="標楷體" w:cs="微軟正黑體"/>
                <w:kern w:val="0"/>
                <w:sz w:val="28"/>
                <w:szCs w:val="28"/>
              </w:rPr>
              <w:t>7</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hangingChars="10" w:hanging="31"/>
              <w:rPr>
                <w:rFonts w:hAnsi="標楷體" w:cs="微軟正黑體"/>
                <w:kern w:val="0"/>
                <w:sz w:val="28"/>
                <w:szCs w:val="28"/>
              </w:rPr>
            </w:pPr>
            <w:r w:rsidRPr="004E7851">
              <w:rPr>
                <w:rFonts w:hAnsi="標楷體" w:cs="微軟正黑體"/>
                <w:spacing w:val="6"/>
                <w:kern w:val="0"/>
                <w:sz w:val="28"/>
                <w:szCs w:val="28"/>
              </w:rPr>
              <w:t>103</w:t>
            </w:r>
            <w:r w:rsidRPr="004E7851">
              <w:rPr>
                <w:rFonts w:hAnsi="標楷體" w:cs="微軟正黑體"/>
                <w:spacing w:val="8"/>
                <w:kern w:val="0"/>
                <w:sz w:val="28"/>
                <w:szCs w:val="28"/>
              </w:rPr>
              <w:t>.</w:t>
            </w:r>
            <w:r w:rsidRPr="004E7851">
              <w:rPr>
                <w:rFonts w:hAnsi="標楷體" w:cs="微軟正黑體"/>
                <w:spacing w:val="6"/>
                <w:kern w:val="0"/>
                <w:sz w:val="28"/>
                <w:szCs w:val="28"/>
              </w:rPr>
              <w:t>10</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265" w:left="2" w:hangingChars="301" w:hanging="903"/>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695"/>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9" w:left="2" w:hangingChars="11" w:hanging="33"/>
              <w:jc w:val="center"/>
              <w:rPr>
                <w:rFonts w:hAnsi="標楷體" w:cs="微軟正黑體"/>
                <w:kern w:val="0"/>
                <w:sz w:val="28"/>
                <w:szCs w:val="28"/>
              </w:rPr>
            </w:pPr>
            <w:r w:rsidRPr="004E7851">
              <w:rPr>
                <w:rFonts w:hAnsi="標楷體" w:cs="微軟正黑體"/>
                <w:kern w:val="0"/>
                <w:sz w:val="28"/>
                <w:szCs w:val="28"/>
              </w:rPr>
              <w:t>1</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食用油脂</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103.10.27</w:t>
            </w:r>
          </w:p>
          <w:p w:rsidR="003D4362" w:rsidRPr="004E7851" w:rsidRDefault="003D4362" w:rsidP="003D4362">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104.7.31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103.10.31</w:t>
            </w:r>
          </w:p>
          <w:p w:rsidR="003D4362" w:rsidRPr="004E7851" w:rsidRDefault="003D4362" w:rsidP="008735A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w:t>
            </w:r>
            <w:r w:rsidRPr="004E7851">
              <w:rPr>
                <w:rFonts w:hAnsi="標楷體" w:cs="微軟正黑體" w:hint="eastAsia"/>
                <w:kern w:val="0"/>
                <w:sz w:val="28"/>
                <w:szCs w:val="28"/>
              </w:rPr>
              <w:t>工廠登記且資本額≧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p w:rsidR="003D4362" w:rsidRPr="004E7851" w:rsidRDefault="003D4362" w:rsidP="003D4362">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2.</w:t>
            </w:r>
            <w:r w:rsidRPr="004E7851">
              <w:rPr>
                <w:rFonts w:hAnsi="標楷體" w:cs="微軟正黑體" w:hint="eastAsia"/>
                <w:kern w:val="0"/>
                <w:sz w:val="28"/>
                <w:szCs w:val="28"/>
              </w:rPr>
              <w:t>工廠登記且資本額</w:t>
            </w:r>
            <w:r w:rsidRPr="004E7851">
              <w:rPr>
                <w:rFonts w:hAnsi="標楷體" w:cs="微軟正黑體"/>
                <w:kern w:val="0"/>
                <w:sz w:val="28"/>
                <w:szCs w:val="28"/>
              </w:rPr>
              <w:t>&lt;3000</w:t>
            </w:r>
            <w:r w:rsidRPr="004E7851">
              <w:rPr>
                <w:rFonts w:hAnsi="標楷體" w:cs="微軟正黑體" w:hint="eastAsia"/>
                <w:kern w:val="0"/>
                <w:sz w:val="28"/>
                <w:szCs w:val="28"/>
              </w:rPr>
              <w:t>萬元</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2</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肉品加工</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695"/>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4"/>
              <w:ind w:leftChars="-9" w:left="2" w:hangingChars="11" w:hanging="33"/>
              <w:jc w:val="center"/>
              <w:rPr>
                <w:rFonts w:hAnsi="標楷體" w:cs="微軟正黑體"/>
                <w:kern w:val="0"/>
                <w:sz w:val="28"/>
                <w:szCs w:val="28"/>
              </w:rPr>
            </w:pPr>
            <w:r w:rsidRPr="004E7851">
              <w:rPr>
                <w:rFonts w:hAnsi="標楷體" w:cs="微軟正黑體"/>
                <w:kern w:val="0"/>
                <w:sz w:val="28"/>
                <w:szCs w:val="28"/>
              </w:rPr>
              <w:t>2</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spacing w:before="164"/>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4"/>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肉品加工</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4"/>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105.1.1</w:t>
            </w:r>
          </w:p>
          <w:p w:rsidR="003D4362" w:rsidRPr="004E7851" w:rsidRDefault="003D4362" w:rsidP="008735A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w:t>
            </w:r>
            <w:r w:rsidRPr="004E7851">
              <w:rPr>
                <w:rFonts w:hAnsi="標楷體" w:cs="微軟正黑體" w:hint="eastAsia"/>
                <w:kern w:val="0"/>
                <w:sz w:val="28"/>
                <w:szCs w:val="28"/>
              </w:rPr>
              <w:t>工廠登記實施</w:t>
            </w:r>
            <w:r w:rsidRPr="004E7851">
              <w:rPr>
                <w:rFonts w:hAnsi="標楷體" w:cs="微軟正黑體"/>
                <w:kern w:val="0"/>
                <w:sz w:val="28"/>
                <w:szCs w:val="28"/>
              </w:rPr>
              <w:t>HACCP</w:t>
            </w:r>
            <w:r w:rsidRPr="004E7851">
              <w:rPr>
                <w:rFonts w:hAnsi="標楷體" w:cs="微軟正黑體" w:hint="eastAsia"/>
                <w:kern w:val="0"/>
                <w:sz w:val="28"/>
                <w:szCs w:val="28"/>
              </w:rPr>
              <w:t>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p w:rsidR="003D4362" w:rsidRPr="004E7851" w:rsidRDefault="003D4362" w:rsidP="003D4362">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2.</w:t>
            </w:r>
            <w:r w:rsidRPr="004E7851">
              <w:rPr>
                <w:rFonts w:hAnsi="標楷體" w:cs="微軟正黑體" w:hint="eastAsia"/>
                <w:kern w:val="0"/>
                <w:sz w:val="28"/>
                <w:szCs w:val="28"/>
              </w:rPr>
              <w:t>工廠登記實施</w:t>
            </w:r>
            <w:r w:rsidRPr="004E7851">
              <w:rPr>
                <w:rFonts w:hAnsi="標楷體" w:cs="微軟正黑體"/>
                <w:kern w:val="0"/>
                <w:sz w:val="28"/>
                <w:szCs w:val="28"/>
              </w:rPr>
              <w:t>HACCP</w:t>
            </w:r>
            <w:r w:rsidRPr="004E7851">
              <w:rPr>
                <w:rFonts w:hAnsi="標楷體" w:cs="微軟正黑體" w:hint="eastAsia"/>
                <w:kern w:val="0"/>
                <w:sz w:val="28"/>
                <w:szCs w:val="28"/>
              </w:rPr>
              <w:t>且資本額</w:t>
            </w:r>
            <w:r w:rsidRPr="004E7851">
              <w:rPr>
                <w:rFonts w:hAnsi="標楷體" w:cs="微軟正黑體"/>
                <w:kern w:val="0"/>
                <w:sz w:val="28"/>
                <w:szCs w:val="28"/>
              </w:rPr>
              <w:t>&lt;3000</w:t>
            </w:r>
            <w:r w:rsidRPr="004E7851">
              <w:rPr>
                <w:rFonts w:hAnsi="標楷體" w:cs="微軟正黑體" w:hint="eastAsia"/>
                <w:kern w:val="0"/>
                <w:sz w:val="28"/>
                <w:szCs w:val="28"/>
              </w:rPr>
              <w:t>萬元</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3</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乳品加工</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695"/>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9" w:left="2" w:hangingChars="11" w:hanging="33"/>
              <w:jc w:val="center"/>
              <w:rPr>
                <w:rFonts w:hAnsi="標楷體" w:cs="微軟正黑體"/>
                <w:kern w:val="0"/>
                <w:sz w:val="28"/>
                <w:szCs w:val="28"/>
              </w:rPr>
            </w:pPr>
            <w:r w:rsidRPr="004E7851">
              <w:rPr>
                <w:rFonts w:hAnsi="標楷體" w:cs="微軟正黑體"/>
                <w:kern w:val="0"/>
                <w:sz w:val="28"/>
                <w:szCs w:val="28"/>
              </w:rPr>
              <w:t>3</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乳品加工</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105.1.1</w:t>
            </w:r>
          </w:p>
          <w:p w:rsidR="003D4362" w:rsidRPr="004E7851" w:rsidRDefault="003D4362" w:rsidP="008735A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w:t>
            </w:r>
            <w:r w:rsidRPr="004E7851">
              <w:rPr>
                <w:rFonts w:hAnsi="標楷體" w:cs="微軟正黑體" w:hint="eastAsia"/>
                <w:kern w:val="0"/>
                <w:sz w:val="28"/>
                <w:szCs w:val="28"/>
              </w:rPr>
              <w:t>工廠登記實施</w:t>
            </w:r>
            <w:r w:rsidRPr="004E7851">
              <w:rPr>
                <w:rFonts w:hAnsi="標楷體" w:cs="微軟正黑體"/>
                <w:kern w:val="0"/>
                <w:sz w:val="28"/>
                <w:szCs w:val="28"/>
              </w:rPr>
              <w:t>HACCP</w:t>
            </w:r>
            <w:r w:rsidRPr="004E7851">
              <w:rPr>
                <w:rFonts w:hAnsi="標楷體" w:cs="微軟正黑體" w:hint="eastAsia"/>
                <w:kern w:val="0"/>
                <w:sz w:val="28"/>
                <w:szCs w:val="28"/>
              </w:rPr>
              <w:t>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p w:rsidR="003D4362" w:rsidRPr="004E7851" w:rsidRDefault="003D4362" w:rsidP="003D4362">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2.</w:t>
            </w:r>
            <w:r w:rsidRPr="004E7851">
              <w:rPr>
                <w:rFonts w:hAnsi="標楷體" w:cs="微軟正黑體" w:hint="eastAsia"/>
                <w:kern w:val="0"/>
                <w:sz w:val="28"/>
                <w:szCs w:val="28"/>
              </w:rPr>
              <w:t>工廠登記實施</w:t>
            </w:r>
            <w:r w:rsidRPr="004E7851">
              <w:rPr>
                <w:rFonts w:hAnsi="標楷體" w:cs="微軟正黑體"/>
                <w:kern w:val="0"/>
                <w:sz w:val="28"/>
                <w:szCs w:val="28"/>
              </w:rPr>
              <w:t>HACCP</w:t>
            </w:r>
            <w:r w:rsidRPr="004E7851">
              <w:rPr>
                <w:rFonts w:hAnsi="標楷體" w:cs="微軟正黑體" w:hint="eastAsia"/>
                <w:kern w:val="0"/>
                <w:sz w:val="28"/>
                <w:szCs w:val="28"/>
              </w:rPr>
              <w:t>且資本額</w:t>
            </w:r>
            <w:r w:rsidRPr="004E7851">
              <w:rPr>
                <w:rFonts w:hAnsi="標楷體" w:cs="微軟正黑體"/>
                <w:kern w:val="0"/>
                <w:sz w:val="28"/>
                <w:szCs w:val="28"/>
              </w:rPr>
              <w:t>&lt;3000</w:t>
            </w:r>
            <w:r w:rsidRPr="004E7851">
              <w:rPr>
                <w:rFonts w:hAnsi="標楷體" w:cs="微軟正黑體" w:hint="eastAsia"/>
                <w:kern w:val="0"/>
                <w:sz w:val="28"/>
                <w:szCs w:val="28"/>
              </w:rPr>
              <w:t>萬元</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4</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水產品食品</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695"/>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9" w:left="2" w:hangingChars="11" w:hanging="33"/>
              <w:jc w:val="center"/>
              <w:rPr>
                <w:rFonts w:hAnsi="標楷體" w:cs="微軟正黑體"/>
                <w:kern w:val="0"/>
                <w:sz w:val="28"/>
                <w:szCs w:val="28"/>
              </w:rPr>
            </w:pPr>
            <w:r w:rsidRPr="004E7851">
              <w:rPr>
                <w:rFonts w:hAnsi="標楷體" w:cs="微軟正黑體"/>
                <w:kern w:val="0"/>
                <w:sz w:val="28"/>
                <w:szCs w:val="28"/>
              </w:rPr>
              <w:t>4</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1" w:left="-3" w:rightChars="-32" w:right="-109"/>
              <w:jc w:val="left"/>
              <w:rPr>
                <w:rFonts w:hAnsi="標楷體" w:cs="微軟正黑體"/>
                <w:kern w:val="0"/>
                <w:sz w:val="28"/>
                <w:szCs w:val="28"/>
              </w:rPr>
            </w:pPr>
            <w:r w:rsidRPr="004E7851">
              <w:rPr>
                <w:rFonts w:hAnsi="標楷體" w:cs="微軟正黑體" w:hint="eastAsia"/>
                <w:kern w:val="0"/>
                <w:sz w:val="28"/>
                <w:szCs w:val="28"/>
              </w:rPr>
              <w:t>水產品食品</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105.3.1</w:t>
            </w:r>
          </w:p>
          <w:p w:rsidR="003D4362" w:rsidRPr="004E7851" w:rsidRDefault="003D4362" w:rsidP="008735A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w:t>
            </w:r>
            <w:r w:rsidRPr="004E7851">
              <w:rPr>
                <w:rFonts w:hAnsi="標楷體" w:cs="微軟正黑體" w:hint="eastAsia"/>
                <w:kern w:val="0"/>
                <w:sz w:val="28"/>
                <w:szCs w:val="28"/>
              </w:rPr>
              <w:t>工廠登記實施</w:t>
            </w:r>
            <w:r w:rsidRPr="004E7851">
              <w:rPr>
                <w:rFonts w:hAnsi="標楷體" w:cs="微軟正黑體"/>
                <w:kern w:val="0"/>
                <w:sz w:val="28"/>
                <w:szCs w:val="28"/>
              </w:rPr>
              <w:t>HACCP</w:t>
            </w:r>
            <w:r w:rsidRPr="004E7851">
              <w:rPr>
                <w:rFonts w:hAnsi="標楷體" w:cs="微軟正黑體" w:hint="eastAsia"/>
                <w:kern w:val="0"/>
                <w:sz w:val="28"/>
                <w:szCs w:val="28"/>
              </w:rPr>
              <w:t>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p w:rsidR="003D4362" w:rsidRPr="004E7851" w:rsidRDefault="003D4362" w:rsidP="003D4362">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2.</w:t>
            </w:r>
            <w:r w:rsidRPr="004E7851">
              <w:rPr>
                <w:rFonts w:hAnsi="標楷體" w:cs="微軟正黑體" w:hint="eastAsia"/>
                <w:kern w:val="0"/>
                <w:sz w:val="28"/>
                <w:szCs w:val="28"/>
              </w:rPr>
              <w:t>工廠登記實施</w:t>
            </w:r>
            <w:r w:rsidRPr="004E7851">
              <w:rPr>
                <w:rFonts w:hAnsi="標楷體" w:cs="微軟正黑體"/>
                <w:kern w:val="0"/>
                <w:sz w:val="28"/>
                <w:szCs w:val="28"/>
              </w:rPr>
              <w:t>HACCP</w:t>
            </w:r>
            <w:r w:rsidRPr="004E7851">
              <w:rPr>
                <w:rFonts w:hAnsi="標楷體" w:cs="微軟正黑體" w:hint="eastAsia"/>
                <w:kern w:val="0"/>
                <w:sz w:val="28"/>
                <w:szCs w:val="28"/>
              </w:rPr>
              <w:t>且資本額</w:t>
            </w:r>
            <w:r w:rsidRPr="004E7851">
              <w:rPr>
                <w:rFonts w:hAnsi="標楷體" w:cs="微軟正黑體"/>
                <w:kern w:val="0"/>
                <w:sz w:val="28"/>
                <w:szCs w:val="28"/>
              </w:rPr>
              <w:t>&lt;3000</w:t>
            </w:r>
            <w:r w:rsidRPr="004E7851">
              <w:rPr>
                <w:rFonts w:hAnsi="標楷體" w:cs="微軟正黑體" w:hint="eastAsia"/>
                <w:kern w:val="0"/>
                <w:sz w:val="28"/>
                <w:szCs w:val="28"/>
              </w:rPr>
              <w:t>萬元</w:t>
            </w:r>
          </w:p>
        </w:tc>
      </w:tr>
      <w:tr w:rsidR="00771D6C" w:rsidRPr="004E7851" w:rsidTr="003D4362">
        <w:trPr>
          <w:trHeight w:hRule="exact" w:val="739"/>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9" w:left="2" w:hangingChars="11" w:hanging="33"/>
              <w:jc w:val="center"/>
              <w:rPr>
                <w:rFonts w:hAnsi="標楷體" w:cs="微軟正黑體"/>
                <w:kern w:val="0"/>
                <w:sz w:val="28"/>
                <w:szCs w:val="28"/>
              </w:rPr>
            </w:pPr>
            <w:r w:rsidRPr="004E7851">
              <w:rPr>
                <w:rFonts w:hAnsi="標楷體" w:cs="微軟正黑體"/>
                <w:kern w:val="0"/>
                <w:sz w:val="28"/>
                <w:szCs w:val="28"/>
              </w:rPr>
              <w:t>5</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餐盒食品</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105.1.1</w:t>
            </w:r>
          </w:p>
          <w:p w:rsidR="003D4362" w:rsidRPr="004E7851" w:rsidRDefault="003D4362" w:rsidP="008735A5">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1.</w:t>
            </w:r>
            <w:r w:rsidRPr="004E7851">
              <w:rPr>
                <w:rFonts w:hAnsi="標楷體" w:cs="微軟正黑體" w:hint="eastAsia"/>
                <w:kern w:val="0"/>
                <w:sz w:val="28"/>
                <w:szCs w:val="28"/>
              </w:rPr>
              <w:t>工廠登記且資本額≧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p w:rsidR="003D4362" w:rsidRPr="004E7851" w:rsidRDefault="003D4362" w:rsidP="003D4362">
            <w:pPr>
              <w:overflowPunct/>
              <w:adjustRightInd w:val="0"/>
              <w:snapToGrid w:val="0"/>
              <w:spacing w:before="28" w:line="300" w:lineRule="exact"/>
              <w:ind w:firstLineChars="9" w:firstLine="27"/>
              <w:rPr>
                <w:rFonts w:hAnsi="標楷體" w:cs="微軟正黑體"/>
                <w:kern w:val="0"/>
                <w:sz w:val="28"/>
                <w:szCs w:val="28"/>
              </w:rPr>
            </w:pPr>
            <w:r w:rsidRPr="004E7851">
              <w:rPr>
                <w:rFonts w:hAnsi="標楷體" w:cs="微軟正黑體"/>
                <w:kern w:val="0"/>
                <w:sz w:val="28"/>
                <w:szCs w:val="28"/>
              </w:rPr>
              <w:t>2.</w:t>
            </w:r>
            <w:r w:rsidRPr="004E7851">
              <w:rPr>
                <w:rFonts w:hAnsi="標楷體" w:cs="微軟正黑體" w:hint="eastAsia"/>
                <w:kern w:val="0"/>
                <w:sz w:val="28"/>
                <w:szCs w:val="28"/>
              </w:rPr>
              <w:t>工廠登記且資本額</w:t>
            </w:r>
            <w:r w:rsidRPr="004E7851">
              <w:rPr>
                <w:rFonts w:hAnsi="標楷體" w:cs="微軟正黑體"/>
                <w:kern w:val="0"/>
                <w:sz w:val="28"/>
                <w:szCs w:val="28"/>
              </w:rPr>
              <w:t>&lt;3000</w:t>
            </w:r>
            <w:r w:rsidRPr="004E7851">
              <w:rPr>
                <w:rFonts w:hAnsi="標楷體" w:cs="微軟正黑體" w:hint="eastAsia"/>
                <w:kern w:val="0"/>
                <w:sz w:val="28"/>
                <w:szCs w:val="28"/>
              </w:rPr>
              <w:t>萬元</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6</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食品添加物</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6</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食品添加物</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710"/>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7</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基因改造食品原料</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8</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黃豆</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8</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黃豆</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tc>
      </w:tr>
      <w:tr w:rsidR="00771D6C" w:rsidRPr="004E7851" w:rsidTr="003D4362">
        <w:trPr>
          <w:trHeight w:hRule="exact" w:val="630"/>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t>9</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小麥</w:t>
            </w:r>
          </w:p>
          <w:p w:rsidR="003D4362" w:rsidRPr="004E7851" w:rsidRDefault="003D4362" w:rsidP="008735A5">
            <w:pPr>
              <w:overflowPunct/>
              <w:adjustRightInd w:val="0"/>
              <w:snapToGrid w:val="0"/>
              <w:spacing w:line="232" w:lineRule="auto"/>
              <w:ind w:leftChars="-3" w:left="-3" w:hangingChars="3" w:hanging="7"/>
              <w:jc w:val="left"/>
              <w:rPr>
                <w:rFonts w:hAnsi="標楷體" w:cs="微軟正黑體"/>
                <w:kern w:val="0"/>
                <w:sz w:val="28"/>
                <w:szCs w:val="28"/>
              </w:rPr>
            </w:pPr>
            <w:r w:rsidRPr="004E7851">
              <w:rPr>
                <w:rFonts w:hAnsi="標楷體" w:cs="微軟正黑體"/>
                <w:spacing w:val="9"/>
                <w:kern w:val="0"/>
                <w:sz w:val="20"/>
              </w:rPr>
              <w:t>(</w:t>
            </w:r>
            <w:r w:rsidRPr="004E7851">
              <w:rPr>
                <w:rFonts w:hAnsi="標楷體" w:cs="微軟正黑體" w:hint="eastAsia"/>
                <w:kern w:val="0"/>
                <w:sz w:val="20"/>
              </w:rPr>
              <w:t>麥類及燕麥</w:t>
            </w:r>
            <w:r w:rsidRPr="004E7851">
              <w:rPr>
                <w:rFonts w:hAnsi="標楷體" w:cs="微軟正黑體"/>
                <w:kern w:val="0"/>
                <w:sz w:val="20"/>
              </w:rPr>
              <w:t>)</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711"/>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2" w:hangingChars="11" w:hanging="33"/>
              <w:jc w:val="center"/>
              <w:rPr>
                <w:rFonts w:hAnsi="標楷體" w:cs="微軟正黑體"/>
                <w:kern w:val="0"/>
                <w:sz w:val="28"/>
                <w:szCs w:val="28"/>
              </w:rPr>
            </w:pPr>
            <w:r w:rsidRPr="004E7851">
              <w:rPr>
                <w:rFonts w:hAnsi="標楷體" w:cs="微軟正黑體"/>
                <w:kern w:val="0"/>
                <w:sz w:val="28"/>
                <w:szCs w:val="28"/>
              </w:rPr>
              <w:lastRenderedPageBreak/>
              <w:t>9</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小麥</w:t>
            </w:r>
          </w:p>
          <w:p w:rsidR="003D4362" w:rsidRPr="004E7851" w:rsidRDefault="003D4362" w:rsidP="008735A5">
            <w:pPr>
              <w:overflowPunct/>
              <w:adjustRightInd w:val="0"/>
              <w:snapToGrid w:val="0"/>
              <w:spacing w:line="232" w:lineRule="auto"/>
              <w:ind w:leftChars="-3" w:left="-3" w:hangingChars="3" w:hanging="7"/>
              <w:jc w:val="left"/>
              <w:rPr>
                <w:rFonts w:hAnsi="標楷體" w:cs="微軟正黑體"/>
                <w:kern w:val="0"/>
                <w:sz w:val="28"/>
                <w:szCs w:val="28"/>
              </w:rPr>
            </w:pPr>
            <w:r w:rsidRPr="004E7851">
              <w:rPr>
                <w:rFonts w:hAnsi="標楷體" w:cs="微軟正黑體"/>
                <w:spacing w:val="9"/>
                <w:kern w:val="0"/>
                <w:sz w:val="20"/>
              </w:rPr>
              <w:t>(</w:t>
            </w:r>
            <w:r w:rsidRPr="004E7851">
              <w:rPr>
                <w:rFonts w:hAnsi="標楷體" w:cs="微軟正黑體" w:hint="eastAsia"/>
                <w:kern w:val="0"/>
                <w:sz w:val="20"/>
              </w:rPr>
              <w:t>麥類及燕麥</w:t>
            </w:r>
            <w:r w:rsidRPr="004E7851">
              <w:rPr>
                <w:rFonts w:hAnsi="標楷體" w:cs="微軟正黑體"/>
                <w:kern w:val="0"/>
                <w:sz w:val="20"/>
              </w:rPr>
              <w:t>)</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0</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玉米</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0</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玉米</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1</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麵粉</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1</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麵粉</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2</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澱粉</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2</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澱粉</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3</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食鹽</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3</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食鹽</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4</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糖</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4</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糖</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5</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茶葉</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6</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包裝茶葉飲料</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7</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黃豆製品</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105.3.1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7</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黃豆製品</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105.3.1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工廠登記且資本額≧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tc>
      </w:tr>
      <w:tr w:rsidR="00771D6C" w:rsidRPr="004E7851" w:rsidTr="003D4362">
        <w:trPr>
          <w:trHeight w:hRule="exact" w:val="3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8</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hint="eastAsia"/>
                <w:kern w:val="0"/>
                <w:sz w:val="28"/>
                <w:szCs w:val="28"/>
              </w:rPr>
              <w:t>嬰兒與較大嬰兒配方食品</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val="719"/>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9" w:left="3" w:hangingChars="11" w:hanging="34"/>
              <w:jc w:val="center"/>
              <w:rPr>
                <w:rFonts w:hAnsi="標楷體" w:cs="微軟正黑體"/>
                <w:kern w:val="0"/>
                <w:sz w:val="28"/>
                <w:szCs w:val="28"/>
              </w:rPr>
            </w:pPr>
            <w:r w:rsidRPr="004E7851">
              <w:rPr>
                <w:rFonts w:hAnsi="標楷體" w:cs="微軟正黑體"/>
                <w:spacing w:val="6"/>
                <w:kern w:val="0"/>
                <w:sz w:val="28"/>
                <w:szCs w:val="28"/>
              </w:rPr>
              <w:t>1</w:t>
            </w:r>
            <w:r w:rsidRPr="004E7851">
              <w:rPr>
                <w:rFonts w:hAnsi="標楷體" w:cs="微軟正黑體"/>
                <w:kern w:val="0"/>
                <w:sz w:val="28"/>
                <w:szCs w:val="28"/>
              </w:rPr>
              <w:t>8</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rightChars="-30" w:right="-102" w:hangingChars="3" w:hanging="9"/>
              <w:jc w:val="left"/>
              <w:rPr>
                <w:rFonts w:hAnsi="標楷體" w:cs="微軟正黑體"/>
                <w:spacing w:val="-8"/>
                <w:kern w:val="0"/>
                <w:sz w:val="28"/>
                <w:szCs w:val="28"/>
              </w:rPr>
            </w:pPr>
            <w:r w:rsidRPr="004E7851">
              <w:rPr>
                <w:rFonts w:hAnsi="標楷體" w:cs="微軟正黑體" w:hint="eastAsia"/>
                <w:spacing w:val="-8"/>
                <w:kern w:val="0"/>
                <w:sz w:val="28"/>
                <w:szCs w:val="28"/>
              </w:rPr>
              <w:t>嬰兒及較大嬰兒配方食品</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3" w:left="-1" w:hangingChars="3" w:hanging="9"/>
              <w:jc w:val="left"/>
              <w:rPr>
                <w:rFonts w:hAnsi="標楷體" w:cs="微軟正黑體"/>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105.1.1</w:t>
            </w:r>
          </w:p>
          <w:p w:rsidR="003D4362" w:rsidRPr="004E7851" w:rsidRDefault="003D4362" w:rsidP="008735A5">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105.7.1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2" w:firstLineChars="9" w:firstLine="27"/>
              <w:rPr>
                <w:rFonts w:hAnsi="標楷體" w:cs="微軟正黑體"/>
                <w:kern w:val="0"/>
                <w:sz w:val="28"/>
                <w:szCs w:val="28"/>
              </w:rPr>
            </w:pPr>
            <w:r w:rsidRPr="004E7851">
              <w:rPr>
                <w:rFonts w:hAnsi="標楷體" w:cs="微軟正黑體"/>
                <w:kern w:val="0"/>
                <w:sz w:val="28"/>
                <w:szCs w:val="28"/>
              </w:rPr>
              <w:t>1.</w:t>
            </w:r>
            <w:r w:rsidRPr="004E7851">
              <w:rPr>
                <w:rFonts w:hAnsi="標楷體" w:cs="微軟正黑體" w:hint="eastAsia"/>
                <w:kern w:val="0"/>
                <w:sz w:val="28"/>
                <w:szCs w:val="28"/>
              </w:rPr>
              <w:t>工廠登記且資本額≧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p w:rsidR="003D4362" w:rsidRPr="004E7851" w:rsidRDefault="003D4362" w:rsidP="008735A5">
            <w:pPr>
              <w:overflowPunct/>
              <w:adjustRightInd w:val="0"/>
              <w:snapToGrid w:val="0"/>
              <w:spacing w:before="28" w:line="232" w:lineRule="auto"/>
              <w:ind w:left="2" w:rightChars="-32" w:right="-109" w:firstLineChars="9" w:firstLine="27"/>
              <w:rPr>
                <w:rFonts w:hAnsi="標楷體" w:cs="微軟正黑體"/>
                <w:kern w:val="0"/>
                <w:sz w:val="28"/>
                <w:szCs w:val="28"/>
              </w:rPr>
            </w:pPr>
            <w:r w:rsidRPr="004E7851">
              <w:rPr>
                <w:rFonts w:hAnsi="標楷體" w:cs="微軟正黑體"/>
                <w:kern w:val="0"/>
                <w:sz w:val="28"/>
                <w:szCs w:val="28"/>
              </w:rPr>
              <w:t>2.</w:t>
            </w:r>
            <w:r w:rsidRPr="004E7851">
              <w:rPr>
                <w:rFonts w:hAnsi="標楷體" w:cs="微軟正黑體" w:hint="eastAsia"/>
                <w:kern w:val="0"/>
                <w:sz w:val="28"/>
                <w:szCs w:val="28"/>
              </w:rPr>
              <w:t>工廠登記且資本額</w:t>
            </w:r>
            <w:r w:rsidRPr="004E7851">
              <w:rPr>
                <w:rFonts w:hAnsi="標楷體" w:cs="微軟正黑體"/>
                <w:kern w:val="0"/>
                <w:sz w:val="28"/>
                <w:szCs w:val="28"/>
              </w:rPr>
              <w:t>&lt;3000</w:t>
            </w:r>
            <w:r w:rsidRPr="004E7851">
              <w:rPr>
                <w:rFonts w:hAnsi="標楷體" w:cs="微軟正黑體" w:hint="eastAsia"/>
                <w:kern w:val="0"/>
                <w:sz w:val="28"/>
                <w:szCs w:val="28"/>
              </w:rPr>
              <w:t>萬元</w:t>
            </w:r>
          </w:p>
        </w:tc>
      </w:tr>
      <w:tr w:rsidR="00771D6C" w:rsidRPr="004E7851" w:rsidTr="003D4362">
        <w:trPr>
          <w:trHeight w:val="746"/>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18</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販售</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3" w:left="-1" w:rightChars="-30" w:right="-102" w:hangingChars="3" w:hanging="9"/>
              <w:jc w:val="left"/>
              <w:rPr>
                <w:rFonts w:hAnsi="標楷體" w:cs="微軟正黑體"/>
                <w:kern w:val="0"/>
                <w:sz w:val="28"/>
                <w:szCs w:val="28"/>
              </w:rPr>
            </w:pPr>
            <w:r w:rsidRPr="004E7851">
              <w:rPr>
                <w:rFonts w:hAnsi="標楷體" w:cs="微軟正黑體" w:hint="eastAsia"/>
                <w:spacing w:val="-8"/>
                <w:kern w:val="0"/>
                <w:sz w:val="28"/>
                <w:szCs w:val="28"/>
              </w:rPr>
              <w:t>嬰兒與較大嬰兒配方食品</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300" w:lineRule="exact"/>
              <w:jc w:val="left"/>
              <w:rPr>
                <w:rFonts w:hAnsi="標楷體" w:cs="微軟正黑體"/>
                <w:spacing w:val="6"/>
                <w:kern w:val="0"/>
                <w:sz w:val="28"/>
                <w:szCs w:val="28"/>
              </w:rPr>
            </w:pPr>
            <w:r w:rsidRPr="004E7851">
              <w:rPr>
                <w:rFonts w:hAnsi="標楷體" w:cs="微軟正黑體"/>
                <w:spacing w:val="6"/>
                <w:kern w:val="0"/>
                <w:sz w:val="28"/>
                <w:szCs w:val="28"/>
              </w:rPr>
              <w:t>104</w:t>
            </w:r>
            <w:r w:rsidRPr="004E7851">
              <w:rPr>
                <w:rFonts w:hAnsi="標楷體" w:cs="微軟正黑體"/>
                <w:spacing w:val="8"/>
                <w:kern w:val="0"/>
                <w:sz w:val="28"/>
                <w:szCs w:val="28"/>
              </w:rPr>
              <w:t>.</w:t>
            </w:r>
            <w:r w:rsidRPr="004E7851">
              <w:rPr>
                <w:rFonts w:hAnsi="標楷體" w:cs="微軟正黑體"/>
                <w:spacing w:val="6"/>
                <w:kern w:val="0"/>
                <w:sz w:val="28"/>
                <w:szCs w:val="28"/>
              </w:rPr>
              <w:t>7</w:t>
            </w:r>
            <w:r w:rsidRPr="004E7851">
              <w:rPr>
                <w:rFonts w:hAnsi="標楷體" w:cs="微軟正黑體"/>
                <w:spacing w:val="8"/>
                <w:kern w:val="0"/>
                <w:sz w:val="28"/>
                <w:szCs w:val="28"/>
              </w:rPr>
              <w:t>.</w:t>
            </w:r>
            <w:r w:rsidRPr="004E7851">
              <w:rPr>
                <w:rFonts w:hAnsi="標楷體" w:cs="微軟正黑體"/>
                <w:spacing w:val="6"/>
                <w:kern w:val="0"/>
                <w:sz w:val="28"/>
                <w:szCs w:val="28"/>
              </w:rPr>
              <w:t>3</w:t>
            </w:r>
            <w:r w:rsidRPr="004E7851">
              <w:rPr>
                <w:rFonts w:hAnsi="標楷體" w:cs="微軟正黑體"/>
                <w:kern w:val="0"/>
                <w:sz w:val="28"/>
                <w:szCs w:val="28"/>
              </w:rPr>
              <w:t>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38637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300" w:lineRule="exact"/>
              <w:ind w:leftChars="-33" w:left="-112" w:rightChars="-26" w:right="-88" w:firstLineChars="9" w:firstLine="27"/>
              <w:jc w:val="left"/>
              <w:rPr>
                <w:rFonts w:hAnsi="標楷體" w:cs="微軟正黑體"/>
                <w:kern w:val="0"/>
                <w:sz w:val="28"/>
                <w:szCs w:val="28"/>
              </w:rPr>
            </w:pPr>
            <w:r w:rsidRPr="004E7851">
              <w:rPr>
                <w:rFonts w:hAnsi="標楷體" w:cs="微軟正黑體" w:hint="eastAsia"/>
                <w:kern w:val="0"/>
                <w:sz w:val="28"/>
                <w:szCs w:val="28"/>
              </w:rPr>
              <w:t>商業、公司或工廠登記且資本額≧</w:t>
            </w:r>
            <w:r w:rsidRPr="004E7851">
              <w:rPr>
                <w:rFonts w:hAnsi="標楷體" w:cs="微軟正黑體"/>
                <w:kern w:val="0"/>
                <w:sz w:val="28"/>
                <w:szCs w:val="28"/>
              </w:rPr>
              <w:t>3000</w:t>
            </w:r>
            <w:r w:rsidRPr="004E7851">
              <w:rPr>
                <w:rFonts w:hAnsi="標楷體" w:cs="微軟正黑體" w:hint="eastAsia"/>
                <w:kern w:val="0"/>
                <w:sz w:val="28"/>
                <w:szCs w:val="28"/>
              </w:rPr>
              <w:t>萬元</w:t>
            </w:r>
          </w:p>
        </w:tc>
      </w:tr>
      <w:tr w:rsidR="00771D6C" w:rsidRPr="004E7851" w:rsidTr="003D4362">
        <w:trPr>
          <w:trHeight w:hRule="exact" w:val="1104"/>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19</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10" w:left="-7" w:rightChars="-37" w:right="-126" w:hangingChars="9" w:hanging="27"/>
              <w:jc w:val="left"/>
              <w:rPr>
                <w:rFonts w:hAnsi="標楷體" w:cs="微軟正黑體"/>
                <w:kern w:val="0"/>
                <w:sz w:val="28"/>
                <w:szCs w:val="28"/>
              </w:rPr>
            </w:pPr>
            <w:r w:rsidRPr="004E7851">
              <w:rPr>
                <w:rFonts w:hAnsi="標楷體" w:cs="微軟正黑體" w:hint="eastAsia"/>
                <w:kern w:val="0"/>
                <w:sz w:val="28"/>
                <w:szCs w:val="28"/>
              </w:rPr>
              <w:t>市售包裝乳粉及調製乳粉</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300" w:lineRule="exact"/>
              <w:jc w:val="left"/>
              <w:rPr>
                <w:rFonts w:hAnsi="標楷體" w:cs="微軟正黑體"/>
                <w:kern w:val="0"/>
                <w:sz w:val="28"/>
                <w:szCs w:val="28"/>
              </w:rPr>
            </w:pPr>
            <w:r w:rsidRPr="004E7851">
              <w:rPr>
                <w:rFonts w:hAnsi="標楷體" w:cs="微軟正黑體"/>
                <w:kern w:val="0"/>
                <w:sz w:val="28"/>
                <w:szCs w:val="28"/>
              </w:rPr>
              <w:t>104.7.31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38637D">
            <w:pPr>
              <w:overflowPunct/>
              <w:adjustRightInd w:val="0"/>
              <w:snapToGrid w:val="0"/>
              <w:spacing w:before="28"/>
              <w:ind w:left="-1" w:firstLineChars="9" w:firstLine="27"/>
              <w:rPr>
                <w:rFonts w:hAnsi="標楷體" w:cs="微軟正黑體"/>
                <w:kern w:val="0"/>
                <w:sz w:val="28"/>
                <w:szCs w:val="28"/>
              </w:rPr>
            </w:pPr>
            <w:r w:rsidRPr="004E7851">
              <w:rPr>
                <w:rFonts w:hAnsi="標楷體" w:cs="微軟正黑體" w:hint="eastAsia"/>
                <w:kern w:val="0"/>
                <w:sz w:val="28"/>
                <w:szCs w:val="28"/>
              </w:rPr>
              <w:t>105.1.1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300" w:lineRule="exact"/>
              <w:ind w:leftChars="-33" w:left="-112" w:firstLineChars="9" w:firstLine="27"/>
              <w:jc w:val="left"/>
              <w:rPr>
                <w:rFonts w:hAnsi="標楷體" w:cs="微軟正黑體"/>
                <w:kern w:val="0"/>
                <w:sz w:val="28"/>
                <w:szCs w:val="28"/>
              </w:rPr>
            </w:pPr>
            <w:r w:rsidRPr="004E7851">
              <w:rPr>
                <w:rFonts w:hAnsi="標楷體" w:cs="微軟正黑體" w:hint="eastAsia"/>
                <w:kern w:val="0"/>
                <w:sz w:val="28"/>
                <w:szCs w:val="28"/>
              </w:rPr>
              <w:t>商業、公司或工廠登記</w:t>
            </w:r>
          </w:p>
        </w:tc>
      </w:tr>
      <w:tr w:rsidR="00771D6C" w:rsidRPr="004E7851" w:rsidTr="003D4362">
        <w:trPr>
          <w:trHeight w:hRule="exact" w:val="695"/>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lastRenderedPageBreak/>
              <w:t>19</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14" w:left="-6" w:rightChars="-37" w:right="-126" w:hangingChars="15" w:hanging="42"/>
              <w:jc w:val="left"/>
              <w:rPr>
                <w:rFonts w:hAnsi="標楷體" w:cs="微軟正黑體"/>
                <w:spacing w:val="-10"/>
                <w:kern w:val="0"/>
                <w:sz w:val="28"/>
                <w:szCs w:val="28"/>
              </w:rPr>
            </w:pPr>
            <w:r w:rsidRPr="004E7851">
              <w:rPr>
                <w:rFonts w:hAnsi="標楷體" w:cs="微軟正黑體" w:hint="eastAsia"/>
                <w:spacing w:val="-10"/>
                <w:kern w:val="0"/>
                <w:sz w:val="28"/>
                <w:szCs w:val="28"/>
              </w:rPr>
              <w:t>市售包裝乳粉及調製乳粉</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300" w:lineRule="exact"/>
              <w:jc w:val="left"/>
              <w:rPr>
                <w:rFonts w:hAnsi="標楷體" w:cs="微軟正黑體"/>
                <w:spacing w:val="6"/>
                <w:kern w:val="0"/>
                <w:sz w:val="28"/>
                <w:szCs w:val="28"/>
              </w:rPr>
            </w:pPr>
            <w:r w:rsidRPr="004E7851">
              <w:rPr>
                <w:rFonts w:hAnsi="標楷體" w:cs="微軟正黑體"/>
                <w:kern w:val="0"/>
                <w:sz w:val="28"/>
                <w:szCs w:val="28"/>
              </w:rPr>
              <w:t>104.7.31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300" w:lineRule="exact"/>
              <w:ind w:leftChars="-33" w:left="-112" w:firstLineChars="9" w:firstLine="27"/>
              <w:jc w:val="left"/>
              <w:rPr>
                <w:rFonts w:hAnsi="標楷體" w:cs="微軟正黑體"/>
                <w:kern w:val="0"/>
                <w:sz w:val="28"/>
                <w:szCs w:val="28"/>
              </w:rPr>
            </w:pPr>
            <w:r w:rsidRPr="004E7851">
              <w:rPr>
                <w:rFonts w:hAnsi="標楷體" w:cs="微軟正黑體"/>
                <w:kern w:val="0"/>
                <w:sz w:val="28"/>
                <w:szCs w:val="28"/>
              </w:rPr>
              <w:t>105.1.1</w:t>
            </w:r>
          </w:p>
          <w:p w:rsidR="003D4362" w:rsidRPr="004E7851" w:rsidRDefault="003D4362" w:rsidP="008735A5">
            <w:pPr>
              <w:overflowPunct/>
              <w:adjustRightInd w:val="0"/>
              <w:snapToGrid w:val="0"/>
              <w:spacing w:line="300" w:lineRule="exact"/>
              <w:ind w:leftChars="-33" w:left="-112" w:firstLineChars="9" w:firstLine="27"/>
              <w:jc w:val="left"/>
              <w:rPr>
                <w:rFonts w:hAnsi="標楷體" w:cs="微軟正黑體"/>
                <w:kern w:val="0"/>
                <w:sz w:val="28"/>
                <w:szCs w:val="28"/>
              </w:rPr>
            </w:pPr>
            <w:r w:rsidRPr="004E7851">
              <w:rPr>
                <w:rFonts w:hAnsi="標楷體" w:cs="微軟正黑體"/>
                <w:kern w:val="0"/>
                <w:sz w:val="28"/>
                <w:szCs w:val="28"/>
              </w:rPr>
              <w:t>105.7.1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300" w:lineRule="exact"/>
              <w:ind w:leftChars="-33" w:left="-112" w:firstLineChars="9" w:firstLine="27"/>
              <w:jc w:val="left"/>
              <w:rPr>
                <w:rFonts w:hAnsi="標楷體" w:cs="微軟正黑體"/>
                <w:kern w:val="0"/>
                <w:sz w:val="28"/>
                <w:szCs w:val="28"/>
              </w:rPr>
            </w:pPr>
            <w:r w:rsidRPr="004E7851">
              <w:rPr>
                <w:rFonts w:hAnsi="標楷體" w:cs="微軟正黑體" w:hint="eastAsia"/>
                <w:kern w:val="0"/>
                <w:sz w:val="28"/>
                <w:szCs w:val="28"/>
              </w:rPr>
              <w:t>1.工廠登記且資本額≧3000萬元</w:t>
            </w:r>
          </w:p>
          <w:p w:rsidR="003D4362" w:rsidRPr="004E7851" w:rsidRDefault="003D4362" w:rsidP="008735A5">
            <w:pPr>
              <w:overflowPunct/>
              <w:adjustRightInd w:val="0"/>
              <w:snapToGrid w:val="0"/>
              <w:spacing w:line="300" w:lineRule="exact"/>
              <w:ind w:leftChars="-33" w:left="-112" w:firstLineChars="9" w:firstLine="27"/>
              <w:jc w:val="left"/>
              <w:rPr>
                <w:rFonts w:hAnsi="標楷體" w:cs="微軟正黑體"/>
                <w:kern w:val="0"/>
                <w:sz w:val="28"/>
                <w:szCs w:val="28"/>
              </w:rPr>
            </w:pPr>
            <w:r w:rsidRPr="004E7851">
              <w:rPr>
                <w:rFonts w:hAnsi="標楷體" w:cs="微軟正黑體" w:hint="eastAsia"/>
                <w:kern w:val="0"/>
                <w:sz w:val="28"/>
                <w:szCs w:val="28"/>
              </w:rPr>
              <w:t>2.工廠登記且資本額&lt;3000萬元</w:t>
            </w:r>
          </w:p>
        </w:tc>
      </w:tr>
      <w:tr w:rsidR="00771D6C" w:rsidRPr="004E7851" w:rsidTr="003D4362">
        <w:trPr>
          <w:trHeight w:hRule="exact" w:val="695"/>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19</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販售</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232" w:lineRule="auto"/>
              <w:ind w:leftChars="-14" w:left="-6" w:rightChars="-37" w:right="-126" w:hangingChars="15" w:hanging="42"/>
              <w:jc w:val="left"/>
              <w:rPr>
                <w:rFonts w:hAnsi="標楷體" w:cs="微軟正黑體"/>
                <w:spacing w:val="-20"/>
                <w:kern w:val="0"/>
                <w:sz w:val="28"/>
                <w:szCs w:val="28"/>
              </w:rPr>
            </w:pPr>
            <w:r w:rsidRPr="004E7851">
              <w:rPr>
                <w:rFonts w:hAnsi="標楷體" w:cs="微軟正黑體" w:hint="eastAsia"/>
                <w:spacing w:val="-10"/>
                <w:kern w:val="0"/>
                <w:sz w:val="28"/>
                <w:szCs w:val="28"/>
              </w:rPr>
              <w:t>市售包裝乳粉及調製乳粉</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cs="微軟正黑體"/>
                <w:kern w:val="0"/>
                <w:sz w:val="28"/>
                <w:szCs w:val="28"/>
              </w:rPr>
            </w:pPr>
            <w:r w:rsidRPr="004E7851">
              <w:rPr>
                <w:rFonts w:hAnsi="標楷體" w:cs="微軟正黑體" w:hint="eastAsia"/>
                <w:kern w:val="0"/>
                <w:sz w:val="28"/>
                <w:szCs w:val="28"/>
              </w:rPr>
              <w:t>104.7.31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line="300" w:lineRule="exact"/>
              <w:ind w:leftChars="-33" w:left="-112" w:firstLineChars="9" w:firstLine="27"/>
              <w:jc w:val="left"/>
              <w:rPr>
                <w:rFonts w:hAnsi="標楷體" w:cs="微軟正黑體"/>
                <w:kern w:val="0"/>
                <w:sz w:val="28"/>
                <w:szCs w:val="28"/>
              </w:rPr>
            </w:pPr>
            <w:r w:rsidRPr="004E7851">
              <w:rPr>
                <w:rFonts w:hAnsi="標楷體" w:cs="微軟正黑體" w:hint="eastAsia"/>
                <w:kern w:val="0"/>
                <w:sz w:val="28"/>
                <w:szCs w:val="28"/>
              </w:rPr>
              <w:t>106.1.1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cs="微軟正黑體"/>
                <w:kern w:val="0"/>
                <w:sz w:val="28"/>
                <w:szCs w:val="28"/>
              </w:rPr>
            </w:pPr>
            <w:r w:rsidRPr="004E7851">
              <w:rPr>
                <w:rFonts w:hAnsi="標楷體" w:cs="微軟正黑體" w:hint="eastAsia"/>
                <w:kern w:val="0"/>
                <w:sz w:val="28"/>
                <w:szCs w:val="28"/>
              </w:rPr>
              <w:t>商業、公司或工廠登記且資本額≧3000萬元</w:t>
            </w:r>
          </w:p>
        </w:tc>
      </w:tr>
      <w:tr w:rsidR="00771D6C" w:rsidRPr="004E7851" w:rsidTr="003D4362">
        <w:trPr>
          <w:trHeight w:hRule="exact" w:val="508"/>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20</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cs="微軟正黑體"/>
                <w:spacing w:val="-20"/>
                <w:kern w:val="0"/>
                <w:sz w:val="28"/>
                <w:szCs w:val="28"/>
              </w:rPr>
            </w:pPr>
            <w:r w:rsidRPr="004E7851">
              <w:rPr>
                <w:rFonts w:hAnsi="標楷體" w:cs="微軟正黑體" w:hint="eastAsia"/>
                <w:spacing w:val="-20"/>
                <w:kern w:val="0"/>
                <w:sz w:val="28"/>
                <w:szCs w:val="28"/>
              </w:rPr>
              <w:t>蛋製品</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106.3.1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107.1.1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工廠登記且資本額≧3000萬元</w:t>
            </w:r>
          </w:p>
        </w:tc>
      </w:tr>
      <w:tr w:rsidR="00771D6C" w:rsidRPr="004E7851" w:rsidTr="003D4362">
        <w:trPr>
          <w:trHeight w:hRule="exact" w:val="427"/>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21</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cs="微軟正黑體"/>
                <w:spacing w:val="-20"/>
                <w:kern w:val="0"/>
                <w:sz w:val="28"/>
                <w:szCs w:val="28"/>
              </w:rPr>
            </w:pPr>
            <w:r w:rsidRPr="004E7851">
              <w:rPr>
                <w:rFonts w:hAnsi="標楷體" w:cs="微軟正黑體" w:hint="eastAsia"/>
                <w:spacing w:val="-20"/>
                <w:kern w:val="0"/>
                <w:sz w:val="28"/>
                <w:szCs w:val="28"/>
              </w:rPr>
              <w:t>食用醋</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106.3.1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107.1.1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工廠登記且資本額≧3000萬元</w:t>
            </w:r>
          </w:p>
        </w:tc>
      </w:tr>
      <w:tr w:rsidR="00771D6C" w:rsidRPr="004E7851" w:rsidTr="003D4362">
        <w:trPr>
          <w:trHeight w:hRule="exact" w:val="433"/>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22</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cs="微軟正黑體"/>
                <w:spacing w:val="-20"/>
                <w:kern w:val="0"/>
                <w:sz w:val="28"/>
                <w:szCs w:val="28"/>
              </w:rPr>
            </w:pPr>
            <w:r w:rsidRPr="004E7851">
              <w:rPr>
                <w:rFonts w:hAnsi="標楷體" w:cs="微軟正黑體" w:hint="eastAsia"/>
                <w:spacing w:val="-20"/>
                <w:kern w:val="0"/>
                <w:sz w:val="28"/>
                <w:szCs w:val="28"/>
              </w:rPr>
              <w:t>嬰幼兒食品</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106.3.1</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107.1.1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商業、公司或工廠登記</w:t>
            </w:r>
          </w:p>
        </w:tc>
      </w:tr>
      <w:tr w:rsidR="00771D6C" w:rsidRPr="004E7851" w:rsidTr="003D4362">
        <w:trPr>
          <w:trHeight w:hRule="exact" w:val="2278"/>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23</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輸入</w:t>
            </w:r>
          </w:p>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ind w:leftChars="-15" w:left="-51" w:rightChars="-20" w:right="-68"/>
              <w:rPr>
                <w:rFonts w:hAnsi="標楷體" w:cs="微軟正黑體"/>
                <w:spacing w:val="-20"/>
                <w:kern w:val="0"/>
                <w:sz w:val="28"/>
                <w:szCs w:val="28"/>
              </w:rPr>
            </w:pPr>
            <w:r w:rsidRPr="004E7851">
              <w:rPr>
                <w:rFonts w:hAnsi="標楷體" w:cs="微軟正黑體" w:hint="eastAsia"/>
                <w:spacing w:val="-20"/>
                <w:kern w:val="0"/>
                <w:sz w:val="28"/>
                <w:szCs w:val="28"/>
              </w:rPr>
              <w:t>農產植物製品、菇(蕈)類及藻類之 冷凍、冷藏、脫水、醃漬、凝膠及餡料製品、植物蛋白及其製品</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107.6.26</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108.1.1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商業、公司或工廠登記</w:t>
            </w:r>
          </w:p>
        </w:tc>
      </w:tr>
      <w:tr w:rsidR="00771D6C" w:rsidRPr="004E7851" w:rsidTr="003D4362">
        <w:trPr>
          <w:trHeight w:hRule="exact" w:val="433"/>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24</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製造</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ind w:leftChars="-15" w:left="-51"/>
              <w:rPr>
                <w:rFonts w:hAnsi="標楷體" w:cs="微軟正黑體"/>
                <w:spacing w:val="-20"/>
                <w:kern w:val="0"/>
                <w:sz w:val="28"/>
                <w:szCs w:val="28"/>
              </w:rPr>
            </w:pPr>
            <w:r w:rsidRPr="004E7851">
              <w:rPr>
                <w:rFonts w:hAnsi="標楷體" w:cs="微軟正黑體" w:hint="eastAsia"/>
                <w:spacing w:val="-20"/>
                <w:kern w:val="0"/>
                <w:sz w:val="28"/>
                <w:szCs w:val="28"/>
              </w:rPr>
              <w:t>其他食品業別</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107.6.26</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108.1.1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工廠登記且資本額≧3000萬元</w:t>
            </w:r>
          </w:p>
        </w:tc>
      </w:tr>
      <w:tr w:rsidR="00771D6C" w:rsidRPr="004E7851" w:rsidTr="003D4362">
        <w:trPr>
          <w:trHeight w:hRule="exact" w:val="849"/>
        </w:trPr>
        <w:tc>
          <w:tcPr>
            <w:tcW w:w="72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overflowPunct/>
              <w:adjustRightInd w:val="0"/>
              <w:snapToGrid w:val="0"/>
              <w:spacing w:before="163" w:line="240" w:lineRule="exact"/>
              <w:ind w:leftChars="-9" w:left="3" w:hangingChars="11" w:hanging="34"/>
              <w:jc w:val="center"/>
              <w:rPr>
                <w:rFonts w:hAnsi="標楷體" w:cs="微軟正黑體"/>
                <w:spacing w:val="6"/>
                <w:kern w:val="0"/>
                <w:sz w:val="28"/>
                <w:szCs w:val="28"/>
              </w:rPr>
            </w:pPr>
            <w:r w:rsidRPr="004E7851">
              <w:rPr>
                <w:rFonts w:hAnsi="標楷體" w:cs="微軟正黑體" w:hint="eastAsia"/>
                <w:spacing w:val="6"/>
                <w:kern w:val="0"/>
                <w:sz w:val="28"/>
                <w:szCs w:val="28"/>
              </w:rPr>
              <w:t>25</w:t>
            </w:r>
          </w:p>
        </w:tc>
        <w:tc>
          <w:tcPr>
            <w:tcW w:w="942" w:type="dxa"/>
            <w:tcBorders>
              <w:top w:val="single" w:sz="7" w:space="0" w:color="000000"/>
              <w:left w:val="single" w:sz="7" w:space="0" w:color="000000"/>
              <w:bottom w:val="single" w:sz="7" w:space="0" w:color="000000"/>
              <w:right w:val="single" w:sz="7" w:space="0" w:color="000000"/>
            </w:tcBorders>
          </w:tcPr>
          <w:p w:rsidR="003D4362" w:rsidRPr="004E7851" w:rsidRDefault="003D4362" w:rsidP="003D4362">
            <w:pPr>
              <w:overflowPunct/>
              <w:adjustRightInd w:val="0"/>
              <w:snapToGrid w:val="0"/>
              <w:ind w:leftChars="-9" w:left="2" w:hangingChars="11" w:hanging="33"/>
              <w:jc w:val="center"/>
              <w:rPr>
                <w:rFonts w:hAnsi="標楷體" w:cs="微軟正黑體"/>
                <w:kern w:val="0"/>
                <w:sz w:val="28"/>
                <w:szCs w:val="28"/>
              </w:rPr>
            </w:pPr>
            <w:r w:rsidRPr="004E7851">
              <w:rPr>
                <w:rFonts w:hAnsi="標楷體" w:cs="微軟正黑體" w:hint="eastAsia"/>
                <w:kern w:val="0"/>
                <w:sz w:val="28"/>
                <w:szCs w:val="28"/>
              </w:rPr>
              <w:t>販售</w:t>
            </w:r>
          </w:p>
        </w:tc>
        <w:tc>
          <w:tcPr>
            <w:tcW w:w="2207"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cs="微軟正黑體"/>
                <w:spacing w:val="-20"/>
                <w:kern w:val="0"/>
                <w:sz w:val="28"/>
                <w:szCs w:val="28"/>
              </w:rPr>
            </w:pPr>
            <w:r w:rsidRPr="004E7851">
              <w:rPr>
                <w:rFonts w:hAnsi="標楷體" w:cs="微軟正黑體" w:hint="eastAsia"/>
                <w:spacing w:val="-20"/>
                <w:kern w:val="0"/>
                <w:sz w:val="28"/>
                <w:szCs w:val="28"/>
              </w:rPr>
              <w:t>餐盒食品</w:t>
            </w:r>
          </w:p>
        </w:tc>
        <w:tc>
          <w:tcPr>
            <w:tcW w:w="1841"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107.6.26</w:t>
            </w:r>
          </w:p>
        </w:tc>
        <w:tc>
          <w:tcPr>
            <w:tcW w:w="2009"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108.1.1</w:t>
            </w:r>
          </w:p>
        </w:tc>
        <w:tc>
          <w:tcPr>
            <w:tcW w:w="6866" w:type="dxa"/>
            <w:tcBorders>
              <w:top w:val="single" w:sz="7" w:space="0" w:color="000000"/>
              <w:left w:val="single" w:sz="7" w:space="0" w:color="000000"/>
              <w:bottom w:val="single" w:sz="7" w:space="0" w:color="000000"/>
              <w:right w:val="single" w:sz="7" w:space="0" w:color="000000"/>
            </w:tcBorders>
          </w:tcPr>
          <w:p w:rsidR="003D4362" w:rsidRPr="004E7851" w:rsidRDefault="003D4362" w:rsidP="008735A5">
            <w:pPr>
              <w:rPr>
                <w:rFonts w:hAnsi="標楷體"/>
                <w:sz w:val="28"/>
                <w:szCs w:val="28"/>
              </w:rPr>
            </w:pPr>
            <w:r w:rsidRPr="004E7851">
              <w:rPr>
                <w:rFonts w:hAnsi="標楷體" w:hint="eastAsia"/>
                <w:sz w:val="28"/>
                <w:szCs w:val="28"/>
              </w:rPr>
              <w:t>達3家以上非百貨公司之綜合商品零售業獨立門市之連鎖品牌，且資本額≧3000萬元</w:t>
            </w:r>
          </w:p>
        </w:tc>
      </w:tr>
    </w:tbl>
    <w:p w:rsidR="003D4362" w:rsidRPr="004E7851" w:rsidRDefault="003D4362" w:rsidP="003D4362">
      <w:pPr>
        <w:pStyle w:val="3"/>
        <w:numPr>
          <w:ilvl w:val="0"/>
          <w:numId w:val="0"/>
        </w:numPr>
        <w:ind w:leftChars="-25" w:left="-2" w:hangingChars="32" w:hanging="83"/>
        <w:rPr>
          <w:rFonts w:hAnsi="標楷體"/>
          <w:sz w:val="24"/>
          <w:szCs w:val="24"/>
        </w:rPr>
      </w:pPr>
      <w:r w:rsidRPr="004E7851">
        <w:rPr>
          <w:rFonts w:hAnsi="標楷體" w:hint="eastAsia"/>
          <w:sz w:val="24"/>
          <w:szCs w:val="24"/>
        </w:rPr>
        <w:t>(資料來源：衛福部)</w:t>
      </w:r>
    </w:p>
    <w:p w:rsidR="003D4362" w:rsidRPr="004E7851" w:rsidRDefault="003D4362" w:rsidP="003D4362">
      <w:pPr>
        <w:pStyle w:val="3"/>
        <w:numPr>
          <w:ilvl w:val="0"/>
          <w:numId w:val="0"/>
        </w:numPr>
        <w:ind w:left="1361"/>
        <w:rPr>
          <w:rFonts w:hAnsi="標楷體"/>
        </w:rPr>
      </w:pPr>
    </w:p>
    <w:p w:rsidR="003D4362" w:rsidRPr="004E7851" w:rsidRDefault="003D4362" w:rsidP="003D4362">
      <w:pPr>
        <w:pStyle w:val="3"/>
        <w:numPr>
          <w:ilvl w:val="0"/>
          <w:numId w:val="0"/>
        </w:numPr>
        <w:ind w:left="1361"/>
        <w:rPr>
          <w:rFonts w:hAnsi="標楷體"/>
        </w:rPr>
      </w:pPr>
    </w:p>
    <w:p w:rsidR="003D4362" w:rsidRPr="004E7851" w:rsidRDefault="003D4362" w:rsidP="003D4362">
      <w:pPr>
        <w:pStyle w:val="3"/>
        <w:numPr>
          <w:ilvl w:val="0"/>
          <w:numId w:val="0"/>
        </w:numPr>
        <w:ind w:left="1361"/>
        <w:rPr>
          <w:rFonts w:hAnsi="標楷體"/>
        </w:rPr>
      </w:pPr>
    </w:p>
    <w:p w:rsidR="003D4362" w:rsidRPr="004E7851" w:rsidRDefault="003D4362" w:rsidP="003D4362">
      <w:pPr>
        <w:pStyle w:val="3"/>
        <w:numPr>
          <w:ilvl w:val="0"/>
          <w:numId w:val="0"/>
        </w:numPr>
        <w:ind w:left="1361"/>
        <w:rPr>
          <w:rFonts w:hAnsi="標楷體"/>
        </w:rPr>
      </w:pPr>
    </w:p>
    <w:p w:rsidR="003D4362" w:rsidRPr="004E7851" w:rsidRDefault="003D4362" w:rsidP="003D4362">
      <w:pPr>
        <w:pStyle w:val="3"/>
        <w:numPr>
          <w:ilvl w:val="0"/>
          <w:numId w:val="0"/>
        </w:numPr>
        <w:ind w:left="1361"/>
        <w:rPr>
          <w:rFonts w:hAnsi="標楷體"/>
        </w:rPr>
        <w:sectPr w:rsidR="003D4362" w:rsidRPr="004E7851" w:rsidSect="003D4362">
          <w:pgSz w:w="16840" w:h="11907" w:orient="landscape" w:code="9"/>
          <w:pgMar w:top="1418" w:right="1701" w:bottom="1418" w:left="1418" w:header="851" w:footer="851" w:gutter="227"/>
          <w:cols w:space="425"/>
          <w:docGrid w:type="linesAndChars" w:linePitch="457" w:charSpace="4127"/>
        </w:sectPr>
      </w:pPr>
    </w:p>
    <w:p w:rsidR="008B217A" w:rsidRPr="004E7851" w:rsidRDefault="005C0374" w:rsidP="008735A5">
      <w:pPr>
        <w:pStyle w:val="3"/>
        <w:rPr>
          <w:rFonts w:hAnsi="標楷體"/>
        </w:rPr>
      </w:pPr>
      <w:r w:rsidRPr="004E7851">
        <w:rPr>
          <w:rFonts w:hAnsi="標楷體" w:hint="eastAsia"/>
        </w:rPr>
        <w:lastRenderedPageBreak/>
        <w:t>查截至108年底止，上開公告應建立追溯追蹤系統之25類食品業者，計有10,099家次，其中9,498家次已完成建立，尚未建立者計601家次。</w:t>
      </w:r>
      <w:r w:rsidR="007F4DB4" w:rsidRPr="004E7851">
        <w:rPr>
          <w:rFonts w:hAnsi="標楷體" w:hint="eastAsia"/>
        </w:rPr>
        <w:t>至於各地方主管機關</w:t>
      </w:r>
      <w:r w:rsidR="001E2B9D" w:rsidRPr="004E7851">
        <w:rPr>
          <w:rFonts w:hAnsi="標楷體" w:hint="eastAsia"/>
        </w:rPr>
        <w:t>對於</w:t>
      </w:r>
      <w:r w:rsidR="007F4DB4" w:rsidRPr="004E7851">
        <w:rPr>
          <w:rFonts w:hAnsi="標楷體" w:hint="eastAsia"/>
        </w:rPr>
        <w:t>該601家次</w:t>
      </w:r>
      <w:r w:rsidR="001E2B9D" w:rsidRPr="004E7851">
        <w:rPr>
          <w:rFonts w:hAnsi="標楷體" w:hint="eastAsia"/>
        </w:rPr>
        <w:t>業者之命限期改正及</w:t>
      </w:r>
      <w:r w:rsidR="008B217A" w:rsidRPr="004E7851">
        <w:rPr>
          <w:rFonts w:hAnsi="標楷體" w:hint="eastAsia"/>
        </w:rPr>
        <w:t>行政</w:t>
      </w:r>
      <w:r w:rsidR="001E2B9D" w:rsidRPr="004E7851">
        <w:rPr>
          <w:rFonts w:hAnsi="標楷體" w:hint="eastAsia"/>
        </w:rPr>
        <w:t>裁處等</w:t>
      </w:r>
      <w:r w:rsidR="007F4DB4" w:rsidRPr="004E7851">
        <w:rPr>
          <w:rFonts w:hAnsi="標楷體" w:hint="eastAsia"/>
        </w:rPr>
        <w:t>續處情形，據食藥署於</w:t>
      </w:r>
      <w:r w:rsidR="001E2B9D" w:rsidRPr="004E7851">
        <w:rPr>
          <w:rFonts w:hAnsi="標楷體" w:hint="eastAsia"/>
        </w:rPr>
        <w:t>109年5月8日</w:t>
      </w:r>
      <w:r w:rsidR="007F4DB4" w:rsidRPr="004E7851">
        <w:rPr>
          <w:rFonts w:hAnsi="標楷體" w:hint="eastAsia"/>
        </w:rPr>
        <w:t>本案約詢後補充說明表示</w:t>
      </w:r>
      <w:r w:rsidR="0092105D" w:rsidRPr="004E7851">
        <w:rPr>
          <w:rFonts w:hAnsi="標楷體" w:hint="eastAsia"/>
        </w:rPr>
        <w:t>略以</w:t>
      </w:r>
      <w:r w:rsidR="007F4DB4" w:rsidRPr="004E7851">
        <w:rPr>
          <w:rFonts w:hAnsi="標楷體" w:hint="eastAsia"/>
        </w:rPr>
        <w:t>：</w:t>
      </w:r>
      <w:r w:rsidR="00CE1ED4" w:rsidRPr="004E7851">
        <w:rPr>
          <w:rFonts w:hAnsi="標楷體" w:hint="eastAsia"/>
        </w:rPr>
        <w:t>有關尚未建立非追不可電子申報之601家業者，經非登不可</w:t>
      </w:r>
      <w:r w:rsidR="001E2B9D" w:rsidRPr="004E7851">
        <w:rPr>
          <w:rFonts w:hAnsi="標楷體" w:hint="eastAsia"/>
        </w:rPr>
        <w:t>系統</w:t>
      </w:r>
      <w:r w:rsidR="00CE1ED4" w:rsidRPr="004E7851">
        <w:rPr>
          <w:rFonts w:hAnsi="標楷體" w:hint="eastAsia"/>
        </w:rPr>
        <w:t>發信通知業者後，於109年4月28日再次確認</w:t>
      </w:r>
      <w:r w:rsidR="001E2B9D" w:rsidRPr="004E7851">
        <w:rPr>
          <w:rFonts w:hAnsi="標楷體" w:hint="eastAsia"/>
        </w:rPr>
        <w:t>該</w:t>
      </w:r>
      <w:r w:rsidR="00CE1ED4" w:rsidRPr="004E7851">
        <w:rPr>
          <w:rFonts w:hAnsi="標楷體" w:hint="eastAsia"/>
        </w:rPr>
        <w:t>系統；</w:t>
      </w:r>
      <w:r w:rsidR="001E2B9D" w:rsidRPr="004E7851">
        <w:rPr>
          <w:rFonts w:hAnsi="標楷體" w:hint="eastAsia"/>
        </w:rPr>
        <w:t>結果</w:t>
      </w:r>
      <w:r w:rsidR="00CE1ED4" w:rsidRPr="004E7851">
        <w:rPr>
          <w:rFonts w:hAnsi="標楷體" w:hint="eastAsia"/>
        </w:rPr>
        <w:t>其中115家因辦理停歇業或註銷等，已非屬應建立非追不可電子申報之規範對象</w:t>
      </w:r>
      <w:r w:rsidR="001E2B9D" w:rsidRPr="004E7851">
        <w:rPr>
          <w:rStyle w:val="aff4"/>
          <w:rFonts w:hAnsi="標楷體"/>
        </w:rPr>
        <w:footnoteReference w:id="1"/>
      </w:r>
      <w:r w:rsidR="001E2B9D" w:rsidRPr="004E7851">
        <w:rPr>
          <w:rFonts w:hAnsi="標楷體" w:hint="eastAsia"/>
        </w:rPr>
        <w:t>，</w:t>
      </w:r>
      <w:r w:rsidR="00CE1ED4" w:rsidRPr="004E7851">
        <w:rPr>
          <w:rFonts w:hAnsi="標楷體" w:hint="eastAsia"/>
        </w:rPr>
        <w:t>另有87家已進行電子申報，剩餘399家未進行電子申報之業者，</w:t>
      </w:r>
      <w:r w:rsidR="001E2B9D" w:rsidRPr="004E7851">
        <w:rPr>
          <w:rFonts w:hAnsi="標楷體" w:hint="eastAsia"/>
        </w:rPr>
        <w:t>該</w:t>
      </w:r>
      <w:r w:rsidR="00CE1ED4" w:rsidRPr="004E7851">
        <w:rPr>
          <w:rFonts w:hAnsi="標楷體" w:hint="eastAsia"/>
        </w:rPr>
        <w:t>署已函請轄管衛生局依法辦理</w:t>
      </w:r>
      <w:r w:rsidR="001E2B9D" w:rsidRPr="004E7851">
        <w:rPr>
          <w:rFonts w:hAnsi="標楷體" w:hint="eastAsia"/>
        </w:rPr>
        <w:t>等語</w:t>
      </w:r>
      <w:r w:rsidR="00CE1ED4" w:rsidRPr="004E7851">
        <w:rPr>
          <w:rFonts w:hAnsi="標楷體" w:hint="eastAsia"/>
        </w:rPr>
        <w:t>。</w:t>
      </w:r>
      <w:r w:rsidR="001E2B9D" w:rsidRPr="004E7851">
        <w:rPr>
          <w:rFonts w:hAnsi="標楷體" w:hint="eastAsia"/>
          <w:u w:val="single"/>
        </w:rPr>
        <w:t>顯見食藥署</w:t>
      </w:r>
      <w:r w:rsidR="008B217A" w:rsidRPr="004E7851">
        <w:rPr>
          <w:rFonts w:hAnsi="標楷體" w:hint="eastAsia"/>
          <w:u w:val="single"/>
        </w:rPr>
        <w:t>雖自103年起陸續擴大規範應辦理食品追溯追蹤系統之食品業者，惟截至108年底止，仍有399家</w:t>
      </w:r>
      <w:r w:rsidR="00253120" w:rsidRPr="004E7851">
        <w:rPr>
          <w:rFonts w:hAnsi="標楷體" w:hint="eastAsia"/>
          <w:u w:val="single"/>
        </w:rPr>
        <w:t>未進行申報，該署卻未依法積極進行督管</w:t>
      </w:r>
      <w:r w:rsidR="00253120" w:rsidRPr="004E7851">
        <w:rPr>
          <w:rFonts w:hAnsi="標楷體" w:hint="eastAsia"/>
        </w:rPr>
        <w:t>，此由該署無法</w:t>
      </w:r>
      <w:r w:rsidR="00795CBF" w:rsidRPr="004E7851">
        <w:rPr>
          <w:rFonts w:hAnsi="標楷體" w:hint="eastAsia"/>
        </w:rPr>
        <w:t>具體</w:t>
      </w:r>
      <w:r w:rsidR="00253120" w:rsidRPr="004E7851">
        <w:rPr>
          <w:rFonts w:hAnsi="標楷體" w:hint="eastAsia"/>
        </w:rPr>
        <w:t>查復近年對於未依法辦理非追不可申報業者之限期改正及裁處等情，即可見一斑。</w:t>
      </w:r>
    </w:p>
    <w:p w:rsidR="003D693B" w:rsidRPr="004E7851" w:rsidRDefault="00473793" w:rsidP="00C74FF4">
      <w:pPr>
        <w:pStyle w:val="3"/>
        <w:rPr>
          <w:rFonts w:hAnsi="標楷體"/>
        </w:rPr>
      </w:pPr>
      <w:r w:rsidRPr="004E7851">
        <w:rPr>
          <w:rFonts w:hAnsi="標楷體" w:hint="eastAsia"/>
        </w:rPr>
        <w:t>再查</w:t>
      </w:r>
      <w:r w:rsidR="008B127E" w:rsidRPr="004E7851">
        <w:rPr>
          <w:rFonts w:hAnsi="標楷體" w:hint="eastAsia"/>
        </w:rPr>
        <w:t>，食藥署依食安法第8條第3項規定</w:t>
      </w:r>
      <w:r w:rsidR="008B127E" w:rsidRPr="004E7851">
        <w:rPr>
          <w:rStyle w:val="aff4"/>
          <w:rFonts w:hAnsi="標楷體"/>
        </w:rPr>
        <w:footnoteReference w:id="2"/>
      </w:r>
      <w:r w:rsidR="008B127E" w:rsidRPr="004E7851">
        <w:rPr>
          <w:rFonts w:hAnsi="標楷體" w:hint="eastAsia"/>
        </w:rPr>
        <w:t>，自102年12月3日公告「食品業者登錄辦法」，且截至108年底止，該署統計按食安法規定申請登錄之食品業者計475,763家次，然其中應建立食品追溯追蹤系統之業者僅有10,099家次，亦即約僅2%食品業者須建立追溯追蹤系統</w:t>
      </w:r>
      <w:r w:rsidR="003D693B" w:rsidRPr="004E7851">
        <w:rPr>
          <w:rFonts w:hAnsi="標楷體" w:hint="eastAsia"/>
        </w:rPr>
        <w:t>，管理範圍相當狹狹隘</w:t>
      </w:r>
      <w:r w:rsidR="008B127E" w:rsidRPr="004E7851">
        <w:rPr>
          <w:rFonts w:hAnsi="標楷體" w:hint="eastAsia"/>
        </w:rPr>
        <w:t>。</w:t>
      </w:r>
      <w:r w:rsidR="003D693B" w:rsidRPr="004E7851">
        <w:rPr>
          <w:rFonts w:hAnsi="標楷體" w:hint="eastAsia"/>
        </w:rPr>
        <w:t>食藥署雖表示</w:t>
      </w:r>
      <w:r w:rsidR="0092105D" w:rsidRPr="004E7851">
        <w:rPr>
          <w:rFonts w:hAnsi="標楷體" w:hint="eastAsia"/>
        </w:rPr>
        <w:t>略以</w:t>
      </w:r>
      <w:r w:rsidR="003D693B" w:rsidRPr="004E7851">
        <w:rPr>
          <w:rFonts w:hAnsi="標楷體" w:hint="eastAsia"/>
        </w:rPr>
        <w:t>：</w:t>
      </w:r>
      <w:r w:rsidR="0092105D" w:rsidRPr="004E7851">
        <w:rPr>
          <w:rFonts w:hAnsi="標楷體" w:hint="eastAsia"/>
        </w:rPr>
        <w:t>針對未納入食品追蹤追溯資訊系統之食品業者，雖未強制要求建立追蹤追溯系統、電子申報等，惟仍應符合食安法應自主通報等相關規定。然食品雲建置之主要目標，包括於食安事件發生時，</w:t>
      </w:r>
      <w:r w:rsidR="0092105D" w:rsidRPr="004E7851">
        <w:rPr>
          <w:rFonts w:hAnsi="標楷體" w:hint="eastAsia"/>
        </w:rPr>
        <w:lastRenderedPageBreak/>
        <w:t>能迅速掌握問題產品上下游流向，提升追查效能，以及建構食品危害風險預測與預警作業，自需要相當數量且完整之食品業者資料，始能</w:t>
      </w:r>
      <w:r w:rsidR="00A538A2" w:rsidRPr="004E7851">
        <w:rPr>
          <w:rFonts w:hAnsi="標楷體" w:hint="eastAsia"/>
        </w:rPr>
        <w:t>發揮效能。</w:t>
      </w:r>
    </w:p>
    <w:p w:rsidR="00401181" w:rsidRPr="004E7851" w:rsidRDefault="00795CBF" w:rsidP="00A538A2">
      <w:pPr>
        <w:pStyle w:val="3"/>
        <w:rPr>
          <w:rFonts w:hAnsi="標楷體"/>
        </w:rPr>
      </w:pPr>
      <w:r w:rsidRPr="004E7851">
        <w:rPr>
          <w:rFonts w:hAnsi="標楷體" w:hint="eastAsia"/>
        </w:rPr>
        <w:t>食安法前於102年6月19日修正公布，增訂第9條關於建立食品可追溯性制度規定，目的在於必要時得迅速追蹤到問題食品之來源及流向</w:t>
      </w:r>
      <w:r w:rsidR="0038637D" w:rsidRPr="004E7851">
        <w:rPr>
          <w:rFonts w:hAnsi="標楷體" w:hint="eastAsia"/>
        </w:rPr>
        <w:t>；且同法第48條規定，違反同法第9條第2項，未建立追溯或追蹤系統者經命限期改正，屆期不改正者，處3萬元以上300萬元以下罰鍰……等。</w:t>
      </w:r>
      <w:r w:rsidR="00A538A2" w:rsidRPr="004E7851">
        <w:rPr>
          <w:rFonts w:hAnsi="標楷體" w:hint="eastAsia"/>
        </w:rPr>
        <w:t>食藥署雖自103年起陸續擴增規範應辦理食品追溯追蹤系統之食品業者，逐步擴大管理對象，惟對於各相關業者落實執行情形，卻未積極主動掌握及依法督管，致難以達成法規範目的；且截至108年底止，該署統計按食品安全衛生管理法規定申請登錄之食品業者計475,763家次，然其中應建立食品追溯追蹤系統之業者僅有10,099家次，亦即約僅2%食品業者須建立追溯追蹤系統。此均肇使食品雲系統欠缺絕大數食品業者資料，自有礙食品雲風險預測效能，確有失當。</w:t>
      </w:r>
    </w:p>
    <w:p w:rsidR="00761BB6" w:rsidRPr="004E7851" w:rsidRDefault="00761BB6" w:rsidP="00761BB6">
      <w:pPr>
        <w:pStyle w:val="2"/>
        <w:rPr>
          <w:rFonts w:hAnsi="標楷體"/>
          <w:b/>
        </w:rPr>
      </w:pPr>
      <w:r w:rsidRPr="004E7851">
        <w:rPr>
          <w:rFonts w:hAnsi="標楷體" w:hint="eastAsia"/>
          <w:b/>
        </w:rPr>
        <w:t>食藥署所建置之「食品雲－油品追蹤追溯」、「化學雲－選定化學物質流向」等監測模組，勾稽篩選高風險業者的設計容有偏失，惟該署卻怠於檢討改善；且對於食品業者是否兼營飼料油或飼料廠問題諉為不知，凸顯現場稽查作業未盡確實，確有草率及失當之處，亟待加強改進。</w:t>
      </w:r>
    </w:p>
    <w:p w:rsidR="005C0374" w:rsidRPr="004E7851" w:rsidRDefault="008305E4" w:rsidP="00761BB6">
      <w:pPr>
        <w:pStyle w:val="3"/>
        <w:rPr>
          <w:rFonts w:hAnsi="標楷體"/>
        </w:rPr>
      </w:pPr>
      <w:r w:rsidRPr="004E7851">
        <w:rPr>
          <w:rFonts w:hAnsi="標楷體" w:hint="eastAsia"/>
        </w:rPr>
        <w:t>按食安法第</w:t>
      </w:r>
      <w:r w:rsidR="00500B5E" w:rsidRPr="004E7851">
        <w:rPr>
          <w:rFonts w:hAnsi="標楷體" w:hint="eastAsia"/>
        </w:rPr>
        <w:t>3條第7款規定：「食品業者係指從事食品或食品添加物之製造、加工、調配、包裝、運送、貯存、販賣、輸入、輸出或從事食品器具、食品容器或包裝、食品用洗潔劑之製造、加工、輸入、輸出或販賣之業者。」同法第10條第1項及第3項復規定：「食品業者之設廠登記，應由工業主管機關會同</w:t>
      </w:r>
      <w:r w:rsidR="00500B5E" w:rsidRPr="004E7851">
        <w:rPr>
          <w:rFonts w:hAnsi="標楷體" w:hint="eastAsia"/>
        </w:rPr>
        <w:lastRenderedPageBreak/>
        <w:t>主管機關辦理。」、「食品或食品添加物之工廠應單獨設立，不得於同一廠址及廠房同時從事非食品之製造、加工及調配。」爰此，食品或食品添加物製造或加工業者，如有同時從事非食品之製造、加工及調配，則</w:t>
      </w:r>
      <w:r w:rsidR="00582C8D" w:rsidRPr="004E7851">
        <w:rPr>
          <w:rFonts w:hAnsi="標楷體" w:hint="eastAsia"/>
        </w:rPr>
        <w:t>不得於同一廠址及廠房執行。</w:t>
      </w:r>
    </w:p>
    <w:p w:rsidR="005C0374" w:rsidRPr="004E7851" w:rsidRDefault="00582C8D" w:rsidP="005F77F8">
      <w:pPr>
        <w:pStyle w:val="3"/>
        <w:rPr>
          <w:rFonts w:hAnsi="標楷體"/>
        </w:rPr>
      </w:pPr>
      <w:r w:rsidRPr="004E7851">
        <w:rPr>
          <w:rFonts w:hAnsi="標楷體" w:hint="eastAsia"/>
        </w:rPr>
        <w:t>據審計部106年度中央政府總決算審核報告指出略以：</w:t>
      </w:r>
      <w:r w:rsidR="005F77F8" w:rsidRPr="004E7851">
        <w:rPr>
          <w:rFonts w:hAnsi="標楷體" w:hint="eastAsia"/>
        </w:rPr>
        <w:t>食藥署為即時監控偵測風險，已運用食品雲跨部會介接資料，與該署非登不可系統交叉分析比對，陸續完成建置「食品雲－油品追蹤追溯」、「化學雲－選定化學物質流向」等監測模組，產出特定風險等級之業者名單，提供業務權責單位進行稽查之參考，藉以防範非食用油或非食品級之化學物質流入食品供應鏈；106年1月至107年5月間，累計提出449家、173家優先稽查參考名單，惟系統產出之高風險業者名單，經該署實地稽查結果，均未發現異常情事</w:t>
      </w:r>
      <w:r w:rsidR="001C111F" w:rsidRPr="004E7851">
        <w:rPr>
          <w:rFonts w:hAnsi="標楷體" w:hint="eastAsia"/>
        </w:rPr>
        <w:t>；</w:t>
      </w:r>
      <w:r w:rsidR="005F77F8" w:rsidRPr="004E7851">
        <w:rPr>
          <w:rFonts w:hAnsi="標楷體" w:hint="eastAsia"/>
        </w:rPr>
        <w:t>顯見受限於實務上，國內食品產業營運朝多元化發展，業者兼營型態多樣，交易複雜度高，尚難憑藉系統資料間之勾稽分析比對，有效發掘問題業者等語</w:t>
      </w:r>
      <w:r w:rsidRPr="004E7851">
        <w:rPr>
          <w:rFonts w:hAnsi="標楷體" w:hint="eastAsia"/>
        </w:rPr>
        <w:t>。</w:t>
      </w:r>
    </w:p>
    <w:p w:rsidR="005F77F8" w:rsidRPr="004E7851" w:rsidRDefault="008735A5" w:rsidP="005F77F8">
      <w:pPr>
        <w:pStyle w:val="3"/>
        <w:rPr>
          <w:rFonts w:hAnsi="標楷體"/>
        </w:rPr>
      </w:pPr>
      <w:r w:rsidRPr="004E7851">
        <w:rPr>
          <w:rFonts w:hAnsi="標楷體" w:hint="eastAsia"/>
        </w:rPr>
        <w:t>有關食藥署實地稽查上開業者之情形，該署表示略以：食品業者購入</w:t>
      </w:r>
      <w:r w:rsidR="005F77F8" w:rsidRPr="004E7851">
        <w:rPr>
          <w:rFonts w:hAnsi="標楷體" w:hint="eastAsia"/>
        </w:rPr>
        <w:t>選定化學物質，惟部分化學物質可作為食品添加物使用，故至現場查核食品業者購入之</w:t>
      </w:r>
      <w:r w:rsidR="00842C19" w:rsidRPr="004E7851">
        <w:rPr>
          <w:rFonts w:hAnsi="標楷體" w:hint="eastAsia"/>
        </w:rPr>
        <w:t>化學物質是否具食品添加物許可證，又因化學雲僅能就交易情形勾稽，若</w:t>
      </w:r>
      <w:r w:rsidR="005F77F8" w:rsidRPr="004E7851">
        <w:rPr>
          <w:rFonts w:hAnsi="標楷體" w:hint="eastAsia"/>
        </w:rPr>
        <w:t>需釐清用途，尚需至現場查核</w:t>
      </w:r>
      <w:r w:rsidR="00F13E1B" w:rsidRPr="004E7851">
        <w:rPr>
          <w:rFonts w:hAnsi="標楷體" w:hint="eastAsia"/>
        </w:rPr>
        <w:t>，</w:t>
      </w:r>
      <w:r w:rsidR="005F77F8" w:rsidRPr="004E7851">
        <w:rPr>
          <w:rFonts w:hAnsi="標楷體" w:hint="eastAsia"/>
        </w:rPr>
        <w:t>篩選結果與實地稽查並無異常情事之原因如</w:t>
      </w:r>
      <w:r w:rsidR="00F13E1B" w:rsidRPr="004E7851">
        <w:rPr>
          <w:rFonts w:hAnsi="標楷體" w:hint="eastAsia"/>
        </w:rPr>
        <w:t>：</w:t>
      </w:r>
    </w:p>
    <w:p w:rsidR="005F77F8" w:rsidRPr="004E7851" w:rsidRDefault="005F77F8" w:rsidP="00F13E1B">
      <w:pPr>
        <w:pStyle w:val="4"/>
        <w:rPr>
          <w:rFonts w:hAnsi="標楷體"/>
        </w:rPr>
      </w:pPr>
      <w:r w:rsidRPr="004E7851">
        <w:rPr>
          <w:rFonts w:hAnsi="標楷體" w:hint="eastAsia"/>
        </w:rPr>
        <w:t>食品業者兼營型態多樣，購入後用於飼料、手工皂製作等非食品用途。</w:t>
      </w:r>
    </w:p>
    <w:p w:rsidR="005F77F8" w:rsidRPr="004E7851" w:rsidRDefault="005F77F8" w:rsidP="00F13E1B">
      <w:pPr>
        <w:pStyle w:val="4"/>
        <w:rPr>
          <w:rFonts w:hAnsi="標楷體"/>
        </w:rPr>
      </w:pPr>
      <w:r w:rsidRPr="004E7851">
        <w:rPr>
          <w:rFonts w:hAnsi="標楷體" w:hint="eastAsia"/>
        </w:rPr>
        <w:t>化學物質或飼料油、工業油用途多樣，食品業者購入後用於清潔設備或環境，或使用於所屬非食</w:t>
      </w:r>
      <w:r w:rsidRPr="004E7851">
        <w:rPr>
          <w:rFonts w:hAnsi="標楷體" w:hint="eastAsia"/>
        </w:rPr>
        <w:lastRenderedPageBreak/>
        <w:t>品廠(電池、飼料廠聚縮醛粒子製造)、或轉售非食品業者(寵物用品店、半導體、電池製造業、塗料製造)。</w:t>
      </w:r>
    </w:p>
    <w:p w:rsidR="00F347A8" w:rsidRPr="004E7851" w:rsidRDefault="00F13E1B" w:rsidP="00F347A8">
      <w:pPr>
        <w:pStyle w:val="3"/>
        <w:rPr>
          <w:rFonts w:hAnsi="標楷體"/>
        </w:rPr>
      </w:pPr>
      <w:r w:rsidRPr="004E7851">
        <w:rPr>
          <w:rFonts w:hAnsi="標楷體" w:hint="eastAsia"/>
        </w:rPr>
        <w:t>另食藥署表示</w:t>
      </w:r>
      <w:r w:rsidR="003D693B" w:rsidRPr="004E7851">
        <w:rPr>
          <w:rFonts w:hAnsi="標楷體" w:hint="eastAsia"/>
        </w:rPr>
        <w:t>略以</w:t>
      </w:r>
      <w:r w:rsidRPr="004E7851">
        <w:rPr>
          <w:rFonts w:hAnsi="標楷體" w:hint="eastAsia"/>
        </w:rPr>
        <w:t>：食品業者兼營其他事業</w:t>
      </w:r>
      <w:r w:rsidR="008735A5" w:rsidRPr="004E7851">
        <w:rPr>
          <w:rFonts w:hAnsi="標楷體" w:hint="eastAsia"/>
        </w:rPr>
        <w:t>乙節，</w:t>
      </w:r>
      <w:r w:rsidRPr="004E7851">
        <w:rPr>
          <w:rFonts w:hAnsi="標楷體" w:hint="eastAsia"/>
        </w:rPr>
        <w:t>可能包含兼營運飼料油或飼料廠(進口大宗穀物)、工業油工廠(但曾經進行少量食品自用)、製作手工肥皂(曾經進口食用油製作)等</w:t>
      </w:r>
      <w:r w:rsidR="001C111F" w:rsidRPr="004E7851">
        <w:rPr>
          <w:rFonts w:hAnsi="標楷體" w:hint="eastAsia"/>
        </w:rPr>
        <w:t>語</w:t>
      </w:r>
      <w:r w:rsidRPr="004E7851">
        <w:rPr>
          <w:rFonts w:hAnsi="標楷體" w:hint="eastAsia"/>
        </w:rPr>
        <w:t>。惟按</w:t>
      </w:r>
      <w:r w:rsidRPr="004E7851">
        <w:rPr>
          <w:rFonts w:hAnsi="標楷體" w:hint="eastAsia"/>
          <w:u w:val="single"/>
        </w:rPr>
        <w:t>食安法第10條第3項規定：「食品或食品添加物之工廠應單獨設立，不得於同一廠址及廠房同時從事非食品之製造、加工及調配。</w:t>
      </w:r>
      <w:r w:rsidRPr="004E7851">
        <w:rPr>
          <w:rFonts w:hAnsi="標楷體" w:hint="eastAsia"/>
        </w:rPr>
        <w:t>」因之，如果該署所稱的「食品業者」係屬製造或加工業者，則在同一廠址或廠房</w:t>
      </w:r>
      <w:r w:rsidR="002237B7" w:rsidRPr="004E7851">
        <w:rPr>
          <w:rFonts w:hAnsi="標楷體" w:hint="eastAsia"/>
        </w:rPr>
        <w:t>不得</w:t>
      </w:r>
      <w:r w:rsidRPr="004E7851">
        <w:rPr>
          <w:rFonts w:hAnsi="標楷體" w:hint="eastAsia"/>
        </w:rPr>
        <w:t>同時從事飼料油</w:t>
      </w:r>
      <w:r w:rsidR="002237B7" w:rsidRPr="004E7851">
        <w:rPr>
          <w:rFonts w:hAnsi="標楷體" w:hint="eastAsia"/>
        </w:rPr>
        <w:t>或</w:t>
      </w:r>
      <w:r w:rsidRPr="004E7851">
        <w:rPr>
          <w:rFonts w:hAnsi="標楷體" w:hint="eastAsia"/>
        </w:rPr>
        <w:t>工業油</w:t>
      </w:r>
      <w:r w:rsidR="002237B7" w:rsidRPr="004E7851">
        <w:rPr>
          <w:rFonts w:hAnsi="標楷體" w:hint="eastAsia"/>
        </w:rPr>
        <w:t>製造加工</w:t>
      </w:r>
      <w:r w:rsidRPr="004E7851">
        <w:rPr>
          <w:rFonts w:hAnsi="標楷體" w:hint="eastAsia"/>
        </w:rPr>
        <w:t>，</w:t>
      </w:r>
      <w:r w:rsidR="002237B7" w:rsidRPr="004E7851">
        <w:rPr>
          <w:rFonts w:hAnsi="標楷體" w:hint="eastAsia"/>
        </w:rPr>
        <w:t>否則</w:t>
      </w:r>
      <w:r w:rsidR="008735A5" w:rsidRPr="004E7851">
        <w:rPr>
          <w:rFonts w:hAnsi="標楷體" w:hint="eastAsia"/>
        </w:rPr>
        <w:t>即</w:t>
      </w:r>
      <w:r w:rsidR="002237B7" w:rsidRPr="004E7851">
        <w:rPr>
          <w:rFonts w:hAnsi="標楷體" w:hint="eastAsia"/>
        </w:rPr>
        <w:t>違反該條規定；惟關於該食品業者究是否屬於食品製造或加工業者，</w:t>
      </w:r>
      <w:r w:rsidR="002237B7" w:rsidRPr="004E7851">
        <w:rPr>
          <w:rFonts w:hAnsi="標楷體" w:hint="eastAsia"/>
          <w:u w:val="single"/>
        </w:rPr>
        <w:t>該署僅表示略以：兼營飼料油或飼料廠、工業油工廠之「食品業者」究屬販售、運輸或食品加工，應視其有無上開行為</w:t>
      </w:r>
      <w:r w:rsidR="001C111F" w:rsidRPr="004E7851">
        <w:rPr>
          <w:rFonts w:hAnsi="標楷體" w:hint="eastAsia"/>
          <w:u w:val="single"/>
        </w:rPr>
        <w:t>。</w:t>
      </w:r>
      <w:r w:rsidR="002237B7" w:rsidRPr="004E7851">
        <w:rPr>
          <w:rFonts w:hAnsi="標楷體" w:hint="eastAsia"/>
          <w:u w:val="single"/>
        </w:rPr>
        <w:t>……有關食品加工業者可兼營飼料油或飼料廠之依據，尚非食安法管理範疇等語</w:t>
      </w:r>
      <w:r w:rsidR="002237B7" w:rsidRPr="004E7851">
        <w:rPr>
          <w:rFonts w:hAnsi="標楷體" w:hint="eastAsia"/>
        </w:rPr>
        <w:t>。</w:t>
      </w:r>
    </w:p>
    <w:p w:rsidR="00F347A8" w:rsidRPr="004E7851" w:rsidRDefault="002237B7" w:rsidP="00F347A8">
      <w:pPr>
        <w:pStyle w:val="3"/>
        <w:numPr>
          <w:ilvl w:val="0"/>
          <w:numId w:val="0"/>
        </w:numPr>
        <w:ind w:left="1361" w:firstLineChars="225" w:firstLine="765"/>
        <w:rPr>
          <w:rFonts w:hAnsi="標楷體"/>
        </w:rPr>
      </w:pPr>
      <w:r w:rsidRPr="004E7851">
        <w:rPr>
          <w:rFonts w:hAnsi="標楷體" w:hint="eastAsia"/>
        </w:rPr>
        <w:t>然食藥署係依據食品雲等監測模組，篩選出特定風險等級業者名單</w:t>
      </w:r>
      <w:r w:rsidR="00F347A8" w:rsidRPr="004E7851">
        <w:rPr>
          <w:rFonts w:hAnsi="標楷體" w:hint="eastAsia"/>
        </w:rPr>
        <w:t>，以為現場稽核之參考，既然該署已赴現場稽核，稽查結果又表示無發現非食用油或非食用級化學物質流入食品鏈情事</w:t>
      </w:r>
      <w:r w:rsidR="001C111F" w:rsidRPr="004E7851">
        <w:rPr>
          <w:rFonts w:hAnsi="標楷體" w:hint="eastAsia"/>
        </w:rPr>
        <w:t>，且認為原因係因食品業者因兼營型態多樣，</w:t>
      </w:r>
      <w:r w:rsidR="00F347A8" w:rsidRPr="004E7851">
        <w:rPr>
          <w:rFonts w:hAnsi="標楷體" w:hint="eastAsia"/>
        </w:rPr>
        <w:t>購入非食用原料後係用於其他非食品用途</w:t>
      </w:r>
      <w:r w:rsidR="001C111F" w:rsidRPr="004E7851">
        <w:rPr>
          <w:rFonts w:hAnsi="標楷體" w:hint="eastAsia"/>
        </w:rPr>
        <w:t>等。</w:t>
      </w:r>
      <w:r w:rsidR="00F347A8" w:rsidRPr="004E7851">
        <w:rPr>
          <w:rFonts w:hAnsi="標楷體" w:hint="eastAsia"/>
        </w:rPr>
        <w:t>則</w:t>
      </w:r>
      <w:r w:rsidR="008735A5" w:rsidRPr="004E7851">
        <w:rPr>
          <w:rFonts w:hAnsi="標楷體" w:hint="eastAsia"/>
        </w:rPr>
        <w:t>，</w:t>
      </w:r>
      <w:r w:rsidR="00F347A8" w:rsidRPr="004E7851">
        <w:rPr>
          <w:rFonts w:hAnsi="標楷體" w:hint="eastAsia"/>
        </w:rPr>
        <w:t>何以無法確認該購入非食用原料業者是否係製造或加工業者</w:t>
      </w:r>
      <w:r w:rsidR="001C111F" w:rsidRPr="004E7851">
        <w:rPr>
          <w:rFonts w:hAnsi="標楷體" w:hint="eastAsia"/>
        </w:rPr>
        <w:t>，</w:t>
      </w:r>
      <w:r w:rsidR="00FB7A4B" w:rsidRPr="004E7851">
        <w:rPr>
          <w:rFonts w:hAnsi="標楷體" w:hint="eastAsia"/>
          <w:u w:val="single"/>
        </w:rPr>
        <w:t>另有關</w:t>
      </w:r>
      <w:r w:rsidR="00F347A8" w:rsidRPr="004E7851">
        <w:rPr>
          <w:rFonts w:hAnsi="標楷體" w:hint="eastAsia"/>
          <w:u w:val="single"/>
        </w:rPr>
        <w:t>食品業者可否兼營飼料油或飼料廠問題，食安法第10條第3項已明定，何以該署表示</w:t>
      </w:r>
      <w:r w:rsidR="00FB7A4B" w:rsidRPr="004E7851">
        <w:rPr>
          <w:rFonts w:hAnsi="標楷體" w:hint="eastAsia"/>
          <w:u w:val="single"/>
        </w:rPr>
        <w:t>尚非食安法管理範疇</w:t>
      </w:r>
      <w:r w:rsidR="00FB7A4B" w:rsidRPr="004E7851">
        <w:rPr>
          <w:rFonts w:hAnsi="標楷體" w:hint="eastAsia"/>
        </w:rPr>
        <w:t>。審諸上情，食藥署現場稽查作業未盡確實</w:t>
      </w:r>
      <w:r w:rsidR="00761BB6" w:rsidRPr="004E7851">
        <w:rPr>
          <w:rFonts w:hAnsi="標楷體" w:hint="eastAsia"/>
        </w:rPr>
        <w:t>，顯</w:t>
      </w:r>
      <w:r w:rsidR="001C111F" w:rsidRPr="004E7851">
        <w:rPr>
          <w:rFonts w:hAnsi="標楷體" w:hint="eastAsia"/>
        </w:rPr>
        <w:t>有草率及失當之處，有待加強改善</w:t>
      </w:r>
      <w:r w:rsidR="00FB7A4B" w:rsidRPr="004E7851">
        <w:rPr>
          <w:rFonts w:hAnsi="標楷體" w:hint="eastAsia"/>
        </w:rPr>
        <w:t>。</w:t>
      </w:r>
    </w:p>
    <w:p w:rsidR="008735A5" w:rsidRPr="004E7851" w:rsidRDefault="008735A5" w:rsidP="00610ABD">
      <w:pPr>
        <w:pStyle w:val="3"/>
        <w:rPr>
          <w:rFonts w:hAnsi="標楷體"/>
        </w:rPr>
      </w:pPr>
      <w:r w:rsidRPr="004E7851">
        <w:rPr>
          <w:rFonts w:hAnsi="標楷體" w:hint="eastAsia"/>
        </w:rPr>
        <w:t>再且，</w:t>
      </w:r>
      <w:r w:rsidR="001C111F" w:rsidRPr="004E7851">
        <w:rPr>
          <w:rFonts w:hAnsi="標楷體" w:hint="eastAsia"/>
        </w:rPr>
        <w:t>食藥署所建置「食品雲－油品追蹤追溯」、「化</w:t>
      </w:r>
      <w:r w:rsidR="001C111F" w:rsidRPr="004E7851">
        <w:rPr>
          <w:rFonts w:hAnsi="標楷體" w:hint="eastAsia"/>
        </w:rPr>
        <w:lastRenderedPageBreak/>
        <w:t>學雲－選定化學物質流向」等監測模組，</w:t>
      </w:r>
      <w:r w:rsidR="00754678" w:rsidRPr="004E7851">
        <w:rPr>
          <w:rFonts w:hAnsi="標楷體" w:hint="eastAsia"/>
        </w:rPr>
        <w:t>經篩選出高風險業者後，</w:t>
      </w:r>
      <w:r w:rsidR="00754678" w:rsidRPr="004E7851">
        <w:rPr>
          <w:rFonts w:hAnsi="標楷體" w:hint="eastAsia"/>
          <w:u w:val="single"/>
        </w:rPr>
        <w:t>赴現場稽查卻因</w:t>
      </w:r>
      <w:r w:rsidR="001C111F" w:rsidRPr="004E7851">
        <w:rPr>
          <w:rFonts w:hAnsi="標楷體" w:hint="eastAsia"/>
          <w:u w:val="single"/>
        </w:rPr>
        <w:t>食品業者兼營型態多樣</w:t>
      </w:r>
      <w:r w:rsidR="00754678" w:rsidRPr="004E7851">
        <w:rPr>
          <w:rFonts w:hAnsi="標楷體" w:hint="eastAsia"/>
          <w:u w:val="single"/>
        </w:rPr>
        <w:t>，故業者所購入之非食用原料可能係用於轉售非食品業者或用於非食品用途</w:t>
      </w:r>
      <w:r w:rsidRPr="004E7851">
        <w:rPr>
          <w:rFonts w:hAnsi="標楷體" w:hint="eastAsia"/>
        </w:rPr>
        <w:t>，已如前述</w:t>
      </w:r>
      <w:r w:rsidR="00754678" w:rsidRPr="004E7851">
        <w:rPr>
          <w:rFonts w:hAnsi="標楷體" w:hint="eastAsia"/>
        </w:rPr>
        <w:t>。因此</w:t>
      </w:r>
      <w:r w:rsidRPr="004E7851">
        <w:rPr>
          <w:rFonts w:hAnsi="標楷體" w:hint="eastAsia"/>
        </w:rPr>
        <w:t>，</w:t>
      </w:r>
      <w:r w:rsidR="00754678" w:rsidRPr="004E7851">
        <w:rPr>
          <w:rFonts w:hAnsi="標楷體" w:hint="eastAsia"/>
          <w:u w:val="single"/>
        </w:rPr>
        <w:t>食藥署應就食品業者經營型態多樣現象，註記於非追不可或其他食品雲系統，抑或檢討</w:t>
      </w:r>
      <w:r w:rsidR="00610ABD" w:rsidRPr="004E7851">
        <w:rPr>
          <w:rFonts w:hAnsi="標楷體" w:hint="eastAsia"/>
          <w:u w:val="single"/>
        </w:rPr>
        <w:t>現有監測模組相關設計</w:t>
      </w:r>
      <w:r w:rsidR="00610ABD" w:rsidRPr="004E7851">
        <w:rPr>
          <w:rFonts w:hAnsi="標楷體" w:hint="eastAsia"/>
        </w:rPr>
        <w:t>，</w:t>
      </w:r>
      <w:r w:rsidR="00754678" w:rsidRPr="004E7851">
        <w:rPr>
          <w:rFonts w:hAnsi="標楷體" w:hint="eastAsia"/>
        </w:rPr>
        <w:t>以避免監測模組勾稽分析比對又</w:t>
      </w:r>
      <w:r w:rsidRPr="004E7851">
        <w:rPr>
          <w:rFonts w:hAnsi="標楷體" w:hint="eastAsia"/>
        </w:rPr>
        <w:t>發生</w:t>
      </w:r>
      <w:r w:rsidR="00754678" w:rsidRPr="004E7851">
        <w:rPr>
          <w:rFonts w:hAnsi="標楷體" w:hint="eastAsia"/>
        </w:rPr>
        <w:t>誤認高風險業者情事</w:t>
      </w:r>
      <w:r w:rsidRPr="004E7851">
        <w:rPr>
          <w:rFonts w:hAnsi="標楷體" w:hint="eastAsia"/>
        </w:rPr>
        <w:t>。</w:t>
      </w:r>
      <w:r w:rsidR="00754678" w:rsidRPr="004E7851">
        <w:rPr>
          <w:rFonts w:hAnsi="標楷體" w:hint="eastAsia"/>
        </w:rPr>
        <w:t>惟該署竟查復表示：</w:t>
      </w:r>
      <w:r w:rsidR="00610ABD" w:rsidRPr="004E7851">
        <w:rPr>
          <w:rFonts w:hAnsi="標楷體" w:hint="eastAsia"/>
        </w:rPr>
        <w:t>雖國內食品產業多元化發展，交易複雜度高，惟透過稽查單位實地稽查及調查，交叉比對交易紀錄、明細、貨品庫存及進出貨情況，再以系統勾稽資料輔助查詢，即可監控有疑慮之交易，完善食品安全管理，尚無須額外註記兼營項目於非登不可等語。</w:t>
      </w:r>
    </w:p>
    <w:p w:rsidR="000630AF" w:rsidRPr="004E7851" w:rsidRDefault="000630AF" w:rsidP="008735A5">
      <w:pPr>
        <w:pStyle w:val="3"/>
        <w:numPr>
          <w:ilvl w:val="0"/>
          <w:numId w:val="0"/>
        </w:numPr>
        <w:ind w:left="1361" w:firstLineChars="183" w:firstLine="622"/>
        <w:rPr>
          <w:rFonts w:hAnsi="標楷體"/>
        </w:rPr>
      </w:pPr>
      <w:r w:rsidRPr="004E7851">
        <w:rPr>
          <w:rFonts w:hAnsi="標楷體" w:hint="eastAsia"/>
        </w:rPr>
        <w:t>足</w:t>
      </w:r>
      <w:r w:rsidR="00610ABD" w:rsidRPr="004E7851">
        <w:rPr>
          <w:rFonts w:hAnsi="標楷體" w:hint="eastAsia"/>
        </w:rPr>
        <w:t>見該署</w:t>
      </w:r>
      <w:r w:rsidRPr="004E7851">
        <w:rPr>
          <w:rFonts w:hAnsi="標楷體" w:hint="eastAsia"/>
        </w:rPr>
        <w:t>執意認為</w:t>
      </w:r>
      <w:r w:rsidR="00610ABD" w:rsidRPr="004E7851">
        <w:rPr>
          <w:rFonts w:hAnsi="標楷體" w:hint="eastAsia"/>
        </w:rPr>
        <w:t>就目前食品雲監測模組篩</w:t>
      </w:r>
      <w:r w:rsidRPr="004E7851">
        <w:rPr>
          <w:rFonts w:hAnsi="標楷體" w:hint="eastAsia"/>
        </w:rPr>
        <w:t>選出的高風險業者，雖然有兼營型態多樣問題，但藉由現場查核即可瞭解有無違法使用非食用原料；然該署現場查核結果，</w:t>
      </w:r>
      <w:r w:rsidR="008735A5" w:rsidRPr="004E7851">
        <w:rPr>
          <w:rFonts w:hAnsi="標楷體" w:hint="eastAsia"/>
        </w:rPr>
        <w:t>已發現其實是誤認高風險態樣，何以</w:t>
      </w:r>
      <w:r w:rsidRPr="004E7851">
        <w:rPr>
          <w:rFonts w:hAnsi="標楷體" w:hint="eastAsia"/>
        </w:rPr>
        <w:t>仍執意認為此食品雲篩選模組設計偏失問題，無須調整系統設計，且無相關改善之必要，</w:t>
      </w:r>
      <w:r w:rsidR="008735A5" w:rsidRPr="004E7851">
        <w:rPr>
          <w:rFonts w:hAnsi="標楷體" w:hint="eastAsia"/>
        </w:rPr>
        <w:t>是該署確有</w:t>
      </w:r>
      <w:r w:rsidRPr="004E7851">
        <w:rPr>
          <w:rFonts w:hAnsi="標楷體" w:hint="eastAsia"/>
        </w:rPr>
        <w:t>怠</w:t>
      </w:r>
      <w:r w:rsidR="008735A5" w:rsidRPr="004E7851">
        <w:rPr>
          <w:rFonts w:hAnsi="標楷體" w:hint="eastAsia"/>
        </w:rPr>
        <w:t>於職責之咎</w:t>
      </w:r>
      <w:r w:rsidRPr="004E7851">
        <w:rPr>
          <w:rFonts w:hAnsi="標楷體" w:hint="eastAsia"/>
        </w:rPr>
        <w:t>。</w:t>
      </w:r>
    </w:p>
    <w:p w:rsidR="00761BB6" w:rsidRPr="004E7851" w:rsidRDefault="00610ABD" w:rsidP="00761BB6">
      <w:pPr>
        <w:pStyle w:val="3"/>
        <w:rPr>
          <w:rFonts w:hAnsi="標楷體"/>
        </w:rPr>
      </w:pPr>
      <w:r w:rsidRPr="004E7851">
        <w:rPr>
          <w:rFonts w:hAnsi="標楷體" w:hint="eastAsia"/>
        </w:rPr>
        <w:t>據上，</w:t>
      </w:r>
      <w:r w:rsidR="000630AF" w:rsidRPr="004E7851">
        <w:rPr>
          <w:rFonts w:hAnsi="標楷體" w:hint="eastAsia"/>
        </w:rPr>
        <w:t>食藥署所建置之「食品雲－油品追蹤追溯」、「化學雲－選定化學物質流向」等監測模組，</w:t>
      </w:r>
      <w:r w:rsidR="006111DF" w:rsidRPr="004E7851">
        <w:rPr>
          <w:rFonts w:hAnsi="標楷體" w:hint="eastAsia"/>
        </w:rPr>
        <w:t>勾稽篩選高風險業者</w:t>
      </w:r>
      <w:r w:rsidR="00761BB6" w:rsidRPr="004E7851">
        <w:rPr>
          <w:rFonts w:hAnsi="標楷體" w:hint="eastAsia"/>
        </w:rPr>
        <w:t>的設計容有偏失，惟該署卻怠於檢討改善；且對於食品業者是否兼營飼料油或飼料廠問題諉為不知，凸顯現場稽查作業未盡確實，確有草率及失當之處，亟待加強改進。</w:t>
      </w:r>
    </w:p>
    <w:p w:rsidR="00FE1E46" w:rsidRPr="004E7851" w:rsidRDefault="009B5CC0" w:rsidP="00FE1E46">
      <w:pPr>
        <w:pStyle w:val="2"/>
        <w:rPr>
          <w:rFonts w:hAnsi="標楷體"/>
        </w:rPr>
      </w:pPr>
      <w:r w:rsidRPr="004E7851">
        <w:rPr>
          <w:rFonts w:hAnsi="標楷體" w:hint="eastAsia"/>
          <w:b/>
        </w:rPr>
        <w:t>毒性及關注化學物質管理法已於108年1月16日修正公布</w:t>
      </w:r>
      <w:r w:rsidR="00FE1E46" w:rsidRPr="004E7851">
        <w:rPr>
          <w:rFonts w:hAnsi="標楷體" w:hint="eastAsia"/>
          <w:b/>
        </w:rPr>
        <w:t>迄今，環保署</w:t>
      </w:r>
      <w:r w:rsidR="008735A5" w:rsidRPr="004E7851">
        <w:rPr>
          <w:rFonts w:hAnsi="標楷體" w:hint="eastAsia"/>
          <w:b/>
        </w:rPr>
        <w:t>卻</w:t>
      </w:r>
      <w:r w:rsidR="00FE1E46" w:rsidRPr="004E7851">
        <w:rPr>
          <w:rFonts w:hAnsi="標楷體" w:hint="eastAsia"/>
          <w:b/>
        </w:rPr>
        <w:t>仍未依法公告關注化學物質</w:t>
      </w:r>
      <w:r w:rsidR="008735A5" w:rsidRPr="004E7851">
        <w:rPr>
          <w:rFonts w:hAnsi="標楷體" w:hint="eastAsia"/>
          <w:b/>
        </w:rPr>
        <w:t>資訊</w:t>
      </w:r>
      <w:r w:rsidR="00FE1E46" w:rsidRPr="004E7851">
        <w:rPr>
          <w:rFonts w:hAnsi="標楷體" w:hint="eastAsia"/>
          <w:b/>
        </w:rPr>
        <w:t>，致甲醇等26種具食安風險化學物質之販賣、使用及貯存等運行作為無法納管，僅能以「輔導」方式督</w:t>
      </w:r>
      <w:r w:rsidR="00FE1E46" w:rsidRPr="004E7851">
        <w:rPr>
          <w:rFonts w:hAnsi="標楷體" w:hint="eastAsia"/>
          <w:b/>
        </w:rPr>
        <w:lastRenderedPageBreak/>
        <w:t>促業者自我管理，流向難以確實掌握，</w:t>
      </w:r>
      <w:r w:rsidR="00873725" w:rsidRPr="004E7851">
        <w:rPr>
          <w:rFonts w:hAnsi="標楷體" w:hint="eastAsia"/>
          <w:b/>
        </w:rPr>
        <w:t>易</w:t>
      </w:r>
      <w:r w:rsidR="00FE1E46" w:rsidRPr="004E7851">
        <w:rPr>
          <w:rFonts w:hAnsi="標楷體" w:hint="eastAsia"/>
          <w:b/>
        </w:rPr>
        <w:t>形成食安風險漏洞，核有欠妥。</w:t>
      </w:r>
      <w:r w:rsidR="00FE1E46" w:rsidRPr="004E7851">
        <w:rPr>
          <w:rFonts w:hAnsi="標楷體"/>
        </w:rPr>
        <w:t xml:space="preserve"> </w:t>
      </w:r>
    </w:p>
    <w:p w:rsidR="00E52B0E" w:rsidRPr="004E7851" w:rsidRDefault="00E52B0E" w:rsidP="009B5CC0">
      <w:pPr>
        <w:pStyle w:val="3"/>
        <w:rPr>
          <w:rFonts w:hAnsi="標楷體"/>
        </w:rPr>
      </w:pPr>
      <w:r w:rsidRPr="004E7851">
        <w:rPr>
          <w:rFonts w:hAnsi="標楷體" w:hint="eastAsia"/>
          <w:u w:val="single"/>
        </w:rPr>
        <w:t>行政院</w:t>
      </w:r>
      <w:r w:rsidR="005A4057" w:rsidRPr="004E7851">
        <w:rPr>
          <w:rFonts w:hAnsi="標楷體" w:hint="eastAsia"/>
          <w:u w:val="single"/>
        </w:rPr>
        <w:t>為預防工業化學產品不當流入食品供應鏈，前責由經濟部會商衛福部共同研商選定57</w:t>
      </w:r>
      <w:r w:rsidR="00453D4C" w:rsidRPr="004E7851">
        <w:rPr>
          <w:rFonts w:hAnsi="標楷體" w:hint="eastAsia"/>
          <w:u w:val="single"/>
        </w:rPr>
        <w:t>種</w:t>
      </w:r>
      <w:r w:rsidR="005A4057" w:rsidRPr="004E7851">
        <w:rPr>
          <w:rFonts w:hAnsi="標楷體" w:hint="eastAsia"/>
          <w:u w:val="single"/>
        </w:rPr>
        <w:t>易非法流入食品之化學物質優先加強列管</w:t>
      </w:r>
      <w:r w:rsidR="005A4057" w:rsidRPr="004E7851">
        <w:rPr>
          <w:rFonts w:hAnsi="標楷體" w:hint="eastAsia"/>
        </w:rPr>
        <w:t>，</w:t>
      </w:r>
      <w:r w:rsidR="00392587" w:rsidRPr="004E7851">
        <w:rPr>
          <w:rFonts w:hAnsi="標楷體" w:hint="eastAsia"/>
        </w:rPr>
        <w:t>該57</w:t>
      </w:r>
      <w:r w:rsidR="00453D4C" w:rsidRPr="004E7851">
        <w:rPr>
          <w:rFonts w:hAnsi="標楷體" w:hint="eastAsia"/>
        </w:rPr>
        <w:t>種</w:t>
      </w:r>
      <w:r w:rsidR="00392587" w:rsidRPr="004E7851">
        <w:rPr>
          <w:rFonts w:hAnsi="標楷體" w:hint="eastAsia"/>
        </w:rPr>
        <w:t>具食安風險疑慮化學物質</w:t>
      </w:r>
      <w:r w:rsidR="00D16B17" w:rsidRPr="004E7851">
        <w:rPr>
          <w:rFonts w:hAnsi="標楷體" w:hint="eastAsia"/>
        </w:rPr>
        <w:t>，</w:t>
      </w:r>
      <w:r w:rsidR="005A4057" w:rsidRPr="004E7851">
        <w:rPr>
          <w:rFonts w:hAnsi="標楷體" w:hint="eastAsia"/>
          <w:u w:val="single"/>
        </w:rPr>
        <w:t>自103年起藉由跨部會</w:t>
      </w:r>
      <w:r w:rsidR="00D16B17" w:rsidRPr="004E7851">
        <w:rPr>
          <w:rFonts w:hAnsi="標楷體" w:hint="eastAsia"/>
          <w:u w:val="single"/>
        </w:rPr>
        <w:t>泛</w:t>
      </w:r>
      <w:r w:rsidR="005A4057" w:rsidRPr="004E7851">
        <w:rPr>
          <w:rFonts w:hAnsi="標楷體" w:hint="eastAsia"/>
          <w:u w:val="single"/>
        </w:rPr>
        <w:t>食品雲介接</w:t>
      </w:r>
      <w:r w:rsidR="00F2124D" w:rsidRPr="004E7851">
        <w:rPr>
          <w:rFonts w:hAnsi="標楷體" w:hint="eastAsia"/>
          <w:u w:val="single"/>
        </w:rPr>
        <w:t>，以建立流向警示功能</w:t>
      </w:r>
      <w:r w:rsidR="00F2124D" w:rsidRPr="004E7851">
        <w:rPr>
          <w:rFonts w:hAnsi="標楷體" w:hint="eastAsia"/>
        </w:rPr>
        <w:t>。查該57</w:t>
      </w:r>
      <w:r w:rsidR="00453D4C" w:rsidRPr="004E7851">
        <w:rPr>
          <w:rFonts w:hAnsi="標楷體" w:hint="eastAsia"/>
        </w:rPr>
        <w:t>種</w:t>
      </w:r>
      <w:r w:rsidR="00F2124D" w:rsidRPr="004E7851">
        <w:rPr>
          <w:rFonts w:hAnsi="標楷體" w:hint="eastAsia"/>
        </w:rPr>
        <w:t>具食安風險疑慮化學物質，其中</w:t>
      </w:r>
      <w:r w:rsidR="00453D4C" w:rsidRPr="004E7851">
        <w:rPr>
          <w:rFonts w:hAnsi="標楷體" w:hint="eastAsia"/>
        </w:rPr>
        <w:t>鄰苯二甲酸二丁酯等</w:t>
      </w:r>
      <w:r w:rsidR="00F2124D" w:rsidRPr="004E7851">
        <w:rPr>
          <w:rFonts w:hAnsi="標楷體" w:hint="eastAsia"/>
        </w:rPr>
        <w:t>8</w:t>
      </w:r>
      <w:r w:rsidR="00453D4C" w:rsidRPr="004E7851">
        <w:rPr>
          <w:rFonts w:hAnsi="標楷體" w:hint="eastAsia"/>
        </w:rPr>
        <w:t>種</w:t>
      </w:r>
      <w:r w:rsidR="00F2124D" w:rsidRPr="004E7851">
        <w:rPr>
          <w:rFonts w:hAnsi="標楷體" w:hint="eastAsia"/>
        </w:rPr>
        <w:t>為環保署</w:t>
      </w:r>
      <w:r w:rsidR="00453D4C" w:rsidRPr="004E7851">
        <w:rPr>
          <w:rFonts w:hAnsi="標楷體" w:hint="eastAsia"/>
        </w:rPr>
        <w:t>原已公告的毒性化學物質</w:t>
      </w:r>
      <w:r w:rsidR="00E62855" w:rsidRPr="004E7851">
        <w:rPr>
          <w:rFonts w:hAnsi="標楷體" w:hint="eastAsia"/>
        </w:rPr>
        <w:t>，</w:t>
      </w:r>
      <w:r w:rsidR="00453D4C" w:rsidRPr="004E7851">
        <w:rPr>
          <w:rFonts w:hAnsi="標楷體" w:hint="eastAsia"/>
        </w:rPr>
        <w:t>三氯松等3種為農藥管理法所納管之農藥，</w:t>
      </w:r>
      <w:r w:rsidR="00E62855" w:rsidRPr="004E7851">
        <w:rPr>
          <w:rFonts w:hAnsi="標楷體" w:hint="eastAsia"/>
        </w:rPr>
        <w:t>其餘46種化學物質中，</w:t>
      </w:r>
      <w:r w:rsidR="00873725" w:rsidRPr="004E7851">
        <w:rPr>
          <w:rFonts w:hAnsi="標楷體" w:hint="eastAsia"/>
        </w:rPr>
        <w:t>另</w:t>
      </w:r>
      <w:r w:rsidR="00E62855" w:rsidRPr="004E7851">
        <w:rPr>
          <w:rFonts w:hAnsi="標楷體" w:hint="eastAsia"/>
        </w:rPr>
        <w:t>環保</w:t>
      </w:r>
      <w:r w:rsidR="00453D4C" w:rsidRPr="004E7851">
        <w:rPr>
          <w:rFonts w:hAnsi="標楷體" w:hint="eastAsia"/>
        </w:rPr>
        <w:t>署於106年9月26日公告孔雀綠等13種為第四類毒性化學物質，嗣於107年6月28日再公告納管蘇丹色素等7種</w:t>
      </w:r>
      <w:r w:rsidR="00E62855" w:rsidRPr="004E7851">
        <w:rPr>
          <w:rFonts w:hAnsi="標楷體" w:hint="eastAsia"/>
        </w:rPr>
        <w:t>同為第四類毒性</w:t>
      </w:r>
      <w:r w:rsidR="00453D4C" w:rsidRPr="004E7851">
        <w:rPr>
          <w:rFonts w:hAnsi="標楷體" w:hint="eastAsia"/>
        </w:rPr>
        <w:t>化學物質，</w:t>
      </w:r>
      <w:r w:rsidR="00E62855" w:rsidRPr="004E7851">
        <w:rPr>
          <w:rFonts w:hAnsi="標楷體" w:hint="eastAsia"/>
          <w:u w:val="single"/>
        </w:rPr>
        <w:t>惟其餘包括</w:t>
      </w:r>
      <w:r w:rsidR="007E0837" w:rsidRPr="004E7851">
        <w:rPr>
          <w:rFonts w:hAnsi="標楷體" w:hint="eastAsia"/>
          <w:u w:val="single"/>
        </w:rPr>
        <w:t>甲醇</w:t>
      </w:r>
      <w:r w:rsidR="00E62855" w:rsidRPr="004E7851">
        <w:rPr>
          <w:rFonts w:hAnsi="標楷體" w:hint="eastAsia"/>
          <w:u w:val="single"/>
        </w:rPr>
        <w:t>等26種化學物質(詳如下表)，囿於毒化物認定原則，尚無法納管</w:t>
      </w:r>
      <w:r w:rsidR="00E62855" w:rsidRPr="004E7851">
        <w:rPr>
          <w:rFonts w:hAnsi="標楷體" w:hint="eastAsia"/>
        </w:rPr>
        <w:t>。</w:t>
      </w:r>
    </w:p>
    <w:p w:rsidR="00873725" w:rsidRPr="004E7851" w:rsidRDefault="00DD3451" w:rsidP="00873725">
      <w:pPr>
        <w:pStyle w:val="a3"/>
        <w:rPr>
          <w:rFonts w:hAnsi="標楷體"/>
        </w:rPr>
      </w:pPr>
      <w:r w:rsidRPr="004E7851">
        <w:rPr>
          <w:rFonts w:hAnsi="標楷體" w:hint="eastAsia"/>
        </w:rPr>
        <w:t>57種</w:t>
      </w:r>
      <w:r w:rsidR="00873725" w:rsidRPr="004E7851">
        <w:rPr>
          <w:rFonts w:hAnsi="標楷體" w:hint="eastAsia"/>
        </w:rPr>
        <w:t>具食安風險疑慮化學物質名稱及列管情形</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559"/>
        <w:gridCol w:w="5812"/>
      </w:tblGrid>
      <w:tr w:rsidR="00771D6C" w:rsidRPr="004E7851" w:rsidTr="00165763">
        <w:trPr>
          <w:trHeight w:hRule="exact" w:val="1999"/>
        </w:trPr>
        <w:tc>
          <w:tcPr>
            <w:tcW w:w="1418" w:type="dxa"/>
            <w:vMerge w:val="restart"/>
          </w:tcPr>
          <w:p w:rsidR="00873725" w:rsidRPr="004E7851" w:rsidRDefault="00873725" w:rsidP="00257CA3">
            <w:pPr>
              <w:overflowPunct/>
              <w:adjustRightInd w:val="0"/>
              <w:snapToGrid w:val="0"/>
              <w:spacing w:line="360" w:lineRule="exact"/>
              <w:ind w:left="102" w:right="125"/>
              <w:rPr>
                <w:rFonts w:hAnsi="標楷體" w:cs="標楷體"/>
                <w:kern w:val="0"/>
                <w:sz w:val="28"/>
                <w:szCs w:val="28"/>
              </w:rPr>
            </w:pPr>
            <w:r w:rsidRPr="004E7851">
              <w:rPr>
                <w:rFonts w:hAnsi="標楷體" w:cs="標楷體" w:hint="eastAsia"/>
                <w:spacing w:val="-1"/>
                <w:kern w:val="0"/>
                <w:sz w:val="28"/>
                <w:szCs w:val="28"/>
              </w:rPr>
              <w:t>毒</w:t>
            </w:r>
            <w:r w:rsidRPr="004E7851">
              <w:rPr>
                <w:rFonts w:hAnsi="標楷體" w:cs="標楷體"/>
                <w:spacing w:val="21"/>
                <w:kern w:val="0"/>
                <w:sz w:val="28"/>
                <w:szCs w:val="28"/>
              </w:rPr>
              <w:t xml:space="preserve"> </w:t>
            </w:r>
            <w:r w:rsidRPr="004E7851">
              <w:rPr>
                <w:rFonts w:hAnsi="標楷體" w:cs="標楷體" w:hint="eastAsia"/>
                <w:spacing w:val="-1"/>
                <w:kern w:val="0"/>
                <w:sz w:val="28"/>
                <w:szCs w:val="28"/>
              </w:rPr>
              <w:t>性</w:t>
            </w:r>
            <w:r w:rsidRPr="004E7851">
              <w:rPr>
                <w:rFonts w:hAnsi="標楷體" w:cs="標楷體"/>
                <w:spacing w:val="22"/>
                <w:kern w:val="0"/>
                <w:sz w:val="28"/>
                <w:szCs w:val="28"/>
              </w:rPr>
              <w:t xml:space="preserve"> </w:t>
            </w:r>
            <w:r w:rsidRPr="004E7851">
              <w:rPr>
                <w:rFonts w:hAnsi="標楷體" w:cs="標楷體" w:hint="eastAsia"/>
                <w:kern w:val="0"/>
                <w:sz w:val="28"/>
                <w:szCs w:val="28"/>
              </w:rPr>
              <w:t>化</w:t>
            </w:r>
            <w:r w:rsidRPr="004E7851">
              <w:rPr>
                <w:rFonts w:hAnsi="標楷體" w:cs="標楷體" w:hint="eastAsia"/>
                <w:spacing w:val="-1"/>
                <w:kern w:val="0"/>
                <w:sz w:val="28"/>
                <w:szCs w:val="28"/>
              </w:rPr>
              <w:t>學</w:t>
            </w:r>
            <w:r w:rsidRPr="004E7851">
              <w:rPr>
                <w:rFonts w:hAnsi="標楷體" w:cs="標楷體"/>
                <w:spacing w:val="21"/>
                <w:kern w:val="0"/>
                <w:sz w:val="28"/>
                <w:szCs w:val="28"/>
              </w:rPr>
              <w:t xml:space="preserve"> </w:t>
            </w:r>
            <w:r w:rsidRPr="004E7851">
              <w:rPr>
                <w:rFonts w:hAnsi="標楷體" w:cs="標楷體" w:hint="eastAsia"/>
                <w:spacing w:val="-1"/>
                <w:kern w:val="0"/>
                <w:sz w:val="28"/>
                <w:szCs w:val="28"/>
              </w:rPr>
              <w:t>物</w:t>
            </w:r>
            <w:r w:rsidRPr="004E7851">
              <w:rPr>
                <w:rFonts w:hAnsi="標楷體" w:cs="標楷體"/>
                <w:spacing w:val="22"/>
                <w:kern w:val="0"/>
                <w:sz w:val="28"/>
                <w:szCs w:val="28"/>
              </w:rPr>
              <w:t xml:space="preserve"> </w:t>
            </w:r>
            <w:r w:rsidRPr="004E7851">
              <w:rPr>
                <w:rFonts w:hAnsi="標楷體" w:cs="標楷體" w:hint="eastAsia"/>
                <w:kern w:val="0"/>
                <w:sz w:val="28"/>
                <w:szCs w:val="28"/>
              </w:rPr>
              <w:t>質</w:t>
            </w:r>
            <w:r w:rsidRPr="004E7851">
              <w:rPr>
                <w:rFonts w:hAnsi="標楷體"/>
                <w:spacing w:val="10"/>
                <w:kern w:val="0"/>
                <w:sz w:val="28"/>
                <w:szCs w:val="28"/>
              </w:rPr>
              <w:t>28</w:t>
            </w:r>
            <w:r w:rsidRPr="004E7851">
              <w:rPr>
                <w:rFonts w:hAnsi="標楷體" w:cs="標楷體" w:hint="eastAsia"/>
                <w:kern w:val="0"/>
                <w:sz w:val="28"/>
                <w:szCs w:val="28"/>
              </w:rPr>
              <w:t>種</w:t>
            </w:r>
          </w:p>
        </w:tc>
        <w:tc>
          <w:tcPr>
            <w:tcW w:w="1559" w:type="dxa"/>
          </w:tcPr>
          <w:p w:rsidR="00873725" w:rsidRPr="004E7851" w:rsidRDefault="00873725" w:rsidP="002A6706">
            <w:pPr>
              <w:overflowPunct/>
              <w:adjustRightInd w:val="0"/>
              <w:snapToGrid w:val="0"/>
              <w:spacing w:line="360" w:lineRule="exact"/>
              <w:ind w:right="125"/>
              <w:rPr>
                <w:rFonts w:hAnsi="標楷體" w:cs="標楷體"/>
                <w:kern w:val="0"/>
                <w:sz w:val="28"/>
                <w:szCs w:val="28"/>
              </w:rPr>
            </w:pPr>
            <w:r w:rsidRPr="004E7851">
              <w:rPr>
                <w:rFonts w:hAnsi="標楷體" w:cs="標楷體" w:hint="eastAsia"/>
                <w:spacing w:val="-1"/>
                <w:kern w:val="0"/>
                <w:sz w:val="28"/>
                <w:szCs w:val="28"/>
              </w:rPr>
              <w:t>既</w:t>
            </w:r>
            <w:r w:rsidRPr="004E7851">
              <w:rPr>
                <w:rFonts w:hAnsi="標楷體" w:cs="標楷體" w:hint="eastAsia"/>
                <w:kern w:val="0"/>
                <w:sz w:val="28"/>
                <w:szCs w:val="28"/>
              </w:rPr>
              <w:t>公</w:t>
            </w:r>
            <w:r w:rsidRPr="004E7851">
              <w:rPr>
                <w:rFonts w:hAnsi="標楷體" w:cs="標楷體" w:hint="eastAsia"/>
                <w:spacing w:val="21"/>
                <w:kern w:val="0"/>
                <w:sz w:val="28"/>
                <w:szCs w:val="28"/>
              </w:rPr>
              <w:t>告</w:t>
            </w:r>
            <w:r w:rsidRPr="004E7851">
              <w:rPr>
                <w:rFonts w:hAnsi="標楷體"/>
                <w:spacing w:val="10"/>
                <w:kern w:val="0"/>
                <w:sz w:val="28"/>
                <w:szCs w:val="28"/>
              </w:rPr>
              <w:t>8</w:t>
            </w:r>
            <w:r w:rsidRPr="004E7851">
              <w:rPr>
                <w:rFonts w:hAnsi="標楷體" w:cs="標楷體" w:hint="eastAsia"/>
                <w:kern w:val="0"/>
                <w:sz w:val="28"/>
                <w:szCs w:val="28"/>
              </w:rPr>
              <w:t>種</w:t>
            </w:r>
          </w:p>
        </w:tc>
        <w:tc>
          <w:tcPr>
            <w:tcW w:w="5812" w:type="dxa"/>
          </w:tcPr>
          <w:p w:rsidR="00873725" w:rsidRPr="004E7851" w:rsidRDefault="00873725" w:rsidP="002A6706">
            <w:pPr>
              <w:overflowPunct/>
              <w:adjustRightInd w:val="0"/>
              <w:snapToGrid w:val="0"/>
              <w:spacing w:before="49" w:line="360" w:lineRule="exact"/>
              <w:ind w:left="103" w:right="126"/>
              <w:rPr>
                <w:rFonts w:hAnsi="標楷體" w:cs="標楷體"/>
                <w:kern w:val="0"/>
                <w:sz w:val="28"/>
                <w:szCs w:val="28"/>
              </w:rPr>
            </w:pPr>
            <w:r w:rsidRPr="004E7851">
              <w:rPr>
                <w:rFonts w:hAnsi="標楷體" w:cs="標楷體" w:hint="eastAsia"/>
                <w:spacing w:val="7"/>
                <w:kern w:val="0"/>
                <w:sz w:val="28"/>
                <w:szCs w:val="28"/>
              </w:rPr>
              <w:t>鄰</w:t>
            </w:r>
            <w:r w:rsidRPr="004E7851">
              <w:rPr>
                <w:rFonts w:hAnsi="標楷體" w:cs="標楷體" w:hint="eastAsia"/>
                <w:spacing w:val="6"/>
                <w:kern w:val="0"/>
                <w:sz w:val="28"/>
                <w:szCs w:val="28"/>
              </w:rPr>
              <w:t>苯二甲</w:t>
            </w:r>
            <w:r w:rsidRPr="004E7851">
              <w:rPr>
                <w:rFonts w:hAnsi="標楷體" w:cs="標楷體" w:hint="eastAsia"/>
                <w:spacing w:val="4"/>
                <w:kern w:val="0"/>
                <w:sz w:val="28"/>
                <w:szCs w:val="28"/>
              </w:rPr>
              <w:t>酸</w:t>
            </w:r>
            <w:r w:rsidRPr="004E7851">
              <w:rPr>
                <w:rFonts w:hAnsi="標楷體" w:cs="標楷體" w:hint="eastAsia"/>
                <w:spacing w:val="6"/>
                <w:kern w:val="0"/>
                <w:sz w:val="28"/>
                <w:szCs w:val="28"/>
              </w:rPr>
              <w:t>二</w:t>
            </w:r>
            <w:r w:rsidRPr="004E7851">
              <w:rPr>
                <w:rFonts w:hAnsi="標楷體" w:cs="標楷體" w:hint="eastAsia"/>
                <w:spacing w:val="4"/>
                <w:kern w:val="0"/>
                <w:sz w:val="28"/>
                <w:szCs w:val="28"/>
              </w:rPr>
              <w:t>丁</w:t>
            </w:r>
            <w:r w:rsidRPr="004E7851">
              <w:rPr>
                <w:rFonts w:hAnsi="標楷體" w:cs="標楷體" w:hint="eastAsia"/>
                <w:spacing w:val="6"/>
                <w:kern w:val="0"/>
                <w:sz w:val="28"/>
                <w:szCs w:val="28"/>
              </w:rPr>
              <w:t>酯、鄰苯</w:t>
            </w:r>
            <w:r w:rsidRPr="004E7851">
              <w:rPr>
                <w:rFonts w:hAnsi="標楷體" w:cs="標楷體" w:hint="eastAsia"/>
                <w:spacing w:val="4"/>
                <w:kern w:val="0"/>
                <w:sz w:val="28"/>
                <w:szCs w:val="28"/>
              </w:rPr>
              <w:t>二</w:t>
            </w:r>
            <w:r w:rsidRPr="004E7851">
              <w:rPr>
                <w:rFonts w:hAnsi="標楷體" w:cs="標楷體" w:hint="eastAsia"/>
                <w:spacing w:val="6"/>
                <w:kern w:val="0"/>
                <w:sz w:val="28"/>
                <w:szCs w:val="28"/>
              </w:rPr>
              <w:t>甲</w:t>
            </w:r>
            <w:r w:rsidRPr="004E7851">
              <w:rPr>
                <w:rFonts w:hAnsi="標楷體" w:cs="標楷體" w:hint="eastAsia"/>
                <w:spacing w:val="-24"/>
                <w:kern w:val="0"/>
                <w:sz w:val="28"/>
                <w:szCs w:val="28"/>
              </w:rPr>
              <w:t>酸</w:t>
            </w:r>
            <w:r w:rsidRPr="004E7851">
              <w:rPr>
                <w:rFonts w:hAnsi="標楷體" w:cs="標楷體" w:hint="eastAsia"/>
                <w:spacing w:val="20"/>
                <w:kern w:val="0"/>
                <w:sz w:val="28"/>
                <w:szCs w:val="28"/>
              </w:rPr>
              <w:t>二異壬</w:t>
            </w:r>
            <w:r w:rsidRPr="004E7851">
              <w:rPr>
                <w:rFonts w:hAnsi="標楷體" w:cs="標楷體" w:hint="eastAsia"/>
                <w:spacing w:val="-21"/>
                <w:kern w:val="0"/>
                <w:sz w:val="28"/>
                <w:szCs w:val="28"/>
              </w:rPr>
              <w:t>酯、</w:t>
            </w:r>
            <w:r w:rsidRPr="004E7851">
              <w:rPr>
                <w:rFonts w:hAnsi="標楷體" w:cs="標楷體" w:hint="eastAsia"/>
                <w:spacing w:val="17"/>
                <w:kern w:val="0"/>
                <w:sz w:val="28"/>
                <w:szCs w:val="28"/>
              </w:rPr>
              <w:t>鄰苯</w:t>
            </w:r>
            <w:r w:rsidRPr="004E7851">
              <w:rPr>
                <w:rFonts w:hAnsi="標楷體" w:cs="標楷體" w:hint="eastAsia"/>
                <w:spacing w:val="20"/>
                <w:kern w:val="0"/>
                <w:sz w:val="28"/>
                <w:szCs w:val="28"/>
              </w:rPr>
              <w:t>二甲酸</w:t>
            </w:r>
            <w:r w:rsidRPr="004E7851">
              <w:rPr>
                <w:rFonts w:hAnsi="標楷體" w:cs="標楷體" w:hint="eastAsia"/>
                <w:spacing w:val="-58"/>
                <w:kern w:val="0"/>
                <w:sz w:val="28"/>
                <w:szCs w:val="28"/>
              </w:rPr>
              <w:t>二</w:t>
            </w:r>
            <w:r w:rsidRPr="004E7851">
              <w:rPr>
                <w:rFonts w:hAnsi="標楷體" w:cs="標楷體" w:hint="eastAsia"/>
                <w:spacing w:val="21"/>
                <w:kern w:val="0"/>
                <w:sz w:val="28"/>
                <w:szCs w:val="28"/>
              </w:rPr>
              <w:t>（</w:t>
            </w:r>
            <w:r w:rsidRPr="004E7851">
              <w:rPr>
                <w:rFonts w:hAnsi="標楷體"/>
                <w:spacing w:val="10"/>
                <w:kern w:val="0"/>
                <w:sz w:val="28"/>
                <w:szCs w:val="28"/>
              </w:rPr>
              <w:t>2</w:t>
            </w:r>
            <w:r w:rsidRPr="004E7851">
              <w:rPr>
                <w:rFonts w:hAnsi="標楷體"/>
                <w:spacing w:val="9"/>
                <w:kern w:val="0"/>
                <w:sz w:val="28"/>
                <w:szCs w:val="28"/>
              </w:rPr>
              <w:t>-</w:t>
            </w:r>
            <w:r w:rsidRPr="004E7851">
              <w:rPr>
                <w:rFonts w:hAnsi="標楷體" w:cs="標楷體" w:hint="eastAsia"/>
                <w:spacing w:val="18"/>
                <w:kern w:val="0"/>
                <w:sz w:val="28"/>
                <w:szCs w:val="28"/>
              </w:rPr>
              <w:t>乙</w:t>
            </w:r>
            <w:r w:rsidRPr="004E7851">
              <w:rPr>
                <w:rFonts w:hAnsi="標楷體" w:cs="標楷體" w:hint="eastAsia"/>
                <w:kern w:val="0"/>
                <w:sz w:val="28"/>
                <w:szCs w:val="28"/>
              </w:rPr>
              <w:t>基</w:t>
            </w:r>
            <w:r w:rsidRPr="004E7851">
              <w:rPr>
                <w:rFonts w:hAnsi="標楷體" w:cs="標楷體" w:hint="eastAsia"/>
                <w:spacing w:val="21"/>
                <w:kern w:val="0"/>
                <w:sz w:val="28"/>
                <w:szCs w:val="28"/>
              </w:rPr>
              <w:t>己基</w:t>
            </w:r>
            <w:r w:rsidRPr="004E7851">
              <w:rPr>
                <w:rFonts w:hAnsi="標楷體" w:cs="標楷體" w:hint="eastAsia"/>
                <w:spacing w:val="-51"/>
                <w:kern w:val="0"/>
                <w:sz w:val="28"/>
                <w:szCs w:val="28"/>
              </w:rPr>
              <w:t>）</w:t>
            </w:r>
            <w:r w:rsidRPr="004E7851">
              <w:rPr>
                <w:rFonts w:hAnsi="標楷體" w:cs="標楷體" w:hint="eastAsia"/>
                <w:spacing w:val="-15"/>
                <w:kern w:val="0"/>
                <w:sz w:val="28"/>
                <w:szCs w:val="28"/>
              </w:rPr>
              <w:t>酯、</w:t>
            </w:r>
            <w:r w:rsidRPr="004E7851">
              <w:rPr>
                <w:rFonts w:hAnsi="標楷體" w:cs="標楷體" w:hint="eastAsia"/>
                <w:spacing w:val="18"/>
                <w:kern w:val="0"/>
                <w:sz w:val="28"/>
                <w:szCs w:val="28"/>
              </w:rPr>
              <w:t>鄰苯</w:t>
            </w:r>
            <w:r w:rsidRPr="004E7851">
              <w:rPr>
                <w:rFonts w:hAnsi="標楷體" w:cs="標楷體" w:hint="eastAsia"/>
                <w:spacing w:val="21"/>
                <w:kern w:val="0"/>
                <w:sz w:val="28"/>
                <w:szCs w:val="28"/>
              </w:rPr>
              <w:t>二甲酸二</w:t>
            </w:r>
            <w:r w:rsidRPr="004E7851">
              <w:rPr>
                <w:rFonts w:hAnsi="標楷體" w:cs="標楷體" w:hint="eastAsia"/>
                <w:spacing w:val="18"/>
                <w:kern w:val="0"/>
                <w:sz w:val="28"/>
                <w:szCs w:val="28"/>
              </w:rPr>
              <w:t>辛</w:t>
            </w:r>
            <w:r w:rsidRPr="004E7851">
              <w:rPr>
                <w:rFonts w:hAnsi="標楷體" w:cs="標楷體" w:hint="eastAsia"/>
                <w:spacing w:val="-15"/>
                <w:kern w:val="0"/>
                <w:sz w:val="28"/>
                <w:szCs w:val="28"/>
              </w:rPr>
              <w:t>酯</w:t>
            </w:r>
            <w:r w:rsidRPr="004E7851">
              <w:rPr>
                <w:rFonts w:hAnsi="標楷體" w:cs="標楷體" w:hint="eastAsia"/>
                <w:spacing w:val="-18"/>
                <w:kern w:val="0"/>
                <w:sz w:val="28"/>
                <w:szCs w:val="28"/>
              </w:rPr>
              <w:t>、</w:t>
            </w:r>
            <w:r w:rsidRPr="004E7851">
              <w:rPr>
                <w:rFonts w:hAnsi="標楷體" w:cs="標楷體" w:hint="eastAsia"/>
                <w:kern w:val="0"/>
                <w:sz w:val="28"/>
                <w:szCs w:val="28"/>
              </w:rPr>
              <w:t>鄰</w:t>
            </w:r>
            <w:r w:rsidRPr="004E7851">
              <w:rPr>
                <w:rFonts w:hAnsi="標楷體" w:cs="標楷體" w:hint="eastAsia"/>
                <w:spacing w:val="6"/>
                <w:kern w:val="0"/>
                <w:sz w:val="28"/>
                <w:szCs w:val="28"/>
              </w:rPr>
              <w:t>苯二甲酸</w:t>
            </w:r>
            <w:r w:rsidRPr="004E7851">
              <w:rPr>
                <w:rFonts w:hAnsi="標楷體" w:cs="標楷體" w:hint="eastAsia"/>
                <w:spacing w:val="4"/>
                <w:kern w:val="0"/>
                <w:sz w:val="28"/>
                <w:szCs w:val="28"/>
              </w:rPr>
              <w:t>二</w:t>
            </w:r>
            <w:r w:rsidRPr="004E7851">
              <w:rPr>
                <w:rFonts w:hAnsi="標楷體" w:cs="標楷體" w:hint="eastAsia"/>
                <w:spacing w:val="6"/>
                <w:kern w:val="0"/>
                <w:sz w:val="28"/>
                <w:szCs w:val="28"/>
              </w:rPr>
              <w:t>異</w:t>
            </w:r>
            <w:r w:rsidRPr="004E7851">
              <w:rPr>
                <w:rFonts w:hAnsi="標楷體" w:cs="標楷體" w:hint="eastAsia"/>
                <w:spacing w:val="4"/>
                <w:kern w:val="0"/>
                <w:sz w:val="28"/>
                <w:szCs w:val="28"/>
              </w:rPr>
              <w:t>癸</w:t>
            </w:r>
            <w:r w:rsidRPr="004E7851">
              <w:rPr>
                <w:rFonts w:hAnsi="標楷體" w:cs="標楷體" w:hint="eastAsia"/>
                <w:spacing w:val="6"/>
                <w:kern w:val="0"/>
                <w:sz w:val="28"/>
                <w:szCs w:val="28"/>
              </w:rPr>
              <w:t>酯、鄰苯</w:t>
            </w:r>
            <w:r w:rsidRPr="004E7851">
              <w:rPr>
                <w:rFonts w:hAnsi="標楷體" w:cs="標楷體" w:hint="eastAsia"/>
                <w:spacing w:val="4"/>
                <w:kern w:val="0"/>
                <w:sz w:val="28"/>
                <w:szCs w:val="28"/>
              </w:rPr>
              <w:t>二</w:t>
            </w:r>
            <w:r w:rsidRPr="004E7851">
              <w:rPr>
                <w:rFonts w:hAnsi="標楷體" w:cs="標楷體" w:hint="eastAsia"/>
                <w:spacing w:val="6"/>
                <w:kern w:val="0"/>
                <w:sz w:val="28"/>
                <w:szCs w:val="28"/>
              </w:rPr>
              <w:t>甲</w:t>
            </w:r>
            <w:r w:rsidRPr="004E7851">
              <w:rPr>
                <w:rFonts w:hAnsi="標楷體" w:cs="標楷體" w:hint="eastAsia"/>
                <w:spacing w:val="-24"/>
                <w:kern w:val="0"/>
                <w:sz w:val="28"/>
                <w:szCs w:val="28"/>
              </w:rPr>
              <w:t>酸</w:t>
            </w:r>
            <w:r w:rsidRPr="004E7851">
              <w:rPr>
                <w:rFonts w:hAnsi="標楷體" w:cs="標楷體" w:hint="eastAsia"/>
                <w:spacing w:val="21"/>
                <w:kern w:val="0"/>
                <w:sz w:val="28"/>
                <w:szCs w:val="28"/>
              </w:rPr>
              <w:t>二異丁酯</w:t>
            </w:r>
            <w:r w:rsidRPr="004E7851">
              <w:rPr>
                <w:rFonts w:hAnsi="標楷體" w:cs="標楷體" w:hint="eastAsia"/>
                <w:spacing w:val="18"/>
                <w:kern w:val="0"/>
                <w:sz w:val="28"/>
                <w:szCs w:val="28"/>
              </w:rPr>
              <w:t>、</w:t>
            </w:r>
            <w:r w:rsidRPr="004E7851">
              <w:rPr>
                <w:rFonts w:hAnsi="標楷體" w:cs="標楷體" w:hint="eastAsia"/>
                <w:spacing w:val="21"/>
                <w:kern w:val="0"/>
                <w:sz w:val="28"/>
                <w:szCs w:val="28"/>
              </w:rPr>
              <w:t>甲</w:t>
            </w:r>
            <w:r w:rsidRPr="004E7851">
              <w:rPr>
                <w:rFonts w:hAnsi="標楷體" w:cs="標楷體" w:hint="eastAsia"/>
                <w:spacing w:val="18"/>
                <w:kern w:val="0"/>
                <w:sz w:val="28"/>
                <w:szCs w:val="28"/>
              </w:rPr>
              <w:t>醛</w:t>
            </w:r>
            <w:r w:rsidRPr="004E7851">
              <w:rPr>
                <w:rFonts w:hAnsi="標楷體" w:cs="標楷體" w:hint="eastAsia"/>
                <w:spacing w:val="21"/>
                <w:kern w:val="0"/>
                <w:sz w:val="28"/>
                <w:szCs w:val="28"/>
              </w:rPr>
              <w:t>及五氯酚</w:t>
            </w:r>
            <w:r w:rsidRPr="004E7851">
              <w:rPr>
                <w:rFonts w:hAnsi="標楷體" w:cs="標楷體" w:hint="eastAsia"/>
                <w:kern w:val="0"/>
                <w:sz w:val="28"/>
                <w:szCs w:val="28"/>
              </w:rPr>
              <w:t>鈉</w:t>
            </w:r>
          </w:p>
        </w:tc>
      </w:tr>
      <w:tr w:rsidR="00771D6C" w:rsidRPr="004E7851" w:rsidTr="00A17B34">
        <w:trPr>
          <w:trHeight w:hRule="exact" w:val="1985"/>
        </w:trPr>
        <w:tc>
          <w:tcPr>
            <w:tcW w:w="1418" w:type="dxa"/>
            <w:vMerge/>
          </w:tcPr>
          <w:p w:rsidR="00873725" w:rsidRPr="004E7851" w:rsidRDefault="00873725" w:rsidP="002A6706">
            <w:pPr>
              <w:overflowPunct/>
              <w:adjustRightInd w:val="0"/>
              <w:snapToGrid w:val="0"/>
              <w:spacing w:before="98" w:line="360" w:lineRule="exact"/>
              <w:ind w:left="103" w:right="126"/>
              <w:rPr>
                <w:rFonts w:hAnsi="標楷體"/>
                <w:kern w:val="0"/>
                <w:sz w:val="28"/>
                <w:szCs w:val="28"/>
              </w:rPr>
            </w:pPr>
          </w:p>
        </w:tc>
        <w:tc>
          <w:tcPr>
            <w:tcW w:w="1559" w:type="dxa"/>
          </w:tcPr>
          <w:p w:rsidR="00873725" w:rsidRPr="004E7851" w:rsidRDefault="00873725" w:rsidP="00165763">
            <w:pPr>
              <w:overflowPunct/>
              <w:adjustRightInd w:val="0"/>
              <w:snapToGrid w:val="0"/>
              <w:spacing w:line="360" w:lineRule="exact"/>
              <w:ind w:left="-107" w:right="125"/>
              <w:rPr>
                <w:rFonts w:hAnsi="標楷體" w:cs="標楷體"/>
                <w:kern w:val="0"/>
                <w:sz w:val="28"/>
                <w:szCs w:val="28"/>
              </w:rPr>
            </w:pPr>
            <w:r w:rsidRPr="004E7851">
              <w:rPr>
                <w:rFonts w:hAnsi="標楷體" w:cs="標楷體"/>
                <w:kern w:val="0"/>
                <w:sz w:val="28"/>
                <w:szCs w:val="28"/>
              </w:rPr>
              <w:t>106</w:t>
            </w:r>
            <w:r w:rsidR="00165763" w:rsidRPr="004E7851">
              <w:rPr>
                <w:rFonts w:hAnsi="標楷體" w:cs="標楷體" w:hint="eastAsia"/>
                <w:kern w:val="0"/>
                <w:sz w:val="28"/>
                <w:szCs w:val="28"/>
              </w:rPr>
              <w:t>/</w:t>
            </w:r>
            <w:r w:rsidRPr="004E7851">
              <w:rPr>
                <w:rFonts w:hAnsi="標楷體" w:cs="標楷體"/>
                <w:kern w:val="0"/>
                <w:sz w:val="28"/>
                <w:szCs w:val="28"/>
              </w:rPr>
              <w:t>9</w:t>
            </w:r>
            <w:r w:rsidR="00165763" w:rsidRPr="004E7851">
              <w:rPr>
                <w:rFonts w:hAnsi="標楷體" w:cs="標楷體" w:hint="eastAsia"/>
                <w:kern w:val="0"/>
                <w:sz w:val="28"/>
                <w:szCs w:val="28"/>
              </w:rPr>
              <w:t>/</w:t>
            </w:r>
            <w:r w:rsidRPr="004E7851">
              <w:rPr>
                <w:rFonts w:hAnsi="標楷體" w:cs="標楷體"/>
                <w:kern w:val="0"/>
                <w:sz w:val="28"/>
                <w:szCs w:val="28"/>
              </w:rPr>
              <w:t xml:space="preserve">26 </w:t>
            </w:r>
            <w:r w:rsidRPr="004E7851">
              <w:rPr>
                <w:rFonts w:hAnsi="標楷體" w:cs="標楷體" w:hint="eastAsia"/>
                <w:kern w:val="0"/>
                <w:sz w:val="28"/>
                <w:szCs w:val="28"/>
              </w:rPr>
              <w:t>公告</w:t>
            </w:r>
            <w:r w:rsidRPr="004E7851">
              <w:rPr>
                <w:rFonts w:hAnsi="標楷體" w:cs="標楷體"/>
                <w:kern w:val="0"/>
                <w:sz w:val="28"/>
                <w:szCs w:val="28"/>
              </w:rPr>
              <w:t>13</w:t>
            </w:r>
            <w:r w:rsidRPr="004E7851">
              <w:rPr>
                <w:rFonts w:hAnsi="標楷體" w:cs="標楷體" w:hint="eastAsia"/>
                <w:kern w:val="0"/>
                <w:sz w:val="28"/>
                <w:szCs w:val="28"/>
              </w:rPr>
              <w:t>種</w:t>
            </w:r>
          </w:p>
        </w:tc>
        <w:tc>
          <w:tcPr>
            <w:tcW w:w="5812" w:type="dxa"/>
          </w:tcPr>
          <w:p w:rsidR="00873725" w:rsidRPr="004E7851" w:rsidRDefault="00873725" w:rsidP="00165763">
            <w:pPr>
              <w:overflowPunct/>
              <w:adjustRightInd w:val="0"/>
              <w:snapToGrid w:val="0"/>
              <w:spacing w:before="49" w:line="360" w:lineRule="exact"/>
              <w:ind w:left="103" w:right="126"/>
              <w:rPr>
                <w:rFonts w:hAnsi="標楷體" w:cs="標楷體"/>
                <w:spacing w:val="7"/>
                <w:kern w:val="0"/>
                <w:sz w:val="28"/>
                <w:szCs w:val="28"/>
              </w:rPr>
            </w:pPr>
            <w:r w:rsidRPr="004E7851">
              <w:rPr>
                <w:rFonts w:hAnsi="標楷體" w:cs="標楷體" w:hint="eastAsia"/>
                <w:spacing w:val="7"/>
                <w:kern w:val="0"/>
                <w:sz w:val="28"/>
                <w:szCs w:val="28"/>
              </w:rPr>
              <w:t>孔雀綠、順丁烯二酸、順丁烯二酸酐、對位乙氧基苯脲、溴酸鉀、富馬酸二甲酯、芐基紫、皂黃、玫瑰紅</w:t>
            </w:r>
            <w:r w:rsidRPr="004E7851">
              <w:rPr>
                <w:rFonts w:hAnsi="標楷體" w:cs="標楷體"/>
                <w:spacing w:val="7"/>
                <w:kern w:val="0"/>
                <w:sz w:val="28"/>
                <w:szCs w:val="28"/>
              </w:rPr>
              <w:t>B</w:t>
            </w:r>
            <w:r w:rsidRPr="004E7851">
              <w:rPr>
                <w:rFonts w:hAnsi="標楷體" w:cs="標楷體" w:hint="eastAsia"/>
                <w:spacing w:val="7"/>
                <w:kern w:val="0"/>
                <w:sz w:val="28"/>
                <w:szCs w:val="28"/>
              </w:rPr>
              <w:t>、二甲基黃、甲醛次硫酸氫鈉、</w:t>
            </w:r>
            <w:r w:rsidRPr="004E7851">
              <w:rPr>
                <w:rFonts w:hAnsi="標楷體" w:cs="標楷體"/>
                <w:spacing w:val="7"/>
                <w:kern w:val="0"/>
                <w:sz w:val="28"/>
                <w:szCs w:val="28"/>
              </w:rPr>
              <w:t>α-</w:t>
            </w:r>
            <w:r w:rsidRPr="004E7851">
              <w:rPr>
                <w:rFonts w:hAnsi="標楷體" w:cs="標楷體" w:hint="eastAsia"/>
                <w:spacing w:val="7"/>
                <w:kern w:val="0"/>
                <w:sz w:val="28"/>
                <w:szCs w:val="28"/>
              </w:rPr>
              <w:t>苯並吡喃酮及三聚氰胺</w:t>
            </w:r>
          </w:p>
        </w:tc>
      </w:tr>
      <w:tr w:rsidR="00771D6C" w:rsidRPr="004E7851" w:rsidTr="00A17B34">
        <w:trPr>
          <w:trHeight w:hRule="exact" w:val="1702"/>
        </w:trPr>
        <w:tc>
          <w:tcPr>
            <w:tcW w:w="1418" w:type="dxa"/>
            <w:vMerge/>
          </w:tcPr>
          <w:p w:rsidR="00873725" w:rsidRPr="004E7851" w:rsidRDefault="00873725" w:rsidP="002A6706">
            <w:pPr>
              <w:overflowPunct/>
              <w:adjustRightInd w:val="0"/>
              <w:snapToGrid w:val="0"/>
              <w:spacing w:before="53" w:line="360" w:lineRule="exact"/>
              <w:ind w:left="103" w:right="38"/>
              <w:rPr>
                <w:rFonts w:hAnsi="標楷體"/>
                <w:kern w:val="0"/>
                <w:sz w:val="28"/>
                <w:szCs w:val="28"/>
              </w:rPr>
            </w:pPr>
          </w:p>
        </w:tc>
        <w:tc>
          <w:tcPr>
            <w:tcW w:w="1559" w:type="dxa"/>
          </w:tcPr>
          <w:p w:rsidR="00873725" w:rsidRPr="004E7851" w:rsidRDefault="00873725" w:rsidP="00257CA3">
            <w:pPr>
              <w:overflowPunct/>
              <w:adjustRightInd w:val="0"/>
              <w:snapToGrid w:val="0"/>
              <w:spacing w:line="360" w:lineRule="exact"/>
              <w:ind w:right="125"/>
              <w:rPr>
                <w:rFonts w:hAnsi="標楷體" w:cs="標楷體"/>
                <w:kern w:val="0"/>
                <w:sz w:val="28"/>
                <w:szCs w:val="28"/>
              </w:rPr>
            </w:pPr>
            <w:r w:rsidRPr="004E7851">
              <w:rPr>
                <w:rFonts w:hAnsi="標楷體" w:cs="標楷體"/>
                <w:kern w:val="0"/>
                <w:sz w:val="28"/>
                <w:szCs w:val="28"/>
              </w:rPr>
              <w:t>107</w:t>
            </w:r>
            <w:r w:rsidR="00165763" w:rsidRPr="004E7851">
              <w:rPr>
                <w:rFonts w:hAnsi="標楷體" w:cs="標楷體" w:hint="eastAsia"/>
                <w:kern w:val="0"/>
                <w:sz w:val="28"/>
                <w:szCs w:val="28"/>
              </w:rPr>
              <w:t>/</w:t>
            </w:r>
            <w:r w:rsidRPr="004E7851">
              <w:rPr>
                <w:rFonts w:hAnsi="標楷體" w:cs="標楷體"/>
                <w:kern w:val="0"/>
                <w:sz w:val="28"/>
                <w:szCs w:val="28"/>
              </w:rPr>
              <w:t>6</w:t>
            </w:r>
            <w:r w:rsidR="00165763" w:rsidRPr="004E7851">
              <w:rPr>
                <w:rFonts w:hAnsi="標楷體" w:cs="標楷體" w:hint="eastAsia"/>
                <w:kern w:val="0"/>
                <w:sz w:val="28"/>
                <w:szCs w:val="28"/>
              </w:rPr>
              <w:t>/</w:t>
            </w:r>
            <w:r w:rsidRPr="004E7851">
              <w:rPr>
                <w:rFonts w:hAnsi="標楷體" w:cs="標楷體"/>
                <w:kern w:val="0"/>
                <w:sz w:val="28"/>
                <w:szCs w:val="28"/>
              </w:rPr>
              <w:t>28</w:t>
            </w:r>
            <w:r w:rsidRPr="004E7851">
              <w:rPr>
                <w:rFonts w:hAnsi="標楷體" w:cs="標楷體" w:hint="eastAsia"/>
                <w:kern w:val="0"/>
                <w:sz w:val="28"/>
                <w:szCs w:val="28"/>
              </w:rPr>
              <w:t>公告</w:t>
            </w:r>
            <w:r w:rsidRPr="004E7851">
              <w:rPr>
                <w:rFonts w:hAnsi="標楷體" w:cs="標楷體"/>
                <w:kern w:val="0"/>
                <w:sz w:val="28"/>
                <w:szCs w:val="28"/>
              </w:rPr>
              <w:t>7</w:t>
            </w:r>
            <w:r w:rsidRPr="004E7851">
              <w:rPr>
                <w:rFonts w:hAnsi="標楷體" w:cs="標楷體" w:hint="eastAsia"/>
                <w:kern w:val="0"/>
                <w:sz w:val="28"/>
                <w:szCs w:val="28"/>
              </w:rPr>
              <w:t>種</w:t>
            </w:r>
            <w:r w:rsidR="00257CA3" w:rsidRPr="004E7851">
              <w:rPr>
                <w:rFonts w:hAnsi="標楷體" w:cs="標楷體" w:hint="eastAsia"/>
                <w:kern w:val="0"/>
                <w:sz w:val="28"/>
                <w:szCs w:val="28"/>
              </w:rPr>
              <w:t>(</w:t>
            </w:r>
            <w:r w:rsidRPr="004E7851">
              <w:rPr>
                <w:rFonts w:hAnsi="標楷體" w:cs="標楷體"/>
                <w:kern w:val="0"/>
                <w:sz w:val="28"/>
                <w:szCs w:val="28"/>
              </w:rPr>
              <w:t xml:space="preserve">14 </w:t>
            </w:r>
            <w:r w:rsidRPr="004E7851">
              <w:rPr>
                <w:rFonts w:hAnsi="標楷體" w:cs="標楷體" w:hint="eastAsia"/>
                <w:kern w:val="0"/>
                <w:sz w:val="28"/>
                <w:szCs w:val="28"/>
              </w:rPr>
              <w:t>項</w:t>
            </w:r>
            <w:r w:rsidR="00257CA3" w:rsidRPr="004E7851">
              <w:rPr>
                <w:rFonts w:hAnsi="標楷體" w:cs="標楷體" w:hint="eastAsia"/>
                <w:kern w:val="0"/>
                <w:sz w:val="28"/>
                <w:szCs w:val="28"/>
              </w:rPr>
              <w:t>)</w:t>
            </w:r>
          </w:p>
        </w:tc>
        <w:tc>
          <w:tcPr>
            <w:tcW w:w="5812" w:type="dxa"/>
          </w:tcPr>
          <w:p w:rsidR="00873725" w:rsidRPr="004E7851" w:rsidRDefault="00165763" w:rsidP="00A17B34">
            <w:pPr>
              <w:overflowPunct/>
              <w:adjustRightInd w:val="0"/>
              <w:snapToGrid w:val="0"/>
              <w:spacing w:before="49" w:line="360" w:lineRule="exact"/>
              <w:ind w:left="103" w:right="126"/>
              <w:rPr>
                <w:rFonts w:hAnsi="標楷體" w:cs="標楷體"/>
                <w:spacing w:val="7"/>
                <w:kern w:val="0"/>
                <w:sz w:val="28"/>
                <w:szCs w:val="28"/>
              </w:rPr>
            </w:pPr>
            <w:r w:rsidRPr="004E7851">
              <w:rPr>
                <w:rFonts w:hAnsi="標楷體" w:cs="標楷體" w:hint="eastAsia"/>
                <w:spacing w:val="7"/>
                <w:kern w:val="0"/>
                <w:sz w:val="28"/>
                <w:szCs w:val="28"/>
              </w:rPr>
              <w:t>蘇丹色素</w:t>
            </w:r>
            <w:r w:rsidRPr="004E7851">
              <w:rPr>
                <w:rFonts w:hAnsi="標楷體" w:cs="標楷體"/>
                <w:spacing w:val="7"/>
                <w:kern w:val="0"/>
                <w:sz w:val="28"/>
                <w:szCs w:val="28"/>
              </w:rPr>
              <w:t>8</w:t>
            </w:r>
            <w:r w:rsidRPr="004E7851">
              <w:rPr>
                <w:rFonts w:hAnsi="標楷體" w:cs="標楷體" w:hint="eastAsia"/>
                <w:spacing w:val="7"/>
                <w:kern w:val="0"/>
                <w:sz w:val="28"/>
                <w:szCs w:val="28"/>
              </w:rPr>
              <w:t>種（蘇丹</w:t>
            </w:r>
            <w:r w:rsidRPr="004E7851">
              <w:rPr>
                <w:rFonts w:hAnsi="標楷體" w:cs="標楷體"/>
                <w:spacing w:val="7"/>
                <w:kern w:val="0"/>
                <w:sz w:val="28"/>
                <w:szCs w:val="28"/>
              </w:rPr>
              <w:t>1</w:t>
            </w:r>
            <w:r w:rsidRPr="004E7851">
              <w:rPr>
                <w:rFonts w:hAnsi="標楷體" w:cs="標楷體" w:hint="eastAsia"/>
                <w:spacing w:val="7"/>
                <w:kern w:val="0"/>
                <w:sz w:val="28"/>
                <w:szCs w:val="28"/>
              </w:rPr>
              <w:t>號、蘇丹</w:t>
            </w:r>
            <w:r w:rsidRPr="004E7851">
              <w:rPr>
                <w:rFonts w:hAnsi="標楷體" w:cs="標楷體"/>
                <w:spacing w:val="7"/>
                <w:kern w:val="0"/>
                <w:sz w:val="28"/>
                <w:szCs w:val="28"/>
              </w:rPr>
              <w:t>2</w:t>
            </w:r>
            <w:r w:rsidRPr="004E7851">
              <w:rPr>
                <w:rFonts w:hAnsi="標楷體" w:cs="標楷體" w:hint="eastAsia"/>
                <w:spacing w:val="7"/>
                <w:kern w:val="0"/>
                <w:sz w:val="28"/>
                <w:szCs w:val="28"/>
              </w:rPr>
              <w:t>號、蘇丹</w:t>
            </w:r>
            <w:r w:rsidRPr="004E7851">
              <w:rPr>
                <w:rFonts w:hAnsi="標楷體" w:cs="標楷體"/>
                <w:spacing w:val="7"/>
                <w:kern w:val="0"/>
                <w:sz w:val="28"/>
                <w:szCs w:val="28"/>
              </w:rPr>
              <w:t>3</w:t>
            </w:r>
            <w:r w:rsidRPr="004E7851">
              <w:rPr>
                <w:rFonts w:hAnsi="標楷體" w:cs="標楷體" w:hint="eastAsia"/>
                <w:spacing w:val="7"/>
                <w:kern w:val="0"/>
                <w:sz w:val="28"/>
                <w:szCs w:val="28"/>
              </w:rPr>
              <w:t>號、蘇丹</w:t>
            </w:r>
            <w:r w:rsidRPr="004E7851">
              <w:rPr>
                <w:rFonts w:hAnsi="標楷體" w:cs="標楷體"/>
                <w:spacing w:val="7"/>
                <w:kern w:val="0"/>
                <w:sz w:val="28"/>
                <w:szCs w:val="28"/>
              </w:rPr>
              <w:t>4</w:t>
            </w:r>
            <w:r w:rsidRPr="004E7851">
              <w:rPr>
                <w:rFonts w:hAnsi="標楷體" w:cs="標楷體" w:hint="eastAsia"/>
                <w:spacing w:val="7"/>
                <w:kern w:val="0"/>
                <w:sz w:val="28"/>
                <w:szCs w:val="28"/>
              </w:rPr>
              <w:t>號、蘇丹紅</w:t>
            </w:r>
            <w:r w:rsidRPr="004E7851">
              <w:rPr>
                <w:rFonts w:hAnsi="標楷體" w:cs="標楷體"/>
                <w:spacing w:val="7"/>
                <w:kern w:val="0"/>
                <w:sz w:val="28"/>
                <w:szCs w:val="28"/>
              </w:rPr>
              <w:t>G</w:t>
            </w:r>
            <w:r w:rsidRPr="004E7851">
              <w:rPr>
                <w:rFonts w:hAnsi="標楷體" w:cs="標楷體" w:hint="eastAsia"/>
                <w:spacing w:val="7"/>
                <w:kern w:val="0"/>
                <w:sz w:val="28"/>
                <w:szCs w:val="28"/>
              </w:rPr>
              <w:t>、蘇丹橙</w:t>
            </w:r>
            <w:r w:rsidRPr="004E7851">
              <w:rPr>
                <w:rFonts w:hAnsi="標楷體" w:cs="標楷體"/>
                <w:spacing w:val="7"/>
                <w:kern w:val="0"/>
                <w:sz w:val="28"/>
                <w:szCs w:val="28"/>
              </w:rPr>
              <w:t>G</w:t>
            </w:r>
            <w:r w:rsidRPr="004E7851">
              <w:rPr>
                <w:rFonts w:hAnsi="標楷體" w:cs="標楷體" w:hint="eastAsia"/>
                <w:spacing w:val="7"/>
                <w:kern w:val="0"/>
                <w:sz w:val="28"/>
                <w:szCs w:val="28"/>
              </w:rPr>
              <w:t>、蘇丹黑</w:t>
            </w:r>
            <w:r w:rsidRPr="004E7851">
              <w:rPr>
                <w:rFonts w:hAnsi="標楷體" w:cs="標楷體"/>
                <w:spacing w:val="7"/>
                <w:kern w:val="0"/>
                <w:sz w:val="28"/>
                <w:szCs w:val="28"/>
              </w:rPr>
              <w:t>B</w:t>
            </w:r>
            <w:r w:rsidRPr="004E7851">
              <w:rPr>
                <w:rFonts w:hAnsi="標楷體" w:cs="標楷體" w:hint="eastAsia"/>
                <w:spacing w:val="7"/>
                <w:kern w:val="0"/>
                <w:sz w:val="28"/>
                <w:szCs w:val="28"/>
              </w:rPr>
              <w:t>、蘇丹紅</w:t>
            </w:r>
            <w:r w:rsidRPr="004E7851">
              <w:rPr>
                <w:rFonts w:hAnsi="標楷體" w:cs="標楷體"/>
                <w:spacing w:val="7"/>
                <w:kern w:val="0"/>
                <w:sz w:val="28"/>
                <w:szCs w:val="28"/>
              </w:rPr>
              <w:t>7</w:t>
            </w:r>
            <w:r w:rsidRPr="004E7851">
              <w:rPr>
                <w:rFonts w:hAnsi="標楷體" w:cs="標楷體" w:hint="eastAsia"/>
                <w:spacing w:val="7"/>
                <w:kern w:val="0"/>
                <w:sz w:val="28"/>
                <w:szCs w:val="28"/>
              </w:rPr>
              <w:t>B）、二乙基黃、王金黃、鹽基性芥黃、紅色</w:t>
            </w:r>
            <w:r w:rsidRPr="004E7851">
              <w:rPr>
                <w:rFonts w:hAnsi="標楷體" w:cs="標楷體"/>
                <w:spacing w:val="7"/>
                <w:kern w:val="0"/>
                <w:sz w:val="28"/>
                <w:szCs w:val="28"/>
              </w:rPr>
              <w:t>2</w:t>
            </w:r>
            <w:r w:rsidRPr="004E7851">
              <w:rPr>
                <w:rFonts w:hAnsi="標楷體" w:cs="標楷體" w:hint="eastAsia"/>
                <w:spacing w:val="7"/>
                <w:kern w:val="0"/>
                <w:sz w:val="28"/>
                <w:szCs w:val="28"/>
              </w:rPr>
              <w:t>號、氮紅及橘色</w:t>
            </w:r>
            <w:r w:rsidRPr="004E7851">
              <w:rPr>
                <w:rFonts w:hAnsi="標楷體" w:cs="標楷體"/>
                <w:spacing w:val="7"/>
                <w:kern w:val="0"/>
                <w:sz w:val="28"/>
                <w:szCs w:val="28"/>
              </w:rPr>
              <w:t>2</w:t>
            </w:r>
            <w:r w:rsidRPr="004E7851">
              <w:rPr>
                <w:rFonts w:hAnsi="標楷體" w:cs="標楷體" w:hint="eastAsia"/>
                <w:spacing w:val="7"/>
                <w:kern w:val="0"/>
                <w:sz w:val="28"/>
                <w:szCs w:val="28"/>
              </w:rPr>
              <w:t>號</w:t>
            </w:r>
          </w:p>
        </w:tc>
      </w:tr>
      <w:tr w:rsidR="00771D6C" w:rsidRPr="004E7851" w:rsidTr="00165763">
        <w:trPr>
          <w:trHeight w:hRule="exact" w:val="847"/>
        </w:trPr>
        <w:tc>
          <w:tcPr>
            <w:tcW w:w="1418" w:type="dxa"/>
          </w:tcPr>
          <w:p w:rsidR="00165763" w:rsidRPr="004E7851" w:rsidRDefault="00873725" w:rsidP="00165763">
            <w:pPr>
              <w:overflowPunct/>
              <w:adjustRightInd w:val="0"/>
              <w:snapToGrid w:val="0"/>
              <w:spacing w:line="360" w:lineRule="exact"/>
              <w:ind w:leftChars="-14" w:right="125" w:hangingChars="14" w:hanging="48"/>
              <w:rPr>
                <w:rFonts w:hAnsi="標楷體" w:cs="標楷體"/>
                <w:spacing w:val="21"/>
                <w:kern w:val="0"/>
                <w:sz w:val="28"/>
                <w:szCs w:val="28"/>
              </w:rPr>
            </w:pPr>
            <w:r w:rsidRPr="004E7851">
              <w:rPr>
                <w:rFonts w:hAnsi="標楷體" w:cs="標楷體" w:hint="eastAsia"/>
                <w:spacing w:val="21"/>
                <w:kern w:val="0"/>
                <w:sz w:val="28"/>
                <w:szCs w:val="28"/>
              </w:rPr>
              <w:lastRenderedPageBreak/>
              <w:t>農藥</w:t>
            </w:r>
          </w:p>
          <w:p w:rsidR="00873725" w:rsidRPr="004E7851" w:rsidRDefault="00873725" w:rsidP="00165763">
            <w:pPr>
              <w:overflowPunct/>
              <w:adjustRightInd w:val="0"/>
              <w:snapToGrid w:val="0"/>
              <w:spacing w:line="360" w:lineRule="exact"/>
              <w:ind w:right="125"/>
              <w:rPr>
                <w:rFonts w:hAnsi="標楷體" w:cs="標楷體"/>
                <w:kern w:val="0"/>
                <w:sz w:val="28"/>
                <w:szCs w:val="28"/>
              </w:rPr>
            </w:pPr>
            <w:r w:rsidRPr="004E7851">
              <w:rPr>
                <w:rFonts w:hAnsi="標楷體"/>
                <w:spacing w:val="10"/>
                <w:kern w:val="0"/>
                <w:sz w:val="28"/>
                <w:szCs w:val="28"/>
              </w:rPr>
              <w:t>3</w:t>
            </w:r>
            <w:r w:rsidRPr="004E7851">
              <w:rPr>
                <w:rFonts w:hAnsi="標楷體" w:cs="標楷體" w:hint="eastAsia"/>
                <w:kern w:val="0"/>
                <w:sz w:val="28"/>
                <w:szCs w:val="28"/>
              </w:rPr>
              <w:t>種</w:t>
            </w:r>
          </w:p>
        </w:tc>
        <w:tc>
          <w:tcPr>
            <w:tcW w:w="1559" w:type="dxa"/>
          </w:tcPr>
          <w:p w:rsidR="00873725" w:rsidRPr="004E7851" w:rsidRDefault="00873725" w:rsidP="00165763">
            <w:pPr>
              <w:overflowPunct/>
              <w:adjustRightInd w:val="0"/>
              <w:snapToGrid w:val="0"/>
              <w:spacing w:line="360" w:lineRule="exact"/>
              <w:ind w:leftChars="-31" w:right="-106" w:hangingChars="35" w:hanging="105"/>
              <w:jc w:val="left"/>
              <w:rPr>
                <w:rFonts w:hAnsi="標楷體" w:cs="標楷體"/>
                <w:kern w:val="0"/>
                <w:sz w:val="28"/>
                <w:szCs w:val="28"/>
              </w:rPr>
            </w:pPr>
            <w:r w:rsidRPr="004E7851">
              <w:rPr>
                <w:rFonts w:hAnsi="標楷體" w:cs="標楷體" w:hint="eastAsia"/>
                <w:kern w:val="0"/>
                <w:sz w:val="28"/>
                <w:szCs w:val="28"/>
              </w:rPr>
              <w:t>農藥管理</w:t>
            </w:r>
            <w:r w:rsidR="00165763" w:rsidRPr="004E7851">
              <w:rPr>
                <w:rFonts w:hAnsi="標楷體" w:cs="標楷體" w:hint="eastAsia"/>
                <w:kern w:val="0"/>
                <w:sz w:val="28"/>
                <w:szCs w:val="28"/>
              </w:rPr>
              <w:t>法</w:t>
            </w:r>
          </w:p>
        </w:tc>
        <w:tc>
          <w:tcPr>
            <w:tcW w:w="5812" w:type="dxa"/>
          </w:tcPr>
          <w:p w:rsidR="00873725" w:rsidRPr="004E7851" w:rsidRDefault="00873725" w:rsidP="002A6706">
            <w:pPr>
              <w:overflowPunct/>
              <w:adjustRightInd w:val="0"/>
              <w:snapToGrid w:val="0"/>
              <w:spacing w:before="8" w:line="360" w:lineRule="exact"/>
              <w:ind w:left="103"/>
              <w:jc w:val="left"/>
              <w:rPr>
                <w:rFonts w:hAnsi="標楷體" w:cs="標楷體"/>
                <w:kern w:val="0"/>
                <w:sz w:val="28"/>
                <w:szCs w:val="28"/>
              </w:rPr>
            </w:pPr>
            <w:r w:rsidRPr="004E7851">
              <w:rPr>
                <w:rFonts w:hAnsi="標楷體" w:cs="標楷體" w:hint="eastAsia"/>
                <w:spacing w:val="21"/>
                <w:kern w:val="0"/>
                <w:sz w:val="28"/>
                <w:szCs w:val="28"/>
              </w:rPr>
              <w:t>三氯松、</w:t>
            </w:r>
            <w:r w:rsidRPr="004E7851">
              <w:rPr>
                <w:rFonts w:hAnsi="標楷體" w:cs="標楷體" w:hint="eastAsia"/>
                <w:spacing w:val="18"/>
                <w:kern w:val="0"/>
                <w:sz w:val="28"/>
                <w:szCs w:val="28"/>
              </w:rPr>
              <w:t>二</w:t>
            </w:r>
            <w:r w:rsidRPr="004E7851">
              <w:rPr>
                <w:rFonts w:hAnsi="標楷體" w:cs="標楷體" w:hint="eastAsia"/>
                <w:spacing w:val="21"/>
                <w:kern w:val="0"/>
                <w:sz w:val="28"/>
                <w:szCs w:val="28"/>
              </w:rPr>
              <w:t>氯</w:t>
            </w:r>
            <w:r w:rsidRPr="004E7851">
              <w:rPr>
                <w:rFonts w:hAnsi="標楷體" w:cs="標楷體" w:hint="eastAsia"/>
                <w:spacing w:val="18"/>
                <w:kern w:val="0"/>
                <w:sz w:val="28"/>
                <w:szCs w:val="28"/>
              </w:rPr>
              <w:t>松</w:t>
            </w:r>
            <w:r w:rsidRPr="004E7851">
              <w:rPr>
                <w:rFonts w:hAnsi="標楷體" w:cs="標楷體" w:hint="eastAsia"/>
                <w:spacing w:val="21"/>
                <w:kern w:val="0"/>
                <w:sz w:val="28"/>
                <w:szCs w:val="28"/>
              </w:rPr>
              <w:t>及磷化</w:t>
            </w:r>
            <w:r w:rsidRPr="004E7851">
              <w:rPr>
                <w:rFonts w:hAnsi="標楷體" w:cs="標楷體" w:hint="eastAsia"/>
                <w:kern w:val="0"/>
                <w:sz w:val="28"/>
                <w:szCs w:val="28"/>
              </w:rPr>
              <w:t>鋁</w:t>
            </w:r>
          </w:p>
        </w:tc>
      </w:tr>
      <w:tr w:rsidR="00771D6C" w:rsidRPr="004E7851" w:rsidTr="00165763">
        <w:trPr>
          <w:trHeight w:hRule="exact" w:val="2693"/>
        </w:trPr>
        <w:tc>
          <w:tcPr>
            <w:tcW w:w="1418" w:type="dxa"/>
          </w:tcPr>
          <w:p w:rsidR="002A6706" w:rsidRPr="004E7851" w:rsidRDefault="002A6706" w:rsidP="00165763">
            <w:pPr>
              <w:overflowPunct/>
              <w:adjustRightInd w:val="0"/>
              <w:snapToGrid w:val="0"/>
              <w:spacing w:line="360" w:lineRule="exact"/>
              <w:ind w:right="-103"/>
              <w:jc w:val="left"/>
              <w:rPr>
                <w:rFonts w:hAnsi="標楷體" w:cs="標楷體"/>
                <w:kern w:val="0"/>
                <w:sz w:val="28"/>
                <w:szCs w:val="28"/>
              </w:rPr>
            </w:pPr>
            <w:r w:rsidRPr="004E7851">
              <w:rPr>
                <w:rFonts w:hAnsi="標楷體" w:cs="標楷體" w:hint="eastAsia"/>
                <w:kern w:val="0"/>
                <w:sz w:val="28"/>
                <w:szCs w:val="28"/>
              </w:rPr>
              <w:t>其他化學物質</w:t>
            </w:r>
            <w:r w:rsidR="00165763" w:rsidRPr="004E7851">
              <w:rPr>
                <w:rFonts w:hAnsi="標楷體" w:cs="標楷體" w:hint="eastAsia"/>
                <w:kern w:val="0"/>
                <w:sz w:val="28"/>
                <w:szCs w:val="28"/>
              </w:rPr>
              <w:t>26</w:t>
            </w:r>
            <w:r w:rsidRPr="004E7851">
              <w:rPr>
                <w:rFonts w:hAnsi="標楷體" w:cs="標楷體" w:hint="eastAsia"/>
                <w:kern w:val="0"/>
                <w:sz w:val="28"/>
                <w:szCs w:val="28"/>
              </w:rPr>
              <w:t>種</w:t>
            </w:r>
          </w:p>
        </w:tc>
        <w:tc>
          <w:tcPr>
            <w:tcW w:w="1559" w:type="dxa"/>
          </w:tcPr>
          <w:p w:rsidR="002A6706" w:rsidRPr="004E7851" w:rsidRDefault="002A6706" w:rsidP="00165763">
            <w:pPr>
              <w:overflowPunct/>
              <w:adjustRightInd w:val="0"/>
              <w:snapToGrid w:val="0"/>
              <w:spacing w:line="360" w:lineRule="exact"/>
              <w:ind w:right="125"/>
              <w:rPr>
                <w:rFonts w:hAnsi="標楷體" w:cs="標楷體"/>
                <w:kern w:val="0"/>
                <w:sz w:val="28"/>
                <w:szCs w:val="28"/>
              </w:rPr>
            </w:pPr>
            <w:r w:rsidRPr="004E7851">
              <w:rPr>
                <w:rFonts w:hAnsi="標楷體" w:cs="標楷體" w:hint="eastAsia"/>
                <w:kern w:val="0"/>
                <w:sz w:val="28"/>
                <w:szCs w:val="28"/>
              </w:rPr>
              <w:t>未納管</w:t>
            </w:r>
          </w:p>
        </w:tc>
        <w:tc>
          <w:tcPr>
            <w:tcW w:w="5812" w:type="dxa"/>
          </w:tcPr>
          <w:p w:rsidR="002A6706" w:rsidRPr="004E7851" w:rsidRDefault="00A17B34" w:rsidP="00A17B34">
            <w:pPr>
              <w:overflowPunct/>
              <w:adjustRightInd w:val="0"/>
              <w:snapToGrid w:val="0"/>
              <w:spacing w:line="360" w:lineRule="exact"/>
              <w:ind w:right="125"/>
              <w:rPr>
                <w:rFonts w:hAnsi="標楷體" w:cs="標楷體"/>
                <w:kern w:val="0"/>
                <w:sz w:val="28"/>
                <w:szCs w:val="28"/>
              </w:rPr>
            </w:pPr>
            <w:r w:rsidRPr="004E7851">
              <w:rPr>
                <w:rFonts w:hAnsi="標楷體" w:cs="標楷體" w:hint="eastAsia"/>
                <w:kern w:val="0"/>
                <w:sz w:val="28"/>
                <w:szCs w:val="28"/>
              </w:rPr>
              <w:t>甲醇、</w:t>
            </w:r>
            <w:r w:rsidR="00165763" w:rsidRPr="004E7851">
              <w:rPr>
                <w:rFonts w:hAnsi="標楷體" w:cs="標楷體" w:hint="eastAsia"/>
                <w:spacing w:val="21"/>
                <w:kern w:val="0"/>
                <w:sz w:val="28"/>
                <w:szCs w:val="28"/>
              </w:rPr>
              <w:t>亞硫酸鈉、亞硝酸鉀、亞硝酸鈉、碳酸氫鈉、鈉明礬、鉀明礬、氫氧化鈉、碳酸鈣、氯化鎂、硫酸銅、硼酸、碳酸鎂、喹啉黃、檸檬酸、醋酸及二氧化氯</w:t>
            </w:r>
            <w:r w:rsidRPr="004E7851">
              <w:rPr>
                <w:rFonts w:hAnsi="標楷體" w:cs="標楷體" w:hint="eastAsia"/>
                <w:spacing w:val="21"/>
                <w:kern w:val="0"/>
                <w:sz w:val="28"/>
                <w:szCs w:val="28"/>
              </w:rPr>
              <w:t>、</w:t>
            </w:r>
            <w:r w:rsidR="002A6706" w:rsidRPr="004E7851">
              <w:rPr>
                <w:rFonts w:hAnsi="標楷體" w:cs="標楷體" w:hint="eastAsia"/>
                <w:kern w:val="0"/>
                <w:sz w:val="28"/>
                <w:szCs w:val="28"/>
              </w:rPr>
              <w:t>一氧化鉛、含鉛之氧化鉛、</w:t>
            </w:r>
            <w:r w:rsidR="002A6706" w:rsidRPr="004E7851">
              <w:rPr>
                <w:rFonts w:hAnsi="標楷體" w:cs="標楷體"/>
                <w:kern w:val="0"/>
                <w:sz w:val="28"/>
                <w:szCs w:val="28"/>
              </w:rPr>
              <w:t>β-</w:t>
            </w:r>
            <w:r w:rsidR="002A6706" w:rsidRPr="004E7851">
              <w:rPr>
                <w:rFonts w:hAnsi="標楷體" w:cs="標楷體" w:hint="eastAsia"/>
                <w:kern w:val="0"/>
                <w:sz w:val="28"/>
                <w:szCs w:val="28"/>
              </w:rPr>
              <w:t>荼酚、水楊酸、氟化氫、硫氰酸鈉、硼砂、</w:t>
            </w:r>
            <w:r w:rsidRPr="004E7851">
              <w:rPr>
                <w:rFonts w:hAnsi="標楷體" w:cs="標楷體" w:hint="eastAsia"/>
                <w:kern w:val="0"/>
                <w:sz w:val="28"/>
                <w:szCs w:val="28"/>
              </w:rPr>
              <w:t>矽酸鈉及</w:t>
            </w:r>
            <w:r w:rsidR="002A6706" w:rsidRPr="004E7851">
              <w:rPr>
                <w:rFonts w:hAnsi="標楷體" w:cs="標楷體" w:hint="eastAsia"/>
                <w:kern w:val="0"/>
                <w:sz w:val="28"/>
                <w:szCs w:val="28"/>
              </w:rPr>
              <w:t>硫化鈉</w:t>
            </w:r>
          </w:p>
        </w:tc>
      </w:tr>
    </w:tbl>
    <w:p w:rsidR="00873725" w:rsidRPr="004E7851" w:rsidRDefault="00165763" w:rsidP="00A17B34">
      <w:pPr>
        <w:spacing w:line="360" w:lineRule="exact"/>
        <w:rPr>
          <w:rFonts w:hAnsi="標楷體"/>
          <w:sz w:val="24"/>
          <w:szCs w:val="24"/>
        </w:rPr>
      </w:pPr>
      <w:r w:rsidRPr="004E7851">
        <w:rPr>
          <w:rFonts w:hAnsi="標楷體" w:hint="eastAsia"/>
          <w:sz w:val="24"/>
          <w:szCs w:val="24"/>
        </w:rPr>
        <w:t>註：蘇丹色素在57種具食安風險疑慮化學物質名單中係以1種表示，</w:t>
      </w:r>
      <w:r w:rsidR="00557F9B" w:rsidRPr="004E7851">
        <w:rPr>
          <w:rFonts w:hAnsi="標楷體" w:hint="eastAsia"/>
          <w:sz w:val="24"/>
          <w:szCs w:val="24"/>
        </w:rPr>
        <w:t>環保署</w:t>
      </w:r>
      <w:r w:rsidRPr="004E7851">
        <w:rPr>
          <w:rFonts w:hAnsi="標楷體" w:hint="eastAsia"/>
          <w:sz w:val="24"/>
          <w:szCs w:val="24"/>
        </w:rPr>
        <w:t>經參考食藥署不得添加於食品之蘇丹色素共有8項，一併公告。</w:t>
      </w:r>
    </w:p>
    <w:p w:rsidR="00A17B34" w:rsidRPr="004E7851" w:rsidRDefault="00A17B34" w:rsidP="00A17B34">
      <w:pPr>
        <w:spacing w:line="360" w:lineRule="exact"/>
        <w:rPr>
          <w:rFonts w:hAnsi="標楷體"/>
          <w:sz w:val="24"/>
          <w:szCs w:val="24"/>
        </w:rPr>
      </w:pPr>
      <w:r w:rsidRPr="004E7851">
        <w:rPr>
          <w:rFonts w:hAnsi="標楷體" w:hint="eastAsia"/>
          <w:sz w:val="24"/>
          <w:szCs w:val="24"/>
        </w:rPr>
        <w:t>(資料來源：按環保署提供資料彙整)</w:t>
      </w:r>
    </w:p>
    <w:p w:rsidR="00165763" w:rsidRPr="004E7851" w:rsidRDefault="00165763" w:rsidP="00165763">
      <w:pPr>
        <w:rPr>
          <w:rFonts w:hAnsi="標楷體"/>
          <w:sz w:val="24"/>
          <w:szCs w:val="24"/>
        </w:rPr>
      </w:pPr>
    </w:p>
    <w:p w:rsidR="00E62855" w:rsidRPr="004E7851" w:rsidRDefault="00E62855" w:rsidP="007B453F">
      <w:pPr>
        <w:pStyle w:val="3"/>
        <w:rPr>
          <w:rFonts w:hAnsi="標楷體"/>
        </w:rPr>
      </w:pPr>
      <w:r w:rsidRPr="004E7851">
        <w:rPr>
          <w:rFonts w:hAnsi="標楷體" w:hint="eastAsia"/>
        </w:rPr>
        <w:t>環保署表示略以：硫酸鈉等26種化學物質依「行政院環境保護署篩選認定毒性及關注化學物質作業原則」評估後，因其毒理特性未符合毒性化學物質定義，故未納為毒性化學物質列管。</w:t>
      </w:r>
      <w:r w:rsidR="007B453F" w:rsidRPr="004E7851">
        <w:rPr>
          <w:rFonts w:hAnsi="標楷體" w:hint="eastAsia"/>
        </w:rPr>
        <w:t>……非屬公告列管之化學物質，化學局自106年起透過訪查輔導方式，督促業者做好自主管理，並於107年3月公告「化工原料業及兼售食品添加物業者自主管理作業指引」，落實對化工原料的「四要自主管理」(</w:t>
      </w:r>
      <w:r w:rsidR="007B453F" w:rsidRPr="004E7851">
        <w:rPr>
          <w:rFonts w:hAnsi="標楷體" w:hint="eastAsia"/>
          <w:szCs w:val="32"/>
        </w:rPr>
        <w:t>要分區貯存、要明確標示、要用途告知、要流向紀錄)，106年完成輔導3,117家次、107年完成輔導3,140家次，108年7月底完成輔導1,833家次等語。</w:t>
      </w:r>
    </w:p>
    <w:p w:rsidR="00A21A17" w:rsidRPr="004E7851" w:rsidRDefault="007B453F" w:rsidP="007B453F">
      <w:pPr>
        <w:pStyle w:val="3"/>
        <w:numPr>
          <w:ilvl w:val="0"/>
          <w:numId w:val="0"/>
        </w:numPr>
        <w:ind w:left="1361" w:firstLineChars="183" w:firstLine="622"/>
        <w:rPr>
          <w:rFonts w:hAnsi="標楷體"/>
        </w:rPr>
      </w:pPr>
      <w:r w:rsidRPr="004E7851">
        <w:rPr>
          <w:rFonts w:hAnsi="標楷體" w:hint="eastAsia"/>
          <w:szCs w:val="32"/>
        </w:rPr>
        <w:t>要言之，</w:t>
      </w:r>
      <w:r w:rsidR="007E0837" w:rsidRPr="004E7851">
        <w:rPr>
          <w:rFonts w:hAnsi="標楷體" w:hint="eastAsia"/>
          <w:szCs w:val="32"/>
        </w:rPr>
        <w:t>甲醇</w:t>
      </w:r>
      <w:r w:rsidRPr="004E7851">
        <w:rPr>
          <w:rFonts w:hAnsi="標楷體" w:hint="eastAsia"/>
        </w:rPr>
        <w:t>等26種化學物質因未符合毒化物認定原則，尚無法納為毒性化學物質列管，化學局則以輔導方式，督促業者遵循「四要自主管理」，以降低具食安風險疑慮化學物質進入食物鏈。惟</w:t>
      </w:r>
      <w:r w:rsidR="00A21A17" w:rsidRPr="004E7851">
        <w:rPr>
          <w:rFonts w:hAnsi="標楷體" w:hint="eastAsia"/>
        </w:rPr>
        <w:t>「四要自主管理」並無法律約束力，化學局僅能以「輔導」方式督促業者遵循，且無從訂定相關查核制度及罰則，</w:t>
      </w:r>
      <w:r w:rsidR="00AF09E6" w:rsidRPr="004E7851">
        <w:rPr>
          <w:rFonts w:hAnsi="標楷體" w:hint="eastAsia"/>
        </w:rPr>
        <w:t>易形成具食安風險疑慮化學物質進入食物</w:t>
      </w:r>
      <w:r w:rsidR="00AF09E6" w:rsidRPr="004E7851">
        <w:rPr>
          <w:rFonts w:hAnsi="標楷體" w:hint="eastAsia"/>
        </w:rPr>
        <w:lastRenderedPageBreak/>
        <w:t>鏈管理之漏洞。</w:t>
      </w:r>
    </w:p>
    <w:p w:rsidR="00011B3E" w:rsidRPr="004E7851" w:rsidRDefault="00011B3E" w:rsidP="009B5CC0">
      <w:pPr>
        <w:pStyle w:val="3"/>
        <w:rPr>
          <w:rFonts w:hAnsi="標楷體"/>
        </w:rPr>
      </w:pPr>
      <w:r w:rsidRPr="004E7851">
        <w:rPr>
          <w:rFonts w:hAnsi="標楷體" w:hint="eastAsia"/>
          <w:u w:val="single"/>
        </w:rPr>
        <w:t>毒性及關注化學物質管理法已於108年1月16日經總統修正公布</w:t>
      </w:r>
      <w:r w:rsidRPr="004E7851">
        <w:rPr>
          <w:rFonts w:hAnsi="標楷體" w:hint="eastAsia"/>
        </w:rPr>
        <w:t>名稱及全文75條，原名稱為毒性化學物質管理法，名稱修正為毒性及關注化學物質管理法，</w:t>
      </w:r>
      <w:r w:rsidRPr="004E7851">
        <w:rPr>
          <w:rFonts w:hAnsi="標楷體" w:hint="eastAsia"/>
          <w:u w:val="single"/>
        </w:rPr>
        <w:t>增列「關注化學物質」專章，</w:t>
      </w:r>
      <w:r w:rsidRPr="004E7851">
        <w:rPr>
          <w:rFonts w:hAnsi="標楷體" w:hint="eastAsia"/>
        </w:rPr>
        <w:t>目的在於擴大列管具食安風險疑慮化學物質。按同法第3條第2項及第24條第1項規定：「關注化學物質：指毒性化學物質以外之化學物質，基於其物質特性或國內外關注之民生消費議題，經中央主管機關認定有污染環境或危害人體健康之虞，並公告者。」、「化學物質之特性符合第三條所定關注化學物質定義者，中央主管機關得依管理需要公告為關注化學物質。」</w:t>
      </w:r>
      <w:r w:rsidRPr="004E7851">
        <w:rPr>
          <w:rFonts w:hAnsi="標楷體" w:hint="eastAsia"/>
          <w:u w:val="single"/>
        </w:rPr>
        <w:t>惟該法修正</w:t>
      </w:r>
      <w:r w:rsidR="007E0837" w:rsidRPr="004E7851">
        <w:rPr>
          <w:rFonts w:hAnsi="標楷體" w:hint="eastAsia"/>
          <w:u w:val="single"/>
        </w:rPr>
        <w:t>公布迄今，環保署仍未依法公告關注化學物質，致甲醇等26種具食安風險化學物質之</w:t>
      </w:r>
      <w:r w:rsidR="00024289" w:rsidRPr="004E7851">
        <w:rPr>
          <w:rFonts w:hAnsi="標楷體" w:hint="eastAsia"/>
          <w:u w:val="single"/>
        </w:rPr>
        <w:t>販賣、使用及貯存等</w:t>
      </w:r>
      <w:r w:rsidR="007E0837" w:rsidRPr="004E7851">
        <w:rPr>
          <w:rFonts w:hAnsi="標楷體" w:hint="eastAsia"/>
          <w:u w:val="single"/>
        </w:rPr>
        <w:t>運行</w:t>
      </w:r>
      <w:r w:rsidR="00024289" w:rsidRPr="004E7851">
        <w:rPr>
          <w:rFonts w:hAnsi="標楷體" w:hint="eastAsia"/>
          <w:u w:val="single"/>
        </w:rPr>
        <w:t>作為無法納管</w:t>
      </w:r>
      <w:r w:rsidR="00024289" w:rsidRPr="004E7851">
        <w:rPr>
          <w:rFonts w:hAnsi="標楷體" w:hint="eastAsia"/>
        </w:rPr>
        <w:t>，僅能以「輔導」方式督促業者自我管理，流向難以確實掌握，核有欠妥。</w:t>
      </w:r>
      <w:r w:rsidR="00024289" w:rsidRPr="004E7851">
        <w:rPr>
          <w:rFonts w:hAnsi="標楷體"/>
        </w:rPr>
        <w:t xml:space="preserve"> </w:t>
      </w:r>
    </w:p>
    <w:p w:rsidR="00FE1E46" w:rsidRPr="004E7851" w:rsidRDefault="00024289" w:rsidP="00FE1E46">
      <w:pPr>
        <w:pStyle w:val="3"/>
        <w:rPr>
          <w:rFonts w:hAnsi="標楷體"/>
        </w:rPr>
      </w:pPr>
      <w:r w:rsidRPr="004E7851">
        <w:rPr>
          <w:rFonts w:hAnsi="標楷體" w:hint="eastAsia"/>
        </w:rPr>
        <w:t>承上述，</w:t>
      </w:r>
      <w:r w:rsidR="00FE1E46" w:rsidRPr="004E7851">
        <w:rPr>
          <w:rFonts w:hAnsi="標楷體" w:hint="eastAsia"/>
        </w:rPr>
        <w:t>毒性及關注化學物質管理法已於108年1月16日修正公布迄今，環保署仍未依法公告關注化學物質，致甲醇等26種具食安風險化學物質之販賣、使用及貯存等運行作為無法正式納管，僅能以「輔導」方式督促業者自我管理，流向難以確實掌握，易形成食安風險漏洞，核有欠妥。</w:t>
      </w:r>
      <w:r w:rsidR="00FE1E46" w:rsidRPr="004E7851">
        <w:rPr>
          <w:rFonts w:hAnsi="標楷體"/>
        </w:rPr>
        <w:t xml:space="preserve"> </w:t>
      </w:r>
    </w:p>
    <w:p w:rsidR="00FE1E46" w:rsidRPr="004E7851" w:rsidRDefault="00CD5294" w:rsidP="00CD5294">
      <w:pPr>
        <w:pStyle w:val="2"/>
        <w:rPr>
          <w:rFonts w:hAnsi="標楷體"/>
          <w:b/>
        </w:rPr>
      </w:pPr>
      <w:r w:rsidRPr="004E7851">
        <w:rPr>
          <w:rFonts w:hAnsi="標楷體" w:hint="eastAsia"/>
          <w:b/>
        </w:rPr>
        <w:t>審計部106年度中央政府總決算審核報告所提關於食品雲與「毒性化學物質登記申報系統」介接之逐筆運作紀錄及「統一編號」缺漏等問題，化學局已調整申報系統設計，目前介接狀況已有明顯改善。另由於</w:t>
      </w:r>
      <w:r w:rsidR="00F9016A" w:rsidRPr="004E7851">
        <w:rPr>
          <w:rFonts w:hAnsi="標楷體" w:hint="eastAsia"/>
          <w:b/>
        </w:rPr>
        <w:t>化學雲較食品雲更早建立，且分屬不同主管機關，</w:t>
      </w:r>
      <w:r w:rsidRPr="004E7851">
        <w:rPr>
          <w:rFonts w:hAnsi="標楷體" w:hint="eastAsia"/>
          <w:b/>
        </w:rPr>
        <w:t>食品雲與化學雲系統之建置屬性及目的本不同，在介接上難免遇</w:t>
      </w:r>
      <w:r w:rsidR="00F9016A" w:rsidRPr="004E7851">
        <w:rPr>
          <w:rFonts w:hAnsi="標楷體" w:hint="eastAsia"/>
          <w:b/>
        </w:rPr>
        <w:t>各種技術</w:t>
      </w:r>
      <w:r w:rsidRPr="004E7851">
        <w:rPr>
          <w:rFonts w:hAnsi="標楷體" w:hint="eastAsia"/>
          <w:b/>
        </w:rPr>
        <w:t>問題，仍待</w:t>
      </w:r>
      <w:r w:rsidR="00F9016A" w:rsidRPr="004E7851">
        <w:rPr>
          <w:rFonts w:hAnsi="標楷體" w:hint="eastAsia"/>
          <w:b/>
        </w:rPr>
        <w:t>衛福部</w:t>
      </w:r>
      <w:r w:rsidRPr="004E7851">
        <w:rPr>
          <w:rFonts w:hAnsi="標楷體" w:hint="eastAsia"/>
          <w:b/>
        </w:rPr>
        <w:t>食藥署與</w:t>
      </w:r>
      <w:r w:rsidR="00F9016A" w:rsidRPr="004E7851">
        <w:rPr>
          <w:rFonts w:hAnsi="標楷體" w:hint="eastAsia"/>
          <w:b/>
        </w:rPr>
        <w:t>環保署</w:t>
      </w:r>
      <w:r w:rsidRPr="004E7851">
        <w:rPr>
          <w:rFonts w:hAnsi="標楷體" w:hint="eastAsia"/>
          <w:b/>
        </w:rPr>
        <w:t>化</w:t>
      </w:r>
      <w:r w:rsidRPr="004E7851">
        <w:rPr>
          <w:rFonts w:hAnsi="標楷體" w:hint="eastAsia"/>
          <w:b/>
        </w:rPr>
        <w:lastRenderedPageBreak/>
        <w:t>學局持續積極協議解決，以精進系統的勾稽比對功能。</w:t>
      </w:r>
    </w:p>
    <w:p w:rsidR="00E16EB3" w:rsidRPr="004E7851" w:rsidRDefault="00CE2288" w:rsidP="00DD3451">
      <w:pPr>
        <w:pStyle w:val="3"/>
        <w:rPr>
          <w:rFonts w:hAnsi="標楷體"/>
        </w:rPr>
      </w:pPr>
      <w:r w:rsidRPr="004E7851">
        <w:rPr>
          <w:rFonts w:hAnsi="標楷體" w:hint="eastAsia"/>
        </w:rPr>
        <w:t>據審計部</w:t>
      </w:r>
      <w:r w:rsidR="00DD3451" w:rsidRPr="004E7851">
        <w:rPr>
          <w:rFonts w:hAnsi="標楷體" w:hint="eastAsia"/>
        </w:rPr>
        <w:t>106年度中央政府總決算審核報告指出略以：為防杜化學物質流入食品供應鏈，</w:t>
      </w:r>
      <w:r w:rsidR="00DD3451" w:rsidRPr="004E7851">
        <w:rPr>
          <w:rFonts w:hAnsi="標楷體" w:hint="eastAsia"/>
          <w:u w:val="single"/>
        </w:rPr>
        <w:t>食品雲自104年3月間，即完成與環保署毒性化學物質流向資料之介接，惟迄107年4月26日止，該署尚未能運用該項資料進行跨系統之資料勾稽比對。據說明，環保署前所提供之毒性化學物質流向資料為「合併加總」格式，缺乏逐筆運作紀錄，致無法分析運用</w:t>
      </w:r>
      <w:r w:rsidR="00DD3451" w:rsidRPr="004E7851">
        <w:rPr>
          <w:rFonts w:hAnsi="標楷體" w:hint="eastAsia"/>
        </w:rPr>
        <w:t>；又因毒性化學物質對於製造、輸入、輸出、販賣、運送、使用、貯存、廢棄等8大運作行為均須納管，倘業者之運作行為同時具2項以上者，將無法釐清上下游流向關係，致難供追溯追蹤勾稽應用。嗣經</w:t>
      </w:r>
      <w:r w:rsidR="00DD3451" w:rsidRPr="004E7851">
        <w:rPr>
          <w:rFonts w:hAnsi="標楷體" w:hint="eastAsia"/>
          <w:u w:val="single"/>
        </w:rPr>
        <w:t>該署於106年間，多次與環保署洽談修正化學雲介接欄位事宜，並於107年1月完成重新介接逐日逐筆資料，惟仍囿於毒性化學物質流向資料系統與化學雲之「統一編號」欄位均非必填，資料存有缺漏，肇致資料勾稽缺乏對應之關鍵值，難與食品雲進行後續之資料勾稽應用</w:t>
      </w:r>
      <w:r w:rsidR="009B5891" w:rsidRPr="004E7851">
        <w:rPr>
          <w:rFonts w:hAnsi="標楷體" w:hint="eastAsia"/>
          <w:u w:val="single"/>
        </w:rPr>
        <w:t>等語</w:t>
      </w:r>
      <w:r w:rsidR="00DD3451" w:rsidRPr="004E7851">
        <w:rPr>
          <w:rFonts w:hAnsi="標楷體" w:hint="eastAsia"/>
        </w:rPr>
        <w:t>。</w:t>
      </w:r>
    </w:p>
    <w:p w:rsidR="00B30102" w:rsidRPr="004E7851" w:rsidRDefault="00DD3451" w:rsidP="00B30102">
      <w:pPr>
        <w:pStyle w:val="3"/>
        <w:rPr>
          <w:rFonts w:hAnsi="標楷體"/>
        </w:rPr>
      </w:pPr>
      <w:r w:rsidRPr="004E7851">
        <w:rPr>
          <w:rFonts w:hAnsi="標楷體" w:hint="eastAsia"/>
        </w:rPr>
        <w:t>查食藥署</w:t>
      </w:r>
      <w:r w:rsidR="00000848" w:rsidRPr="004E7851">
        <w:rPr>
          <w:rFonts w:hAnsi="標楷體" w:hint="eastAsia"/>
        </w:rPr>
        <w:t>於</w:t>
      </w:r>
      <w:r w:rsidRPr="004E7851">
        <w:rPr>
          <w:rFonts w:hAnsi="標楷體" w:hint="eastAsia"/>
        </w:rPr>
        <w:t>106年</w:t>
      </w:r>
      <w:r w:rsidR="00000848" w:rsidRPr="004E7851">
        <w:rPr>
          <w:rFonts w:hAnsi="標楷體" w:hint="eastAsia"/>
        </w:rPr>
        <w:t>8月24日</w:t>
      </w:r>
      <w:r w:rsidRPr="004E7851">
        <w:rPr>
          <w:rFonts w:hAnsi="標楷體"/>
        </w:rPr>
        <w:t>「毒性化學物質登記申報系統資料介接討論」</w:t>
      </w:r>
      <w:r w:rsidR="00000848" w:rsidRPr="004E7851">
        <w:rPr>
          <w:rFonts w:hAnsi="標楷體" w:hint="eastAsia"/>
        </w:rPr>
        <w:t>提出增加拋轉「毒性化學物質登記申報系統」資料欄位</w:t>
      </w:r>
      <w:r w:rsidR="009B5891" w:rsidRPr="004E7851">
        <w:rPr>
          <w:rFonts w:hAnsi="標楷體" w:hint="eastAsia"/>
        </w:rPr>
        <w:t>【</w:t>
      </w:r>
      <w:r w:rsidR="00000848" w:rsidRPr="004E7851">
        <w:rPr>
          <w:rFonts w:hAnsi="標楷體" w:hint="eastAsia"/>
        </w:rPr>
        <w:t>撥入量、撥出量、儲存量（增加）、儲存量（減少）、廢棄量、其他增加、其他減少、結餘量及濃度</w:t>
      </w:r>
      <w:r w:rsidR="009B5891" w:rsidRPr="004E7851">
        <w:rPr>
          <w:rFonts w:hAnsi="標楷體" w:hint="eastAsia"/>
        </w:rPr>
        <w:t>】</w:t>
      </w:r>
      <w:r w:rsidR="00B30102" w:rsidRPr="004E7851">
        <w:rPr>
          <w:rFonts w:hAnsi="標楷體" w:hint="eastAsia"/>
        </w:rPr>
        <w:t>等</w:t>
      </w:r>
      <w:r w:rsidR="009B5891" w:rsidRPr="004E7851">
        <w:rPr>
          <w:rFonts w:hAnsi="標楷體" w:hint="eastAsia"/>
        </w:rPr>
        <w:t>意見</w:t>
      </w:r>
      <w:r w:rsidR="00B30102" w:rsidRPr="004E7851">
        <w:rPr>
          <w:rFonts w:hAnsi="標楷體" w:hint="eastAsia"/>
        </w:rPr>
        <w:t>；環保署已於同年9月25日於原介接資料再增列時間、轉入量、轉出量、貯存（寄倉）增加量、貯存（寄倉） 減少量、廢棄量、其他增加量、其他減少量、結餘量及濃度等10個毒性化學物質相關欄位資料，並每月拋轉逐日逐筆之運作紀錄資料。嗣食藥署表示</w:t>
      </w:r>
      <w:r w:rsidR="003D693B" w:rsidRPr="004E7851">
        <w:rPr>
          <w:rFonts w:hAnsi="標楷體" w:hint="eastAsia"/>
        </w:rPr>
        <w:t>略以</w:t>
      </w:r>
      <w:r w:rsidR="00B30102" w:rsidRPr="004E7851">
        <w:rPr>
          <w:rFonts w:hAnsi="標楷體" w:hint="eastAsia"/>
        </w:rPr>
        <w:t>：</w:t>
      </w:r>
      <w:r w:rsidR="00B30102" w:rsidRPr="004E7851">
        <w:rPr>
          <w:rFonts w:hAnsi="標楷體" w:hint="eastAsia"/>
          <w:u w:val="single"/>
        </w:rPr>
        <w:t>有關毒性化學物質申報資料之增列運作時間及轉出入</w:t>
      </w:r>
      <w:r w:rsidR="00B30102" w:rsidRPr="004E7851">
        <w:rPr>
          <w:rFonts w:hAnsi="標楷體" w:hint="eastAsia"/>
          <w:u w:val="single"/>
        </w:rPr>
        <w:lastRenderedPageBreak/>
        <w:t>等10個欄位，食藥署業於106年10月接獲化學局函知介接資料格式更新，並自107年1月初步完成介接作業，逐步清檔後，目前已可達到逐日逐筆資料介接</w:t>
      </w:r>
      <w:r w:rsidR="009B5891" w:rsidRPr="004E7851">
        <w:rPr>
          <w:rFonts w:hAnsi="標楷體" w:hint="eastAsia"/>
          <w:u w:val="single"/>
        </w:rPr>
        <w:t>等語</w:t>
      </w:r>
      <w:r w:rsidR="00B30102" w:rsidRPr="004E7851">
        <w:rPr>
          <w:rFonts w:hAnsi="標楷體" w:hint="eastAsia"/>
        </w:rPr>
        <w:t>。顯見關於</w:t>
      </w:r>
      <w:r w:rsidR="00B30102" w:rsidRPr="004E7851">
        <w:rPr>
          <w:rFonts w:hAnsi="標楷體" w:hint="eastAsia"/>
          <w:szCs w:val="32"/>
        </w:rPr>
        <w:t>毒性化學物質流向資料為「合併加總」格式致缺乏逐筆運作紀錄問題，</w:t>
      </w:r>
      <w:r w:rsidR="00B30102" w:rsidRPr="004E7851">
        <w:rPr>
          <w:rFonts w:hAnsi="標楷體" w:hint="eastAsia"/>
        </w:rPr>
        <w:t>化學局已於系統增列相關欄位設計，食藥署已可就逐日逐筆資料進行介接以追蹤化學物質流向。</w:t>
      </w:r>
    </w:p>
    <w:p w:rsidR="00352991" w:rsidRPr="004E7851" w:rsidRDefault="00B30102" w:rsidP="00CE1ED4">
      <w:pPr>
        <w:pStyle w:val="3"/>
        <w:rPr>
          <w:rFonts w:hAnsi="標楷體"/>
        </w:rPr>
      </w:pPr>
      <w:r w:rsidRPr="004E7851">
        <w:rPr>
          <w:rFonts w:hAnsi="標楷體" w:hint="eastAsia"/>
        </w:rPr>
        <w:t>復</w:t>
      </w:r>
      <w:r w:rsidR="009B5891" w:rsidRPr="004E7851">
        <w:rPr>
          <w:rFonts w:hAnsi="標楷體" w:hint="eastAsia"/>
        </w:rPr>
        <w:t>關於</w:t>
      </w:r>
      <w:r w:rsidR="00352991" w:rsidRPr="004E7851">
        <w:rPr>
          <w:rFonts w:hAnsi="標楷體" w:hint="eastAsia"/>
          <w:u w:val="single"/>
        </w:rPr>
        <w:t>化學局「毒性化學物質登記申報系統</w:t>
      </w:r>
      <w:r w:rsidR="00352991" w:rsidRPr="004E7851">
        <w:rPr>
          <w:rFonts w:hAnsi="標楷體" w:hint="eastAsia"/>
        </w:rPr>
        <w:t>」資料來源，係運作人依毒性及關注化學物質管理法規定項目提交，</w:t>
      </w:r>
      <w:r w:rsidR="00352991" w:rsidRPr="004E7851">
        <w:rPr>
          <w:rFonts w:hAnsi="標楷體" w:hint="eastAsia"/>
          <w:u w:val="single"/>
        </w:rPr>
        <w:t>其中「統一編號」原非必填項目</w:t>
      </w:r>
      <w:r w:rsidR="009B5891" w:rsidRPr="004E7851">
        <w:rPr>
          <w:rFonts w:hAnsi="標楷體" w:hint="eastAsia"/>
          <w:u w:val="single"/>
        </w:rPr>
        <w:t>乙節</w:t>
      </w:r>
      <w:r w:rsidR="00352991" w:rsidRPr="004E7851">
        <w:rPr>
          <w:rFonts w:hAnsi="標楷體" w:hint="eastAsia"/>
        </w:rPr>
        <w:t>。該局表示略以：化學局為配合食藥署需求，已調整該系統設計，</w:t>
      </w:r>
      <w:r w:rsidR="00352991" w:rsidRPr="004E7851">
        <w:rPr>
          <w:rFonts w:hAnsi="標楷體" w:hint="eastAsia"/>
          <w:u w:val="single"/>
        </w:rPr>
        <w:t>於107年7月2日起，列管業者登入系統時，即提醒通知應先填寫統一編號，始可操作後續頁面</w:t>
      </w:r>
      <w:r w:rsidR="00352991" w:rsidRPr="004E7851">
        <w:rPr>
          <w:rFonts w:hAnsi="標楷體" w:hint="eastAsia"/>
        </w:rPr>
        <w:t>，爰此，自107年後列管之毒化物運作業者皆已登載統一編號等語。另食藥署回應指出略以：經109年4月13日檢視結果顯示化學局管轄之「毒性化學物質流向」資料中，共計4,020家業者有登錄統一編號，另有1,234家業者僅有運作人名稱，而無統一編號</w:t>
      </w:r>
      <w:r w:rsidR="00F54BE4" w:rsidRPr="004E7851">
        <w:rPr>
          <w:rFonts w:hAnsi="標楷體" w:hint="eastAsia"/>
        </w:rPr>
        <w:t>；</w:t>
      </w:r>
      <w:r w:rsidR="00352991" w:rsidRPr="004E7851">
        <w:rPr>
          <w:rFonts w:hAnsi="標楷體" w:hint="eastAsia"/>
        </w:rPr>
        <w:t>後經人工檢視後顯示多數業者為醫事機構、政府單位、學研機構，目前透過來源業者統一編號自動拋轉後之資料即可進行食品業者之風險偵測</w:t>
      </w:r>
      <w:r w:rsidR="00F54BE4" w:rsidRPr="004E7851">
        <w:rPr>
          <w:rFonts w:hAnsi="標楷體" w:hint="eastAsia"/>
        </w:rPr>
        <w:t>等語</w:t>
      </w:r>
      <w:r w:rsidR="00352991" w:rsidRPr="004E7851">
        <w:rPr>
          <w:rFonts w:hAnsi="標楷體" w:hint="eastAsia"/>
        </w:rPr>
        <w:t>。</w:t>
      </w:r>
      <w:r w:rsidR="00F54BE4" w:rsidRPr="004E7851">
        <w:rPr>
          <w:rFonts w:hAnsi="標楷體" w:hint="eastAsia"/>
        </w:rPr>
        <w:t>足見「毒性化學物質登記申報系統」缺漏「統一編號」資料問題，自107年起已獲得改善，食藥署目前尚能進行食品雲相關勾稽作業。</w:t>
      </w:r>
    </w:p>
    <w:p w:rsidR="00F54BE4" w:rsidRPr="004E7851" w:rsidRDefault="00F54BE4" w:rsidP="00CE1ED4">
      <w:pPr>
        <w:pStyle w:val="3"/>
        <w:rPr>
          <w:rFonts w:hAnsi="標楷體"/>
        </w:rPr>
      </w:pPr>
      <w:r w:rsidRPr="004E7851">
        <w:rPr>
          <w:rFonts w:hAnsi="標楷體" w:hint="eastAsia"/>
        </w:rPr>
        <w:t>另有關</w:t>
      </w:r>
      <w:r w:rsidRPr="004E7851">
        <w:rPr>
          <w:rFonts w:hAnsi="標楷體" w:hint="eastAsia"/>
          <w:u w:val="single"/>
        </w:rPr>
        <w:t>毒性化學物質對於製造、輸入、輸出、販賣、運送、使用、貯存、廢棄等8大運作行為均須納管，倘業者之運作行為同時具2項以上者，將無法釐清上下游流向關係問題</w:t>
      </w:r>
      <w:r w:rsidR="009B5891" w:rsidRPr="004E7851">
        <w:rPr>
          <w:rFonts w:hAnsi="標楷體" w:hint="eastAsia"/>
        </w:rPr>
        <w:t>。</w:t>
      </w:r>
      <w:r w:rsidRPr="004E7851">
        <w:rPr>
          <w:rFonts w:hAnsi="標楷體" w:hint="eastAsia"/>
        </w:rPr>
        <w:t>食藥署</w:t>
      </w:r>
      <w:r w:rsidR="00D7651A" w:rsidRPr="004E7851">
        <w:rPr>
          <w:rFonts w:hAnsi="標楷體" w:hint="eastAsia"/>
        </w:rPr>
        <w:t>查復</w:t>
      </w:r>
      <w:r w:rsidRPr="004E7851">
        <w:rPr>
          <w:rFonts w:hAnsi="標楷體" w:hint="eastAsia"/>
        </w:rPr>
        <w:t>表示</w:t>
      </w:r>
      <w:r w:rsidR="003D693B" w:rsidRPr="004E7851">
        <w:rPr>
          <w:rFonts w:hAnsi="標楷體" w:hint="eastAsia"/>
        </w:rPr>
        <w:t>略以</w:t>
      </w:r>
      <w:r w:rsidR="00D7651A" w:rsidRPr="004E7851">
        <w:rPr>
          <w:rFonts w:hAnsi="標楷體" w:hint="eastAsia"/>
        </w:rPr>
        <w:t>：毒化物運作資訊中因資料格式的緣故，存有業者於單筆資料中同時申報買入及無涉及金錢交易之化學物</w:t>
      </w:r>
      <w:r w:rsidR="00D7651A" w:rsidRPr="004E7851">
        <w:rPr>
          <w:rFonts w:hAnsi="標楷體" w:hint="eastAsia"/>
        </w:rPr>
        <w:lastRenderedPageBreak/>
        <w:t>質移轉(轉入)行為；如遇此狀況，則不易確認業者是否同時存有2種行為或申報錯誤，以致無法釐清資料正確性，及不易定義業者之間之流向關係，進而無法達到追溯追蹤風險監控之目的等語。</w:t>
      </w:r>
      <w:r w:rsidRPr="004E7851">
        <w:rPr>
          <w:rFonts w:hAnsi="標楷體" w:hint="eastAsia"/>
        </w:rPr>
        <w:t>化學局於本案詢問時</w:t>
      </w:r>
      <w:r w:rsidR="00D7651A" w:rsidRPr="004E7851">
        <w:rPr>
          <w:rFonts w:hAnsi="標楷體" w:hint="eastAsia"/>
        </w:rPr>
        <w:t>回應</w:t>
      </w:r>
      <w:r w:rsidRPr="004E7851">
        <w:rPr>
          <w:rFonts w:hAnsi="標楷體" w:hint="eastAsia"/>
        </w:rPr>
        <w:t>略以：基本上毒化物運行的每一筆資料都有紀錄，</w:t>
      </w:r>
      <w:r w:rsidR="00CD5294" w:rsidRPr="004E7851">
        <w:rPr>
          <w:rFonts w:hAnsi="標楷體" w:hint="eastAsia"/>
        </w:rPr>
        <w:t>會後</w:t>
      </w:r>
      <w:r w:rsidRPr="004E7851">
        <w:rPr>
          <w:rFonts w:hAnsi="標楷體" w:hint="eastAsia"/>
        </w:rPr>
        <w:t>可配合食藥署的需求詳細提供</w:t>
      </w:r>
      <w:r w:rsidR="00CD5294" w:rsidRPr="004E7851">
        <w:rPr>
          <w:rFonts w:hAnsi="標楷體" w:hint="eastAsia"/>
        </w:rPr>
        <w:t>資料</w:t>
      </w:r>
      <w:r w:rsidR="00D7651A" w:rsidRPr="004E7851">
        <w:rPr>
          <w:rFonts w:hAnsi="標楷體" w:hint="eastAsia"/>
        </w:rPr>
        <w:t>等語。由於</w:t>
      </w:r>
      <w:r w:rsidR="00D7651A" w:rsidRPr="004E7851">
        <w:rPr>
          <w:rFonts w:hAnsi="標楷體" w:hint="eastAsia"/>
          <w:u w:val="single"/>
        </w:rPr>
        <w:t>食藥署</w:t>
      </w:r>
      <w:r w:rsidR="00D7651A" w:rsidRPr="004E7851">
        <w:rPr>
          <w:rFonts w:hAnsi="標楷體"/>
          <w:u w:val="single"/>
        </w:rPr>
        <w:t>檢視</w:t>
      </w:r>
      <w:r w:rsidR="00D7651A" w:rsidRPr="004E7851">
        <w:rPr>
          <w:rFonts w:hAnsi="標楷體" w:hint="eastAsia"/>
          <w:u w:val="single"/>
        </w:rPr>
        <w:t>截至109年</w:t>
      </w:r>
      <w:r w:rsidR="00D7651A" w:rsidRPr="004E7851">
        <w:rPr>
          <w:rFonts w:hAnsi="標楷體"/>
          <w:u w:val="single"/>
        </w:rPr>
        <w:t>4月13日資料結果，若選定買入、賣出、輸入、輸出、轉入、轉出、製造等行為，單筆資料同時存有複數運作行為業者為55家，</w:t>
      </w:r>
      <w:r w:rsidR="00D7651A" w:rsidRPr="004E7851">
        <w:rPr>
          <w:rFonts w:hAnsi="標楷體" w:hint="eastAsia"/>
          <w:u w:val="single"/>
        </w:rPr>
        <w:t>因之，此技術性問題仍待食藥署與化學局再行研討解決</w:t>
      </w:r>
      <w:r w:rsidR="00D7651A" w:rsidRPr="004E7851">
        <w:rPr>
          <w:rFonts w:hAnsi="標楷體" w:hint="eastAsia"/>
        </w:rPr>
        <w:t>。</w:t>
      </w:r>
      <w:r w:rsidR="00D7651A" w:rsidRPr="004E7851">
        <w:rPr>
          <w:rFonts w:hAnsi="標楷體"/>
        </w:rPr>
        <w:t xml:space="preserve"> </w:t>
      </w:r>
    </w:p>
    <w:p w:rsidR="00CD5294" w:rsidRPr="004E7851" w:rsidRDefault="00D7651A" w:rsidP="00CE1ED4">
      <w:pPr>
        <w:pStyle w:val="3"/>
        <w:rPr>
          <w:rFonts w:hAnsi="標楷體"/>
        </w:rPr>
      </w:pPr>
      <w:r w:rsidRPr="004E7851">
        <w:rPr>
          <w:rFonts w:hAnsi="標楷體" w:hint="eastAsia"/>
        </w:rPr>
        <w:t>綜上，審計部106年度中央政府總決算審核報告所提關於食品雲與「毒性化學物質登記申報系統」介接之逐筆運作紀錄</w:t>
      </w:r>
      <w:r w:rsidR="00CD5294" w:rsidRPr="004E7851">
        <w:rPr>
          <w:rFonts w:hAnsi="標楷體" w:hint="eastAsia"/>
        </w:rPr>
        <w:t>及</w:t>
      </w:r>
      <w:r w:rsidRPr="004E7851">
        <w:rPr>
          <w:rFonts w:hAnsi="標楷體" w:hint="eastAsia"/>
        </w:rPr>
        <w:t>「統一編號」缺漏</w:t>
      </w:r>
      <w:r w:rsidR="00CD5294" w:rsidRPr="004E7851">
        <w:rPr>
          <w:rFonts w:hAnsi="標楷體" w:hint="eastAsia"/>
        </w:rPr>
        <w:t>等問題，化學局已調整申報系統設計，目前介接狀況已有明顯改善。另由於食品雲與化學雲系統之建置屬性及目的本不同，在介接上難免遇技術上問題，仍待食藥署與化學局持續積極協議解決，以精進系統的勾稽比對功能。</w:t>
      </w:r>
    </w:p>
    <w:p w:rsidR="005939DE" w:rsidRPr="004E7851" w:rsidRDefault="005939DE" w:rsidP="004F3947">
      <w:pPr>
        <w:pStyle w:val="2"/>
        <w:rPr>
          <w:rFonts w:hAnsi="標楷體"/>
          <w:b/>
        </w:rPr>
      </w:pPr>
      <w:r w:rsidRPr="004E7851">
        <w:rPr>
          <w:rFonts w:hAnsi="標楷體" w:hint="eastAsia"/>
          <w:b/>
        </w:rPr>
        <w:t>食品雲建</w:t>
      </w:r>
      <w:r w:rsidR="00F9016A" w:rsidRPr="004E7851">
        <w:rPr>
          <w:rFonts w:hAnsi="標楷體" w:hint="eastAsia"/>
          <w:b/>
        </w:rPr>
        <w:t>置之主要目標，除於食安事件發生時，能迅速掌握問題產品上下游流向、提升追查效能外，尚包括食品危害風險預測及</w:t>
      </w:r>
      <w:r w:rsidRPr="004E7851">
        <w:rPr>
          <w:rFonts w:hAnsi="標楷體" w:hint="eastAsia"/>
          <w:b/>
        </w:rPr>
        <w:t>預警作業。食藥署藉由不同部會巨量資料之介接，雖已建置「食品雲-油品追溯追蹤」、「化學雲-選定化學物質流向」、「化學雲-毒性化學物質流向」等3項監測模組，卻仍未</w:t>
      </w:r>
      <w:r w:rsidR="005A56DB" w:rsidRPr="004E7851">
        <w:rPr>
          <w:rFonts w:hAnsi="標楷體" w:hint="eastAsia"/>
          <w:b/>
          <w:lang w:eastAsia="zh-HK"/>
        </w:rPr>
        <w:t>完成</w:t>
      </w:r>
      <w:r w:rsidRPr="004E7851">
        <w:rPr>
          <w:rFonts w:hAnsi="標楷體" w:hint="eastAsia"/>
          <w:b/>
        </w:rPr>
        <w:t>有效之食安風險預測路徑模型</w:t>
      </w:r>
      <w:r w:rsidR="0091669C" w:rsidRPr="004E7851">
        <w:rPr>
          <w:rFonts w:hAnsi="標楷體" w:hint="eastAsia"/>
          <w:b/>
        </w:rPr>
        <w:t>，</w:t>
      </w:r>
      <w:r w:rsidR="00F9016A" w:rsidRPr="004E7851">
        <w:rPr>
          <w:rFonts w:hAnsi="標楷體" w:hint="eastAsia"/>
          <w:b/>
        </w:rPr>
        <w:t>以</w:t>
      </w:r>
      <w:r w:rsidR="0091669C" w:rsidRPr="004E7851">
        <w:rPr>
          <w:rFonts w:hAnsi="標楷體" w:hint="eastAsia"/>
          <w:b/>
        </w:rPr>
        <w:t>致無法</w:t>
      </w:r>
      <w:r w:rsidRPr="004E7851">
        <w:rPr>
          <w:rFonts w:hAnsi="標楷體" w:hint="eastAsia"/>
          <w:b/>
        </w:rPr>
        <w:t>發揮勾稽預警效能，</w:t>
      </w:r>
      <w:r w:rsidR="00F9016A" w:rsidRPr="004E7851">
        <w:rPr>
          <w:rFonts w:hAnsi="標楷體" w:hint="eastAsia"/>
          <w:b/>
        </w:rPr>
        <w:t>而</w:t>
      </w:r>
      <w:r w:rsidRPr="004E7851">
        <w:rPr>
          <w:rFonts w:hAnsi="標楷體" w:hint="eastAsia"/>
          <w:b/>
        </w:rPr>
        <w:t>相關檢討仍偏重於問題產品追查功能之改進，核有欠妥。</w:t>
      </w:r>
    </w:p>
    <w:p w:rsidR="005D773C" w:rsidRPr="004E7851" w:rsidRDefault="00076354" w:rsidP="00BD0318">
      <w:pPr>
        <w:pStyle w:val="3"/>
        <w:rPr>
          <w:rFonts w:hAnsi="標楷體"/>
        </w:rPr>
      </w:pPr>
      <w:r w:rsidRPr="004E7851">
        <w:rPr>
          <w:rFonts w:hAnsi="標楷體" w:hint="eastAsia"/>
        </w:rPr>
        <w:t>食藥署於</w:t>
      </w:r>
      <w:r w:rsidR="005D773C" w:rsidRPr="004E7851">
        <w:rPr>
          <w:rFonts w:hAnsi="標楷體" w:hint="eastAsia"/>
        </w:rPr>
        <w:t>103年起規劃</w:t>
      </w:r>
      <w:r w:rsidR="00A22438" w:rsidRPr="004E7851">
        <w:rPr>
          <w:rFonts w:hAnsi="標楷體" w:hint="eastAsia"/>
        </w:rPr>
        <w:t>「</w:t>
      </w:r>
      <w:r w:rsidR="005D773C" w:rsidRPr="004E7851">
        <w:rPr>
          <w:rFonts w:hAnsi="標楷體" w:hint="eastAsia"/>
        </w:rPr>
        <w:t>食品安全巨量資料分析及資訊科技化建置計畫」，以104年科發基金計畫及105</w:t>
      </w:r>
      <w:r w:rsidR="005D773C" w:rsidRPr="004E7851">
        <w:rPr>
          <w:rFonts w:hAnsi="標楷體" w:hint="eastAsia"/>
        </w:rPr>
        <w:lastRenderedPageBreak/>
        <w:t>至108年科技計畫，推動建置食品雲。截至108年6月止，除核心食品雲系統外，尚包括環保署、經濟部、財政部、教育部及</w:t>
      </w:r>
      <w:r w:rsidR="00C74FF4" w:rsidRPr="004E7851">
        <w:rPr>
          <w:rFonts w:hAnsi="標楷體" w:hint="eastAsia"/>
        </w:rPr>
        <w:t>農委會</w:t>
      </w:r>
      <w:r w:rsidR="005D773C" w:rsidRPr="004E7851">
        <w:rPr>
          <w:rFonts w:hAnsi="標楷體" w:hint="eastAsia"/>
        </w:rPr>
        <w:t>等5部會的13套資訊系統，共計</w:t>
      </w:r>
      <w:r w:rsidR="00A22438" w:rsidRPr="004E7851">
        <w:rPr>
          <w:rFonts w:hAnsi="標楷體" w:hint="eastAsia"/>
        </w:rPr>
        <w:t>介接數千萬筆資料。至於食藥署對於食品雲巨量資料之運用，查該署</w:t>
      </w:r>
      <w:r w:rsidR="00BD0318" w:rsidRPr="004E7851">
        <w:rPr>
          <w:rFonts w:hAnsi="標楷體" w:hint="eastAsia"/>
        </w:rPr>
        <w:t>於106年建置完成「食品雲-油品追溯追蹤」、「化學雲-選定化學物質流向」、「化學雲-毒性化學物質流向」等3項監測模組，各模組建置目的及運用情形如下：</w:t>
      </w:r>
    </w:p>
    <w:p w:rsidR="00BD0318" w:rsidRPr="004E7851" w:rsidRDefault="00BD0318" w:rsidP="00BD0318">
      <w:pPr>
        <w:pStyle w:val="4"/>
        <w:rPr>
          <w:rFonts w:hAnsi="標楷體"/>
          <w:u w:val="single"/>
        </w:rPr>
      </w:pPr>
      <w:r w:rsidRPr="004E7851">
        <w:rPr>
          <w:rFonts w:hAnsi="標楷體" w:hint="eastAsia"/>
        </w:rPr>
        <w:t>「</w:t>
      </w:r>
      <w:r w:rsidRPr="004E7851">
        <w:rPr>
          <w:rFonts w:hAnsi="標楷體" w:hint="eastAsia"/>
          <w:u w:val="single"/>
        </w:rPr>
        <w:t>食品雲-油品追溯追蹤」模組：</w:t>
      </w:r>
    </w:p>
    <w:p w:rsidR="00BD0318" w:rsidRPr="004E7851" w:rsidRDefault="00BD0318" w:rsidP="00BD0318">
      <w:pPr>
        <w:pStyle w:val="4"/>
        <w:numPr>
          <w:ilvl w:val="0"/>
          <w:numId w:val="0"/>
        </w:numPr>
        <w:ind w:left="1701" w:firstLineChars="208" w:firstLine="708"/>
        <w:rPr>
          <w:rFonts w:hAnsi="標楷體"/>
        </w:rPr>
      </w:pPr>
      <w:r w:rsidRPr="004E7851">
        <w:rPr>
          <w:rFonts w:hAnsi="標楷體" w:hint="eastAsia"/>
          <w:u w:val="single"/>
        </w:rPr>
        <w:t>主要為防堵非食用油流向食品供應鏈之情事，食藥署按「優先稽查建議清單判定原則」，以「非食品流向」、「業者營業身分」及「購買量」等相關因子進行業者關注程度及稽查優先順序之排序；另透過定期召開食用油相關會議，擇定高風險業者實地稽查</w:t>
      </w:r>
      <w:r w:rsidRPr="004E7851">
        <w:rPr>
          <w:rFonts w:hAnsi="標楷體" w:hint="eastAsia"/>
        </w:rPr>
        <w:t>。106年至107年5月止，食藥署共召開5次食用油管理會議，並擇定9家業者實地稽查，稽查結果均未流用於食品用途。</w:t>
      </w:r>
    </w:p>
    <w:p w:rsidR="00BD0318" w:rsidRPr="004E7851" w:rsidRDefault="00BD0318" w:rsidP="00BD0318">
      <w:pPr>
        <w:pStyle w:val="4"/>
        <w:rPr>
          <w:rFonts w:hAnsi="標楷體"/>
          <w:u w:val="single"/>
        </w:rPr>
      </w:pPr>
      <w:r w:rsidRPr="004E7851">
        <w:rPr>
          <w:rFonts w:hAnsi="標楷體" w:hint="eastAsia"/>
        </w:rPr>
        <w:t>「</w:t>
      </w:r>
      <w:r w:rsidRPr="004E7851">
        <w:rPr>
          <w:rFonts w:hAnsi="標楷體" w:hint="eastAsia"/>
          <w:u w:val="single"/>
        </w:rPr>
        <w:t>化學雲-選定化學物質流向」及「化學雲-毒性化學物質流向」模組：</w:t>
      </w:r>
    </w:p>
    <w:p w:rsidR="00BD0318" w:rsidRPr="004E7851" w:rsidRDefault="00BD0318" w:rsidP="00BD0318">
      <w:pPr>
        <w:pStyle w:val="4"/>
        <w:numPr>
          <w:ilvl w:val="0"/>
          <w:numId w:val="0"/>
        </w:numPr>
        <w:ind w:left="1701" w:firstLineChars="208" w:firstLine="708"/>
        <w:rPr>
          <w:rFonts w:hAnsi="標楷體"/>
        </w:rPr>
      </w:pPr>
      <w:r w:rsidRPr="004E7851">
        <w:rPr>
          <w:rFonts w:hAnsi="標楷體" w:hint="eastAsia"/>
          <w:u w:val="single"/>
        </w:rPr>
        <w:t>主要為監控兼具食品業者與選定化學物質及毒性化學物質運作業者之化學物質運作流向，防堵非准用化學物質流入食品供應鏈之風險。食藥署根據化學雲拋轉資料，結合優先稽查建議清單關注程度判定原則</w:t>
      </w:r>
      <w:r w:rsidRPr="004E7851">
        <w:rPr>
          <w:rFonts w:hAnsi="標楷體" w:hint="eastAsia"/>
        </w:rPr>
        <w:t>，如「化學物質是否准用食品」、「賣方是否有食品添加物產品登錄碼」、「買方是否有食品業以外身分」等因素，</w:t>
      </w:r>
      <w:r w:rsidRPr="004E7851">
        <w:rPr>
          <w:rFonts w:hAnsi="標楷體" w:hint="eastAsia"/>
          <w:u w:val="single"/>
        </w:rPr>
        <w:t>判斷業者可能風險，並產出稽查之高風險業者清單</w:t>
      </w:r>
      <w:r w:rsidRPr="004E7851">
        <w:rPr>
          <w:rFonts w:hAnsi="標楷體" w:hint="eastAsia"/>
        </w:rPr>
        <w:t>。針對選定化學物質，食藥署於106年至108年上半年啟動稽查，結果尚無有流入食品鏈。</w:t>
      </w:r>
    </w:p>
    <w:p w:rsidR="002E727E" w:rsidRPr="004E7851" w:rsidRDefault="002E727E" w:rsidP="004F3947">
      <w:pPr>
        <w:pStyle w:val="3"/>
        <w:rPr>
          <w:rFonts w:hAnsi="標楷體"/>
        </w:rPr>
      </w:pPr>
      <w:r w:rsidRPr="004E7851">
        <w:rPr>
          <w:rFonts w:hAnsi="標楷體" w:hint="eastAsia"/>
        </w:rPr>
        <w:t>按食品雲之建置，係以追溯追蹤資訊橫向串連為目</w:t>
      </w:r>
      <w:r w:rsidRPr="004E7851">
        <w:rPr>
          <w:rFonts w:hAnsi="標楷體" w:hint="eastAsia"/>
        </w:rPr>
        <w:lastRenderedPageBreak/>
        <w:t>標，推動跨部會系統資料相互介接，</w:t>
      </w:r>
      <w:r w:rsidR="008A5B83" w:rsidRPr="004E7851">
        <w:rPr>
          <w:rFonts w:hAnsi="標楷體" w:hint="eastAsia"/>
        </w:rPr>
        <w:t>冀</w:t>
      </w:r>
      <w:r w:rsidRPr="004E7851">
        <w:rPr>
          <w:rFonts w:hAnsi="標楷體" w:hint="eastAsia"/>
        </w:rPr>
        <w:t>透過部會間協力合作及資訊串連，構築食品風險預判及事件快速流向追查機制，增進政府食安風險預警能力及問題產品流向追查效能</w:t>
      </w:r>
      <w:r w:rsidR="002C05BD" w:rsidRPr="004E7851">
        <w:rPr>
          <w:rFonts w:hAnsi="標楷體" w:hint="eastAsia"/>
        </w:rPr>
        <w:t>；</w:t>
      </w:r>
      <w:r w:rsidR="00D14792" w:rsidRPr="004E7851">
        <w:rPr>
          <w:rFonts w:hAnsi="標楷體" w:hint="eastAsia"/>
        </w:rPr>
        <w:t>且食藥署105至108年食品雲巨量資料分析系統之建置費及維運經費決算數合計分別為4</w:t>
      </w:r>
      <w:r w:rsidR="00D14792" w:rsidRPr="004E7851">
        <w:rPr>
          <w:rFonts w:hAnsi="標楷體"/>
        </w:rPr>
        <w:t>,</w:t>
      </w:r>
      <w:r w:rsidR="00D14792" w:rsidRPr="004E7851">
        <w:rPr>
          <w:rFonts w:hAnsi="標楷體" w:hint="eastAsia"/>
        </w:rPr>
        <w:t>880、4</w:t>
      </w:r>
      <w:r w:rsidR="00D14792" w:rsidRPr="004E7851">
        <w:rPr>
          <w:rFonts w:hAnsi="標楷體"/>
        </w:rPr>
        <w:t>,</w:t>
      </w:r>
      <w:r w:rsidR="00D14792" w:rsidRPr="004E7851">
        <w:rPr>
          <w:rFonts w:hAnsi="標楷體" w:hint="eastAsia"/>
        </w:rPr>
        <w:t>101、4</w:t>
      </w:r>
      <w:r w:rsidR="00D14792" w:rsidRPr="004E7851">
        <w:rPr>
          <w:rFonts w:hAnsi="標楷體"/>
        </w:rPr>
        <w:t>,</w:t>
      </w:r>
      <w:r w:rsidR="00D14792" w:rsidRPr="004E7851">
        <w:rPr>
          <w:rFonts w:hAnsi="標楷體" w:hint="eastAsia"/>
        </w:rPr>
        <w:t>304及4</w:t>
      </w:r>
      <w:r w:rsidR="00D14792" w:rsidRPr="004E7851">
        <w:rPr>
          <w:rFonts w:hAnsi="標楷體"/>
        </w:rPr>
        <w:t>,</w:t>
      </w:r>
      <w:r w:rsidR="00D14792" w:rsidRPr="004E7851">
        <w:rPr>
          <w:rFonts w:hAnsi="標楷體" w:hint="eastAsia"/>
        </w:rPr>
        <w:t>040萬餘元。</w:t>
      </w:r>
      <w:r w:rsidR="008A5B83" w:rsidRPr="004E7851">
        <w:rPr>
          <w:rFonts w:hAnsi="標楷體" w:hint="eastAsia"/>
        </w:rPr>
        <w:t>惟</w:t>
      </w:r>
      <w:r w:rsidR="00D14792" w:rsidRPr="004E7851">
        <w:rPr>
          <w:rFonts w:hAnsi="標楷體" w:hint="eastAsia"/>
        </w:rPr>
        <w:t>該</w:t>
      </w:r>
      <w:r w:rsidR="00BD0318" w:rsidRPr="004E7851">
        <w:rPr>
          <w:rFonts w:hAnsi="標楷體" w:hint="eastAsia"/>
        </w:rPr>
        <w:t>自106年建置完成「食品雲-油品追溯追蹤」、「化學雲-選定化學物質流向」、「化學雲-毒性化學物質流向」等3項監測模組，</w:t>
      </w:r>
      <w:r w:rsidR="008A5B83" w:rsidRPr="004E7851">
        <w:rPr>
          <w:rFonts w:hAnsi="標楷體" w:hint="eastAsia"/>
        </w:rPr>
        <w:t>希望產出預警功能機制，以</w:t>
      </w:r>
      <w:r w:rsidR="00BD0318" w:rsidRPr="004E7851">
        <w:rPr>
          <w:rFonts w:hAnsi="標楷體" w:hint="eastAsia"/>
        </w:rPr>
        <w:t>防堵非食用</w:t>
      </w:r>
      <w:r w:rsidRPr="004E7851">
        <w:rPr>
          <w:rFonts w:hAnsi="標楷體" w:hint="eastAsia"/>
        </w:rPr>
        <w:t>油及化學物質流入食品鏈，</w:t>
      </w:r>
      <w:r w:rsidR="00D14792" w:rsidRPr="004E7851">
        <w:rPr>
          <w:rFonts w:hAnsi="標楷體" w:hint="eastAsia"/>
        </w:rPr>
        <w:t>但</w:t>
      </w:r>
      <w:r w:rsidRPr="004E7851">
        <w:rPr>
          <w:rFonts w:hAnsi="標楷體" w:hint="eastAsia"/>
        </w:rPr>
        <w:t>經該等監測模組所產出之高風險業者名單，經該署實地稽查結果，均未發現異常情事，是</w:t>
      </w:r>
      <w:r w:rsidR="008A5B83" w:rsidRPr="004E7851">
        <w:rPr>
          <w:rFonts w:hAnsi="標楷體" w:hint="eastAsia"/>
        </w:rPr>
        <w:t>該等</w:t>
      </w:r>
      <w:r w:rsidRPr="004E7851">
        <w:rPr>
          <w:rFonts w:hAnsi="標楷體" w:hint="eastAsia"/>
        </w:rPr>
        <w:t>監測模組</w:t>
      </w:r>
      <w:r w:rsidR="009A309E" w:rsidRPr="004E7851">
        <w:rPr>
          <w:rFonts w:hAnsi="標楷體" w:hint="eastAsia"/>
        </w:rPr>
        <w:t>並</w:t>
      </w:r>
      <w:r w:rsidRPr="004E7851">
        <w:rPr>
          <w:rFonts w:hAnsi="標楷體" w:hint="eastAsia"/>
        </w:rPr>
        <w:t>未發揮勾稽預警功能。</w:t>
      </w:r>
    </w:p>
    <w:p w:rsidR="008D1291" w:rsidRPr="004E7851" w:rsidRDefault="009A309E" w:rsidP="004F3947">
      <w:pPr>
        <w:pStyle w:val="3"/>
        <w:rPr>
          <w:rFonts w:hAnsi="標楷體"/>
        </w:rPr>
      </w:pPr>
      <w:r w:rsidRPr="004E7851">
        <w:rPr>
          <w:rFonts w:hAnsi="標楷體" w:hint="eastAsia"/>
        </w:rPr>
        <w:t>有關精進食品雲系統應用</w:t>
      </w:r>
      <w:r w:rsidR="008D1291" w:rsidRPr="004E7851">
        <w:rPr>
          <w:rFonts w:hAnsi="標楷體" w:hint="eastAsia"/>
        </w:rPr>
        <w:t>之檢討</w:t>
      </w:r>
      <w:r w:rsidRPr="004E7851">
        <w:rPr>
          <w:rFonts w:hAnsi="標楷體" w:hint="eastAsia"/>
        </w:rPr>
        <w:t>，</w:t>
      </w:r>
      <w:r w:rsidR="002C05BD" w:rsidRPr="004E7851">
        <w:rPr>
          <w:rFonts w:hAnsi="標楷體" w:hint="eastAsia"/>
        </w:rPr>
        <w:t>食藥署表示</w:t>
      </w:r>
      <w:r w:rsidR="003D693B" w:rsidRPr="004E7851">
        <w:rPr>
          <w:rFonts w:hAnsi="標楷體" w:hint="eastAsia"/>
        </w:rPr>
        <w:t>略以</w:t>
      </w:r>
      <w:r w:rsidR="002C05BD" w:rsidRPr="004E7851">
        <w:rPr>
          <w:rFonts w:hAnsi="標楷體" w:hint="eastAsia"/>
        </w:rPr>
        <w:t>：</w:t>
      </w:r>
      <w:r w:rsidR="008D1291" w:rsidRPr="004E7851">
        <w:rPr>
          <w:rFonts w:hAnsi="標楷體" w:hint="eastAsia"/>
        </w:rPr>
        <w:t>為於食安事件發生第一時間即時掌握上下游業者交易脈絡，加速攔截問題產品並進行下架回收銷毀作業，將持續精進非追不可系統資料之應用，透過大數據分析，並導入社會網絡分析（SNA）技術於食品供應鏈上應用，優先監控具高影響力之關鍵業者，降低問題產品及事件衝擊之影響範圍及後續效應，有效抑止食安問題持續擴大等語。</w:t>
      </w:r>
    </w:p>
    <w:p w:rsidR="005D773C" w:rsidRPr="004E7851" w:rsidRDefault="008D1291" w:rsidP="008D1291">
      <w:pPr>
        <w:pStyle w:val="3"/>
        <w:numPr>
          <w:ilvl w:val="0"/>
          <w:numId w:val="0"/>
        </w:numPr>
        <w:ind w:left="1361" w:firstLineChars="183" w:firstLine="622"/>
        <w:rPr>
          <w:rFonts w:hAnsi="標楷體"/>
        </w:rPr>
      </w:pPr>
      <w:r w:rsidRPr="004E7851">
        <w:rPr>
          <w:rFonts w:hAnsi="標楷體" w:hint="eastAsia"/>
        </w:rPr>
        <w:t>足見食藥署對於食品雲功能運用檢討，著重於提升問題產品流向追查效能，對於原本執行成效不彰之勾稽預警功能，卻仍未見檢討改善之道。</w:t>
      </w:r>
    </w:p>
    <w:p w:rsidR="0091669C" w:rsidRPr="004E7851" w:rsidRDefault="008D1291" w:rsidP="0091669C">
      <w:pPr>
        <w:pStyle w:val="3"/>
        <w:rPr>
          <w:rFonts w:hAnsi="標楷體"/>
        </w:rPr>
      </w:pPr>
      <w:r w:rsidRPr="004E7851">
        <w:rPr>
          <w:rFonts w:hAnsi="標楷體" w:hint="eastAsia"/>
        </w:rPr>
        <w:t>基上，</w:t>
      </w:r>
      <w:r w:rsidR="0091669C" w:rsidRPr="004E7851">
        <w:rPr>
          <w:rFonts w:hAnsi="標楷體" w:hint="eastAsia"/>
        </w:rPr>
        <w:t>食品雲建置之主要目標，除於食安事件發生時，能迅速掌握問題產品上下游流向，提升追查效能外，尚包括食品危害風險預測與預警作業。食藥署藉由不同部會巨量資料之介接，雖已建置「食品雲-油品追溯追蹤」、「化學雲-選定化學物質流向」、「化學雲-毒性化學物質流向」等3項監測模組，卻</w:t>
      </w:r>
      <w:r w:rsidR="0091669C" w:rsidRPr="004E7851">
        <w:rPr>
          <w:rFonts w:hAnsi="標楷體" w:hint="eastAsia"/>
        </w:rPr>
        <w:lastRenderedPageBreak/>
        <w:t>仍未</w:t>
      </w:r>
      <w:r w:rsidR="00CB5635" w:rsidRPr="004E7851">
        <w:rPr>
          <w:rFonts w:hAnsi="標楷體" w:hint="eastAsia"/>
          <w:lang w:eastAsia="zh-HK"/>
        </w:rPr>
        <w:t>完成</w:t>
      </w:r>
      <w:r w:rsidR="0091669C" w:rsidRPr="004E7851">
        <w:rPr>
          <w:rFonts w:hAnsi="標楷體" w:hint="eastAsia"/>
        </w:rPr>
        <w:t>有效之食安風險預測路徑模型，致無法發揮勾稽預警效能，且相關檢討仍偏重於問題產品追查功能之改進，核有欠妥。</w:t>
      </w:r>
    </w:p>
    <w:p w:rsidR="00B55ECF" w:rsidRPr="004E7851" w:rsidRDefault="00B55ECF" w:rsidP="007048C1">
      <w:pPr>
        <w:pStyle w:val="2"/>
        <w:numPr>
          <w:ilvl w:val="1"/>
          <w:numId w:val="1"/>
        </w:numPr>
        <w:rPr>
          <w:rFonts w:hAnsi="標楷體"/>
          <w:b/>
          <w:szCs w:val="36"/>
          <w:lang w:eastAsia="zh-HK"/>
        </w:rPr>
      </w:pPr>
      <w:r w:rsidRPr="004E7851">
        <w:rPr>
          <w:rFonts w:hAnsi="標楷體" w:hint="eastAsia"/>
          <w:b/>
          <w:lang w:eastAsia="zh-HK"/>
        </w:rPr>
        <w:t>截至</w:t>
      </w:r>
      <w:r w:rsidR="00B70A2D" w:rsidRPr="004E7851">
        <w:rPr>
          <w:rFonts w:hAnsi="標楷體" w:hint="eastAsia"/>
          <w:b/>
          <w:lang w:eastAsia="zh-HK"/>
        </w:rPr>
        <w:t>109年5月底</w:t>
      </w:r>
      <w:r w:rsidRPr="004E7851">
        <w:rPr>
          <w:rFonts w:hAnsi="標楷體" w:hint="eastAsia"/>
          <w:b/>
          <w:lang w:eastAsia="zh-HK"/>
        </w:rPr>
        <w:t>，屬衛福部公告指定應遵照食安法第9條第</w:t>
      </w:r>
      <w:r w:rsidRPr="004E7851">
        <w:rPr>
          <w:rFonts w:hAnsi="標楷體" w:hint="eastAsia"/>
          <w:b/>
        </w:rPr>
        <w:t>3</w:t>
      </w:r>
      <w:r w:rsidRPr="004E7851">
        <w:rPr>
          <w:rFonts w:hAnsi="標楷體" w:hint="eastAsia"/>
          <w:b/>
          <w:lang w:eastAsia="zh-HK"/>
        </w:rPr>
        <w:t>項規定強制使用電子發票之食品業者共22個類別，惟衛福部與財政部輔導、推廣不力，肇使仍有</w:t>
      </w:r>
      <w:r w:rsidR="00B70A2D" w:rsidRPr="004E7851">
        <w:rPr>
          <w:rFonts w:hAnsi="標楷體" w:cs="Arial" w:hint="eastAsia"/>
          <w:b/>
        </w:rPr>
        <w:t>1,189</w:t>
      </w:r>
      <w:r w:rsidR="00B70A2D" w:rsidRPr="004E7851">
        <w:rPr>
          <w:rFonts w:hAnsi="標楷體" w:cs="Arial" w:hint="eastAsia"/>
          <w:b/>
          <w:lang w:eastAsia="zh-HK"/>
        </w:rPr>
        <w:t>家</w:t>
      </w:r>
      <w:r w:rsidRPr="004E7851">
        <w:rPr>
          <w:rFonts w:hAnsi="標楷體" w:hint="eastAsia"/>
          <w:b/>
          <w:lang w:eastAsia="zh-HK"/>
        </w:rPr>
        <w:t>食品業者尚未落實開立電子發票</w:t>
      </w:r>
      <w:r w:rsidR="00B70A2D" w:rsidRPr="004E7851">
        <w:rPr>
          <w:rFonts w:hAnsi="標楷體" w:hint="eastAsia"/>
          <w:b/>
        </w:rPr>
        <w:t>，</w:t>
      </w:r>
      <w:r w:rsidR="00F5386B" w:rsidRPr="004E7851">
        <w:rPr>
          <w:rFonts w:hAnsi="標楷體" w:hint="eastAsia"/>
          <w:b/>
          <w:lang w:eastAsia="zh-HK"/>
        </w:rPr>
        <w:t>並囿於</w:t>
      </w:r>
      <w:r w:rsidR="003C0DB7" w:rsidRPr="004E7851">
        <w:rPr>
          <w:rFonts w:hAnsi="標楷體" w:hint="eastAsia"/>
          <w:b/>
          <w:lang w:eastAsia="zh-HK"/>
        </w:rPr>
        <w:t>使用電子發票業者近一個月內財稅資料</w:t>
      </w:r>
      <w:r w:rsidR="00F15A2C" w:rsidRPr="004E7851">
        <w:rPr>
          <w:rFonts w:hAnsi="標楷體" w:hint="eastAsia"/>
          <w:b/>
          <w:lang w:eastAsia="zh-HK"/>
        </w:rPr>
        <w:t>無法即時查調</w:t>
      </w:r>
      <w:r w:rsidR="00F5386B" w:rsidRPr="004E7851">
        <w:rPr>
          <w:rFonts w:hAnsi="標楷體" w:hint="eastAsia"/>
          <w:b/>
          <w:lang w:eastAsia="zh-HK"/>
        </w:rPr>
        <w:t>，在在形成食品安全</w:t>
      </w:r>
      <w:r w:rsidR="00F5386B" w:rsidRPr="004E7851">
        <w:rPr>
          <w:rFonts w:hAnsi="標楷體"/>
          <w:b/>
          <w:lang w:eastAsia="zh-HK"/>
        </w:rPr>
        <w:t>資訊化</w:t>
      </w:r>
      <w:r w:rsidR="00F5386B" w:rsidRPr="004E7851">
        <w:rPr>
          <w:rFonts w:hAnsi="標楷體" w:hint="eastAsia"/>
          <w:b/>
          <w:lang w:eastAsia="zh-HK"/>
        </w:rPr>
        <w:t>管理之破口</w:t>
      </w:r>
      <w:r w:rsidRPr="004E7851">
        <w:rPr>
          <w:rFonts w:hAnsi="標楷體" w:hint="eastAsia"/>
          <w:b/>
        </w:rPr>
        <w:t>；</w:t>
      </w:r>
      <w:r w:rsidRPr="004E7851">
        <w:rPr>
          <w:rFonts w:hAnsi="標楷體" w:hint="eastAsia"/>
          <w:b/>
          <w:lang w:eastAsia="zh-HK"/>
        </w:rPr>
        <w:t>且，衛福部允應加速推動其他類別之食品業者使用電子發票之期程，避免黑心食品事件發生時，需要動用龐大人力與耗費大量時間追查，或真實交易難以舉證而影響犯罪之訴追；又，食品</w:t>
      </w:r>
      <w:r w:rsidRPr="004E7851">
        <w:rPr>
          <w:rFonts w:hAnsi="標楷體"/>
          <w:b/>
          <w:lang w:eastAsia="zh-HK"/>
        </w:rPr>
        <w:t>業者開立電子發票之相關</w:t>
      </w:r>
      <w:r w:rsidRPr="004E7851">
        <w:rPr>
          <w:rFonts w:hAnsi="標楷體"/>
          <w:b/>
          <w:szCs w:val="36"/>
          <w:lang w:eastAsia="zh-HK"/>
        </w:rPr>
        <w:t>欄位填寫規則</w:t>
      </w:r>
      <w:r w:rsidRPr="004E7851">
        <w:rPr>
          <w:rFonts w:hAnsi="標楷體" w:hint="eastAsia"/>
          <w:b/>
          <w:szCs w:val="36"/>
          <w:lang w:eastAsia="zh-HK"/>
        </w:rPr>
        <w:t>並未統一</w:t>
      </w:r>
      <w:r w:rsidRPr="004E7851">
        <w:rPr>
          <w:rFonts w:hAnsi="標楷體"/>
          <w:b/>
          <w:szCs w:val="36"/>
          <w:lang w:eastAsia="zh-HK"/>
        </w:rPr>
        <w:t>，</w:t>
      </w:r>
      <w:r w:rsidRPr="004E7851">
        <w:rPr>
          <w:rFonts w:hAnsi="標楷體" w:hint="eastAsia"/>
          <w:b/>
          <w:szCs w:val="36"/>
          <w:lang w:eastAsia="zh-HK"/>
        </w:rPr>
        <w:t>影響</w:t>
      </w:r>
      <w:r w:rsidRPr="004E7851">
        <w:rPr>
          <w:rFonts w:hAnsi="標楷體" w:hint="eastAsia"/>
          <w:b/>
          <w:lang w:eastAsia="zh-HK"/>
        </w:rPr>
        <w:t>食品雲</w:t>
      </w:r>
      <w:r w:rsidRPr="004E7851">
        <w:rPr>
          <w:rFonts w:hAnsi="標楷體" w:hint="eastAsia"/>
          <w:b/>
          <w:szCs w:val="36"/>
          <w:lang w:eastAsia="zh-HK"/>
        </w:rPr>
        <w:t>與電子發票系統介接資料品質，尤其，衛福部與財政部尚需</w:t>
      </w:r>
      <w:r w:rsidRPr="004E7851">
        <w:rPr>
          <w:rFonts w:hAnsi="標楷體"/>
          <w:b/>
          <w:szCs w:val="36"/>
          <w:lang w:eastAsia="zh-HK"/>
        </w:rPr>
        <w:t>費時討論</w:t>
      </w:r>
      <w:r w:rsidRPr="004E7851">
        <w:rPr>
          <w:rFonts w:hAnsi="標楷體" w:hint="eastAsia"/>
          <w:b/>
          <w:szCs w:val="36"/>
          <w:lang w:eastAsia="zh-HK"/>
        </w:rPr>
        <w:t>解決整合兩系統</w:t>
      </w:r>
      <w:r w:rsidRPr="004E7851">
        <w:rPr>
          <w:rFonts w:hAnsi="標楷體"/>
          <w:b/>
          <w:szCs w:val="36"/>
          <w:lang w:eastAsia="zh-HK"/>
        </w:rPr>
        <w:t>資</w:t>
      </w:r>
      <w:r w:rsidRPr="004E7851">
        <w:rPr>
          <w:rFonts w:hAnsi="標楷體" w:hint="eastAsia"/>
          <w:b/>
          <w:szCs w:val="36"/>
          <w:lang w:eastAsia="zh-HK"/>
        </w:rPr>
        <w:t>料之傳輸、欄位、列載、勾稽等差異及其他技術性困難問題；另，食品安全之危機與防範並不僅限於食品業別，然農委會迄未確實依照飼料管理法第8條之1第1項規定公告飼料業者分階段使用電子發票之實施日期，上開規定形同具文，而環保署修法強制規範化學相關業者開立電子發票之作業亦顯遲緩，胥賴衛福部根據食安法要求食品業者開立電子發票，危害食品溯源追蹤網絡之構築，影響</w:t>
      </w:r>
      <w:r w:rsidRPr="004E7851">
        <w:rPr>
          <w:rFonts w:hAnsi="標楷體"/>
          <w:b/>
          <w:szCs w:val="36"/>
          <w:lang w:eastAsia="zh-HK"/>
        </w:rPr>
        <w:t>消費</w:t>
      </w:r>
      <w:r w:rsidRPr="004E7851">
        <w:rPr>
          <w:rFonts w:hAnsi="標楷體" w:hint="eastAsia"/>
          <w:b/>
          <w:szCs w:val="36"/>
          <w:lang w:eastAsia="zh-HK"/>
        </w:rPr>
        <w:t>者食的安全、食的安心之</w:t>
      </w:r>
      <w:r w:rsidRPr="004E7851">
        <w:rPr>
          <w:rFonts w:hAnsi="標楷體"/>
          <w:b/>
          <w:szCs w:val="36"/>
          <w:lang w:eastAsia="zh-HK"/>
        </w:rPr>
        <w:t>權益</w:t>
      </w:r>
      <w:r w:rsidRPr="004E7851">
        <w:rPr>
          <w:rFonts w:hAnsi="標楷體" w:hint="eastAsia"/>
          <w:b/>
          <w:szCs w:val="36"/>
        </w:rPr>
        <w:t>，</w:t>
      </w:r>
      <w:r w:rsidRPr="004E7851">
        <w:rPr>
          <w:rFonts w:hAnsi="標楷體" w:hint="eastAsia"/>
          <w:b/>
          <w:szCs w:val="36"/>
          <w:lang w:eastAsia="zh-HK"/>
        </w:rPr>
        <w:t>行政院</w:t>
      </w:r>
      <w:r w:rsidRPr="004E7851">
        <w:rPr>
          <w:rFonts w:hAnsi="標楷體"/>
          <w:b/>
          <w:szCs w:val="36"/>
          <w:lang w:eastAsia="zh-HK"/>
        </w:rPr>
        <w:t>亟應督</w:t>
      </w:r>
      <w:r w:rsidRPr="004E7851">
        <w:rPr>
          <w:rFonts w:hAnsi="標楷體" w:hint="eastAsia"/>
          <w:b/>
          <w:szCs w:val="36"/>
          <w:lang w:eastAsia="zh-HK"/>
        </w:rPr>
        <w:t>導</w:t>
      </w:r>
      <w:r w:rsidRPr="004E7851">
        <w:rPr>
          <w:rFonts w:hAnsi="標楷體"/>
          <w:b/>
          <w:szCs w:val="36"/>
          <w:lang w:eastAsia="zh-HK"/>
        </w:rPr>
        <w:t>所屬積極檢討改善</w:t>
      </w:r>
      <w:r w:rsidRPr="004E7851">
        <w:rPr>
          <w:rFonts w:hAnsi="標楷體" w:hint="eastAsia"/>
          <w:b/>
          <w:szCs w:val="36"/>
          <w:lang w:eastAsia="zh-HK"/>
        </w:rPr>
        <w:t>。</w:t>
      </w:r>
    </w:p>
    <w:p w:rsidR="00C35AB6" w:rsidRPr="004E7851" w:rsidRDefault="00B55ECF" w:rsidP="000812D1">
      <w:pPr>
        <w:pStyle w:val="3"/>
        <w:numPr>
          <w:ilvl w:val="2"/>
          <w:numId w:val="13"/>
        </w:numPr>
        <w:rPr>
          <w:rFonts w:hAnsi="標楷體"/>
          <w:b/>
          <w:lang w:eastAsia="zh-HK"/>
        </w:rPr>
      </w:pPr>
      <w:r w:rsidRPr="004E7851">
        <w:rPr>
          <w:rFonts w:hAnsi="標楷體" w:hint="eastAsia"/>
          <w:lang w:eastAsia="zh-HK"/>
        </w:rPr>
        <w:t>經查，為利食品追溯追蹤，落實源頭</w:t>
      </w:r>
      <w:r w:rsidRPr="004E7851">
        <w:rPr>
          <w:rFonts w:hAnsi="標楷體" w:cs="Arial" w:hint="eastAsia"/>
          <w:lang w:eastAsia="zh-HK"/>
        </w:rPr>
        <w:t>管理之目的，有關食品業者強制開立電子發票之法令依據及罰則，按食安法第9條第</w:t>
      </w:r>
      <w:r w:rsidRPr="004E7851">
        <w:rPr>
          <w:rFonts w:hAnsi="標楷體" w:cs="Arial" w:hint="eastAsia"/>
        </w:rPr>
        <w:t>3</w:t>
      </w:r>
      <w:r w:rsidRPr="004E7851">
        <w:rPr>
          <w:rFonts w:hAnsi="標楷體" w:cs="Arial" w:hint="eastAsia"/>
          <w:lang w:eastAsia="zh-HK"/>
        </w:rPr>
        <w:t>項</w:t>
      </w:r>
      <w:r w:rsidRPr="004E7851">
        <w:rPr>
          <w:rFonts w:hAnsi="標楷體" w:cs="Arial" w:hint="eastAsia"/>
        </w:rPr>
        <w:t>、</w:t>
      </w:r>
      <w:r w:rsidRPr="004E7851">
        <w:rPr>
          <w:rFonts w:hAnsi="標楷體" w:cs="Arial" w:hint="eastAsia"/>
          <w:lang w:eastAsia="zh-HK"/>
        </w:rPr>
        <w:t>第47條第3款、第48條第5款分別規定：</w:t>
      </w:r>
      <w:r w:rsidRPr="004E7851">
        <w:rPr>
          <w:rFonts w:hAnsi="標楷體" w:cs="Arial"/>
          <w:lang w:eastAsia="zh-HK"/>
        </w:rPr>
        <w:t>「</w:t>
      </w:r>
      <w:r w:rsidRPr="004E7851">
        <w:rPr>
          <w:rFonts w:hAnsi="標楷體" w:cs="Arial"/>
        </w:rPr>
        <w:t>……</w:t>
      </w:r>
      <w:r w:rsidRPr="004E7851">
        <w:rPr>
          <w:rFonts w:hAnsi="標楷體" w:cs="Arial" w:hint="eastAsia"/>
          <w:lang w:eastAsia="zh-HK"/>
        </w:rPr>
        <w:t>（第2項）經中央主管機關公告類別與規模之食品業者，應依其產業模式，建立產</w:t>
      </w:r>
      <w:r w:rsidRPr="004E7851">
        <w:rPr>
          <w:rFonts w:hAnsi="標楷體" w:cs="Arial" w:hint="eastAsia"/>
          <w:lang w:eastAsia="zh-HK"/>
        </w:rPr>
        <w:lastRenderedPageBreak/>
        <w:t>品原材料、半成品與成品供應來源及流向之追溯或追蹤系統。（第3項）中央主管機關為管理食品安全衛生及品質，確保食品追溯或追蹤系統資料之正確性，應就前項之業者，依溯源之必要性，分階段公告使用電子發票。</w:t>
      </w:r>
      <w:r w:rsidRPr="004E7851">
        <w:rPr>
          <w:rFonts w:hAnsi="標楷體" w:cs="Arial"/>
          <w:lang w:eastAsia="zh-HK"/>
        </w:rPr>
        <w:t>」</w:t>
      </w:r>
      <w:r w:rsidRPr="004E7851">
        <w:rPr>
          <w:rFonts w:hAnsi="標楷體" w:cs="Arial" w:hint="eastAsia"/>
        </w:rPr>
        <w:t>、</w:t>
      </w:r>
      <w:r w:rsidRPr="004E7851">
        <w:rPr>
          <w:rFonts w:hAnsi="標楷體" w:cs="Arial"/>
          <w:lang w:eastAsia="zh-HK"/>
        </w:rPr>
        <w:t>「</w:t>
      </w:r>
      <w:r w:rsidRPr="004E7851">
        <w:rPr>
          <w:rFonts w:hAnsi="標楷體" w:cs="Arial" w:hint="eastAsia"/>
          <w:bCs w:val="0"/>
          <w:lang w:eastAsia="zh-HK"/>
        </w:rPr>
        <w:t>有下列行為之一者，處3萬元以上300萬元以下罰鍰；情節重大者，並得命其歇業、停業一定期間、廢止其公司、商業、工廠之全部或部分登記事項，或食品業者之登錄；經廢止登錄者，1年內不得再申請重新登錄：</w:t>
      </w:r>
      <w:r w:rsidRPr="004E7851">
        <w:rPr>
          <w:rFonts w:hAnsi="標楷體" w:cs="Arial"/>
          <w:bCs w:val="0"/>
          <w:lang w:eastAsia="zh-HK"/>
        </w:rPr>
        <w:t>……</w:t>
      </w:r>
      <w:r w:rsidRPr="004E7851">
        <w:rPr>
          <w:rFonts w:hAnsi="標楷體" w:cs="Arial" w:hint="eastAsia"/>
          <w:bCs w:val="0"/>
          <w:lang w:eastAsia="zh-HK"/>
        </w:rPr>
        <w:t>三、食品業者</w:t>
      </w:r>
      <w:r w:rsidRPr="004E7851">
        <w:rPr>
          <w:rFonts w:hAnsi="標楷體" w:cs="Arial"/>
          <w:bCs w:val="0"/>
          <w:lang w:eastAsia="zh-HK"/>
        </w:rPr>
        <w:t>……</w:t>
      </w:r>
      <w:r w:rsidRPr="004E7851">
        <w:rPr>
          <w:rFonts w:hAnsi="標楷體" w:cs="Arial" w:hint="eastAsia"/>
          <w:bCs w:val="0"/>
          <w:lang w:eastAsia="zh-HK"/>
        </w:rPr>
        <w:t>依第9條第3項開立之電子發票不實致影響食品追溯或追蹤之查核。</w:t>
      </w:r>
      <w:r w:rsidRPr="004E7851">
        <w:rPr>
          <w:rFonts w:hAnsi="標楷體" w:cs="Arial"/>
          <w:lang w:eastAsia="zh-HK"/>
        </w:rPr>
        <w:t>」</w:t>
      </w:r>
      <w:r w:rsidRPr="004E7851">
        <w:rPr>
          <w:rFonts w:hAnsi="標楷體" w:cs="Arial" w:hint="eastAsia"/>
          <w:lang w:eastAsia="zh-HK"/>
        </w:rPr>
        <w:t>、</w:t>
      </w:r>
      <w:r w:rsidRPr="004E7851">
        <w:rPr>
          <w:rFonts w:hAnsi="標楷體" w:cs="Arial"/>
          <w:lang w:eastAsia="zh-HK"/>
        </w:rPr>
        <w:t>「</w:t>
      </w:r>
      <w:r w:rsidRPr="004E7851">
        <w:rPr>
          <w:rFonts w:hAnsi="標楷體" w:cs="Arial" w:hint="eastAsia"/>
          <w:lang w:eastAsia="zh-HK"/>
        </w:rPr>
        <w:t>有下列行為之一者，經命限期改正，屆期不改正者，處</w:t>
      </w:r>
      <w:r w:rsidRPr="004E7851">
        <w:rPr>
          <w:rFonts w:hAnsi="標楷體" w:cs="Arial" w:hint="eastAsia"/>
        </w:rPr>
        <w:t>3</w:t>
      </w:r>
      <w:r w:rsidRPr="004E7851">
        <w:rPr>
          <w:rFonts w:hAnsi="標楷體" w:cs="Arial" w:hint="eastAsia"/>
          <w:lang w:eastAsia="zh-HK"/>
        </w:rPr>
        <w:t>萬元以上</w:t>
      </w:r>
      <w:r w:rsidRPr="004E7851">
        <w:rPr>
          <w:rFonts w:hAnsi="標楷體" w:cs="Arial" w:hint="eastAsia"/>
        </w:rPr>
        <w:t>300</w:t>
      </w:r>
      <w:r w:rsidRPr="004E7851">
        <w:rPr>
          <w:rFonts w:hAnsi="標楷體" w:cs="Arial" w:hint="eastAsia"/>
          <w:lang w:eastAsia="zh-HK"/>
        </w:rPr>
        <w:t>萬元以下罰鍰；情節重大者，並得命其歇業、停業一定期間、廢止其公司、商業、工廠之全部或部分登記事項，或食品業者之登錄；經廢止登錄者，</w:t>
      </w:r>
      <w:r w:rsidRPr="004E7851">
        <w:rPr>
          <w:rFonts w:hAnsi="標楷體" w:cs="Arial" w:hint="eastAsia"/>
        </w:rPr>
        <w:t>1</w:t>
      </w:r>
      <w:r w:rsidRPr="004E7851">
        <w:rPr>
          <w:rFonts w:hAnsi="標楷體" w:cs="Arial" w:hint="eastAsia"/>
          <w:lang w:eastAsia="zh-HK"/>
        </w:rPr>
        <w:t>年內不得再申請重新登錄：</w:t>
      </w:r>
      <w:r w:rsidRPr="004E7851">
        <w:rPr>
          <w:rFonts w:hAnsi="標楷體" w:cs="Arial"/>
          <w:lang w:eastAsia="zh-HK"/>
        </w:rPr>
        <w:t>……</w:t>
      </w:r>
      <w:r w:rsidRPr="004E7851">
        <w:rPr>
          <w:rFonts w:hAnsi="標楷體" w:cs="Arial" w:hint="eastAsia"/>
          <w:lang w:eastAsia="zh-HK"/>
        </w:rPr>
        <w:t>五、違反第</w:t>
      </w:r>
      <w:r w:rsidRPr="004E7851">
        <w:rPr>
          <w:rFonts w:hAnsi="標楷體" w:cs="Arial" w:hint="eastAsia"/>
        </w:rPr>
        <w:t>9</w:t>
      </w:r>
      <w:r w:rsidRPr="004E7851">
        <w:rPr>
          <w:rFonts w:hAnsi="標楷體" w:cs="Arial" w:hint="eastAsia"/>
          <w:lang w:eastAsia="zh-HK"/>
        </w:rPr>
        <w:t>條第</w:t>
      </w:r>
      <w:r w:rsidRPr="004E7851">
        <w:rPr>
          <w:rFonts w:hAnsi="標楷體" w:cs="Arial" w:hint="eastAsia"/>
        </w:rPr>
        <w:t>3</w:t>
      </w:r>
      <w:r w:rsidRPr="004E7851">
        <w:rPr>
          <w:rFonts w:hAnsi="標楷體" w:cs="Arial" w:hint="eastAsia"/>
          <w:lang w:eastAsia="zh-HK"/>
        </w:rPr>
        <w:t>項規定，未開立電子發票致無法為食品之追溯或追蹤。</w:t>
      </w:r>
      <w:r w:rsidRPr="004E7851">
        <w:rPr>
          <w:rFonts w:hAnsi="標楷體" w:cs="Arial"/>
          <w:lang w:eastAsia="zh-HK"/>
        </w:rPr>
        <w:t>」</w:t>
      </w:r>
      <w:r w:rsidRPr="004E7851">
        <w:rPr>
          <w:rFonts w:hAnsi="標楷體" w:cs="Arial" w:hint="eastAsia"/>
          <w:lang w:eastAsia="zh-HK"/>
        </w:rPr>
        <w:t>而依照</w:t>
      </w:r>
      <w:r w:rsidRPr="004E7851">
        <w:rPr>
          <w:rFonts w:hAnsi="標楷體"/>
        </w:rPr>
        <w:t>衛福部</w:t>
      </w:r>
      <w:r w:rsidRPr="004E7851">
        <w:rPr>
          <w:rFonts w:hAnsi="標楷體"/>
          <w:szCs w:val="32"/>
        </w:rPr>
        <w:t>107年6月26日衛授食字第</w:t>
      </w:r>
      <w:r w:rsidRPr="004E7851">
        <w:rPr>
          <w:rFonts w:hAnsi="標楷體"/>
          <w:lang w:eastAsia="zh-HK"/>
        </w:rPr>
        <w:t>1071300516</w:t>
      </w:r>
      <w:r w:rsidRPr="004E7851">
        <w:rPr>
          <w:rFonts w:hAnsi="標楷體"/>
          <w:szCs w:val="32"/>
        </w:rPr>
        <w:t>號公告</w:t>
      </w:r>
      <w:r w:rsidRPr="004E7851">
        <w:rPr>
          <w:rFonts w:hAnsi="標楷體" w:hint="eastAsia"/>
          <w:szCs w:val="32"/>
          <w:lang w:eastAsia="zh-HK"/>
        </w:rPr>
        <w:t>修正</w:t>
      </w:r>
      <w:r w:rsidRPr="004E7851">
        <w:rPr>
          <w:rFonts w:hAnsi="標楷體" w:hint="eastAsia"/>
          <w:szCs w:val="32"/>
        </w:rPr>
        <w:t>，</w:t>
      </w:r>
      <w:r w:rsidRPr="004E7851">
        <w:rPr>
          <w:rFonts w:hAnsi="標楷體" w:cs="Arial" w:hint="eastAsia"/>
          <w:lang w:eastAsia="zh-HK"/>
        </w:rPr>
        <w:t>指定規模及類別之食品業者，強制使用電子發票實施日期</w:t>
      </w:r>
      <w:r w:rsidRPr="004E7851">
        <w:rPr>
          <w:rFonts w:hAnsi="標楷體" w:cs="Arial"/>
          <w:lang w:eastAsia="zh-HK"/>
        </w:rPr>
        <w:t>彙整</w:t>
      </w:r>
      <w:r w:rsidRPr="004E7851">
        <w:rPr>
          <w:rFonts w:hAnsi="標楷體" w:cs="Arial" w:hint="eastAsia"/>
          <w:lang w:eastAsia="zh-HK"/>
        </w:rPr>
        <w:t>如表</w:t>
      </w:r>
      <w:r w:rsidR="009E54FC" w:rsidRPr="004E7851">
        <w:rPr>
          <w:rFonts w:hAnsi="標楷體" w:cs="Arial" w:hint="eastAsia"/>
          <w:lang w:eastAsia="zh-HK"/>
        </w:rPr>
        <w:t>3</w:t>
      </w:r>
      <w:r w:rsidRPr="004E7851">
        <w:rPr>
          <w:rFonts w:hAnsi="標楷體" w:cs="Arial" w:hint="eastAsia"/>
          <w:lang w:eastAsia="zh-HK"/>
        </w:rPr>
        <w:t>，故自109年1月1日起，</w:t>
      </w:r>
      <w:r w:rsidRPr="004E7851">
        <w:rPr>
          <w:rFonts w:hAnsi="標楷體" w:cs="Arial"/>
          <w:lang w:eastAsia="zh-HK"/>
        </w:rPr>
        <w:t>累計已納入22類食品業者依財稅機關認定應開立統一發票者</w:t>
      </w:r>
      <w:r w:rsidRPr="004E7851">
        <w:rPr>
          <w:rFonts w:hAnsi="標楷體" w:cs="Arial" w:hint="eastAsia"/>
          <w:lang w:eastAsia="zh-HK"/>
        </w:rPr>
        <w:t>，</w:t>
      </w:r>
      <w:r w:rsidRPr="004E7851">
        <w:rPr>
          <w:rFonts w:hAnsi="標楷體" w:cs="Arial"/>
          <w:lang w:eastAsia="zh-HK"/>
        </w:rPr>
        <w:t>應</w:t>
      </w:r>
      <w:r w:rsidRPr="004E7851">
        <w:rPr>
          <w:rFonts w:hAnsi="標楷體" w:cs="Arial" w:hint="eastAsia"/>
          <w:lang w:eastAsia="zh-HK"/>
        </w:rPr>
        <w:t>強制</w:t>
      </w:r>
      <w:r w:rsidRPr="004E7851">
        <w:rPr>
          <w:rFonts w:hAnsi="標楷體" w:cs="Arial"/>
          <w:lang w:eastAsia="zh-HK"/>
        </w:rPr>
        <w:t>轉換</w:t>
      </w:r>
      <w:r w:rsidRPr="004E7851">
        <w:rPr>
          <w:rFonts w:hAnsi="標楷體" w:cs="Arial" w:hint="eastAsia"/>
          <w:lang w:eastAsia="zh-HK"/>
        </w:rPr>
        <w:t>使用電子發票，截至</w:t>
      </w:r>
      <w:r w:rsidR="00492594" w:rsidRPr="004E7851">
        <w:rPr>
          <w:rFonts w:hAnsi="標楷體" w:hint="eastAsia"/>
          <w:lang w:eastAsia="zh-HK"/>
        </w:rPr>
        <w:t>109年5月底</w:t>
      </w:r>
      <w:r w:rsidRPr="004E7851">
        <w:rPr>
          <w:rFonts w:hAnsi="標楷體" w:cs="Arial" w:hint="eastAsia"/>
          <w:lang w:eastAsia="zh-HK"/>
        </w:rPr>
        <w:t>，</w:t>
      </w:r>
      <w:r w:rsidR="007F057A" w:rsidRPr="004E7851">
        <w:rPr>
          <w:rFonts w:hAnsi="標楷體" w:cs="Arial" w:hint="eastAsia"/>
          <w:lang w:eastAsia="zh-HK"/>
        </w:rPr>
        <w:t>衛福部公告指定</w:t>
      </w:r>
      <w:r w:rsidR="0022775E" w:rsidRPr="004E7851">
        <w:rPr>
          <w:rFonts w:hAnsi="標楷體" w:cs="Arial" w:hint="eastAsia"/>
          <w:lang w:eastAsia="zh-HK"/>
        </w:rPr>
        <w:t>上開類別之食品業者</w:t>
      </w:r>
      <w:r w:rsidR="007F057A" w:rsidRPr="004E7851">
        <w:rPr>
          <w:rFonts w:hAnsi="標楷體" w:cs="Arial" w:hint="eastAsia"/>
          <w:lang w:eastAsia="zh-HK"/>
        </w:rPr>
        <w:t>應</w:t>
      </w:r>
      <w:r w:rsidR="0022775E" w:rsidRPr="004E7851">
        <w:rPr>
          <w:rFonts w:hAnsi="標楷體" w:cs="Arial" w:hint="eastAsia"/>
          <w:lang w:eastAsia="zh-HK"/>
        </w:rPr>
        <w:t>使用</w:t>
      </w:r>
      <w:r w:rsidR="007F057A" w:rsidRPr="004E7851">
        <w:rPr>
          <w:rFonts w:hAnsi="標楷體" w:cs="Arial" w:hint="eastAsia"/>
          <w:lang w:eastAsia="zh-HK"/>
        </w:rPr>
        <w:t>電子發票</w:t>
      </w:r>
      <w:r w:rsidR="0022775E" w:rsidRPr="004E7851">
        <w:rPr>
          <w:rFonts w:hAnsi="標楷體" w:cs="Arial" w:hint="eastAsia"/>
          <w:lang w:eastAsia="zh-HK"/>
        </w:rPr>
        <w:t>共</w:t>
      </w:r>
      <w:r w:rsidR="007F057A" w:rsidRPr="004E7851">
        <w:rPr>
          <w:rFonts w:hAnsi="標楷體" w:hint="eastAsia"/>
          <w:lang w:eastAsia="zh-HK"/>
        </w:rPr>
        <w:t>4,838家</w:t>
      </w:r>
      <w:r w:rsidR="007F057A" w:rsidRPr="004E7851">
        <w:rPr>
          <w:rFonts w:hAnsi="標楷體" w:cs="Arial" w:hint="eastAsia"/>
        </w:rPr>
        <w:t>，</w:t>
      </w:r>
      <w:r w:rsidR="0022775E" w:rsidRPr="004E7851">
        <w:rPr>
          <w:rFonts w:hAnsi="標楷體" w:cs="Arial" w:hint="eastAsia"/>
          <w:lang w:eastAsia="zh-HK"/>
        </w:rPr>
        <w:t>然</w:t>
      </w:r>
      <w:r w:rsidR="00433EC7" w:rsidRPr="004E7851">
        <w:rPr>
          <w:rFonts w:hAnsi="標楷體" w:cs="Arial" w:hint="eastAsia"/>
          <w:lang w:eastAsia="zh-HK"/>
        </w:rPr>
        <w:t>財政部累</w:t>
      </w:r>
      <w:r w:rsidRPr="004E7851">
        <w:rPr>
          <w:rFonts w:hAnsi="標楷體" w:cs="Arial" w:hint="eastAsia"/>
          <w:lang w:eastAsia="zh-HK"/>
        </w:rPr>
        <w:t>計輔導</w:t>
      </w:r>
      <w:r w:rsidR="0022775E" w:rsidRPr="004E7851">
        <w:rPr>
          <w:rFonts w:hAnsi="標楷體" w:cs="Arial" w:hint="eastAsia"/>
          <w:lang w:eastAsia="zh-HK"/>
        </w:rPr>
        <w:t>計</w:t>
      </w:r>
      <w:r w:rsidR="002D19A6" w:rsidRPr="004E7851">
        <w:rPr>
          <w:rFonts w:hAnsi="標楷體" w:hint="eastAsia"/>
          <w:lang w:eastAsia="zh-HK"/>
        </w:rPr>
        <w:t>3,649家</w:t>
      </w:r>
      <w:r w:rsidR="00492594" w:rsidRPr="004E7851">
        <w:rPr>
          <w:rFonts w:hAnsi="標楷體" w:cs="Arial" w:hint="eastAsia"/>
        </w:rPr>
        <w:t>，</w:t>
      </w:r>
      <w:r w:rsidR="00492594" w:rsidRPr="004E7851">
        <w:rPr>
          <w:rFonts w:hAnsi="標楷體" w:cs="Arial" w:hint="eastAsia"/>
          <w:lang w:eastAsia="zh-HK"/>
        </w:rPr>
        <w:t>導入比率</w:t>
      </w:r>
      <w:r w:rsidR="00492594" w:rsidRPr="004E7851">
        <w:rPr>
          <w:rFonts w:hAnsi="標楷體" w:hint="eastAsia"/>
          <w:lang w:eastAsia="zh-HK"/>
        </w:rPr>
        <w:t>75.42%</w:t>
      </w:r>
      <w:r w:rsidRPr="004E7851">
        <w:rPr>
          <w:rFonts w:hAnsi="標楷體" w:cs="Arial" w:hint="eastAsia"/>
          <w:lang w:eastAsia="zh-HK"/>
        </w:rPr>
        <w:t>，顯見衛福部及財政部輔導、推廣不力，肇使仍有</w:t>
      </w:r>
      <w:r w:rsidR="00185001" w:rsidRPr="004E7851">
        <w:rPr>
          <w:rFonts w:hAnsi="標楷體" w:cs="Arial" w:hint="eastAsia"/>
        </w:rPr>
        <w:t>1,189</w:t>
      </w:r>
      <w:r w:rsidR="00185001" w:rsidRPr="004E7851">
        <w:rPr>
          <w:rFonts w:hAnsi="標楷體" w:cs="Arial" w:hint="eastAsia"/>
          <w:lang w:eastAsia="zh-HK"/>
        </w:rPr>
        <w:t>家</w:t>
      </w:r>
      <w:r w:rsidRPr="004E7851">
        <w:rPr>
          <w:rFonts w:hAnsi="標楷體" w:cs="Arial" w:hint="eastAsia"/>
          <w:lang w:eastAsia="zh-HK"/>
        </w:rPr>
        <w:t>食品業者</w:t>
      </w:r>
      <w:r w:rsidR="00185001" w:rsidRPr="004E7851">
        <w:rPr>
          <w:rFonts w:hAnsi="標楷體" w:cs="Arial" w:hint="eastAsia"/>
        </w:rPr>
        <w:t>（</w:t>
      </w:r>
      <w:r w:rsidR="00185001" w:rsidRPr="004E7851">
        <w:rPr>
          <w:rFonts w:hAnsi="標楷體" w:cs="Arial" w:hint="eastAsia"/>
          <w:lang w:eastAsia="zh-HK"/>
        </w:rPr>
        <w:t>占2</w:t>
      </w:r>
      <w:r w:rsidR="00185001" w:rsidRPr="004E7851">
        <w:rPr>
          <w:rFonts w:hAnsi="標楷體" w:cs="Arial" w:hint="eastAsia"/>
        </w:rPr>
        <w:t>5</w:t>
      </w:r>
      <w:r w:rsidR="00185001" w:rsidRPr="004E7851">
        <w:rPr>
          <w:rFonts w:hAnsi="標楷體" w:cs="Arial" w:hint="eastAsia"/>
          <w:lang w:eastAsia="zh-HK"/>
        </w:rPr>
        <w:t>.</w:t>
      </w:r>
      <w:r w:rsidR="00185001" w:rsidRPr="004E7851">
        <w:rPr>
          <w:rFonts w:hAnsi="標楷體" w:cs="Arial" w:hint="eastAsia"/>
        </w:rPr>
        <w:t>58</w:t>
      </w:r>
      <w:r w:rsidR="00185001" w:rsidRPr="004E7851">
        <w:rPr>
          <w:rFonts w:hAnsi="標楷體" w:cs="Arial" w:hint="eastAsia"/>
          <w:lang w:eastAsia="zh-HK"/>
        </w:rPr>
        <w:t>%</w:t>
      </w:r>
      <w:r w:rsidR="00185001" w:rsidRPr="004E7851">
        <w:rPr>
          <w:rFonts w:hAnsi="標楷體" w:cs="Arial" w:hint="eastAsia"/>
        </w:rPr>
        <w:t>）</w:t>
      </w:r>
      <w:r w:rsidRPr="004E7851">
        <w:rPr>
          <w:rFonts w:hAnsi="標楷體" w:cs="Arial" w:hint="eastAsia"/>
          <w:lang w:eastAsia="zh-HK"/>
        </w:rPr>
        <w:t>尚未落實上開規定使用電子發票</w:t>
      </w:r>
      <w:r w:rsidR="00625E9E" w:rsidRPr="004E7851">
        <w:rPr>
          <w:rFonts w:hAnsi="標楷體" w:cs="Arial" w:hint="eastAsia"/>
        </w:rPr>
        <w:t>；</w:t>
      </w:r>
      <w:r w:rsidR="00625E9E" w:rsidRPr="004E7851">
        <w:rPr>
          <w:rFonts w:hAnsi="標楷體" w:cs="Arial" w:hint="eastAsia"/>
          <w:lang w:eastAsia="zh-HK"/>
        </w:rPr>
        <w:t>況</w:t>
      </w:r>
      <w:r w:rsidR="00625E9E" w:rsidRPr="004E7851">
        <w:rPr>
          <w:rFonts w:hAnsi="標楷體" w:cs="Arial" w:hint="eastAsia"/>
        </w:rPr>
        <w:t>，</w:t>
      </w:r>
      <w:r w:rsidR="00CA6E3A" w:rsidRPr="004E7851">
        <w:rPr>
          <w:rFonts w:hAnsi="標楷體" w:cs="Arial" w:hint="eastAsia"/>
          <w:bCs w:val="0"/>
          <w:lang w:eastAsia="zh-HK"/>
        </w:rPr>
        <w:t>據衛福部</w:t>
      </w:r>
      <w:r w:rsidR="000623DC" w:rsidRPr="004E7851">
        <w:rPr>
          <w:rFonts w:hAnsi="標楷體" w:cs="Arial" w:hint="eastAsia"/>
          <w:bCs w:val="0"/>
          <w:lang w:eastAsia="zh-HK"/>
        </w:rPr>
        <w:t>坦</w:t>
      </w:r>
      <w:r w:rsidR="00140800" w:rsidRPr="004E7851">
        <w:rPr>
          <w:rFonts w:hAnsi="標楷體" w:cs="Arial" w:hint="eastAsia"/>
          <w:bCs w:val="0"/>
          <w:lang w:eastAsia="zh-HK"/>
        </w:rPr>
        <w:t>承</w:t>
      </w:r>
      <w:r w:rsidR="00CA6E3A" w:rsidRPr="004E7851">
        <w:rPr>
          <w:rFonts w:hAnsi="標楷體" w:cs="Arial" w:hint="eastAsia"/>
          <w:bCs w:val="0"/>
        </w:rPr>
        <w:t>，</w:t>
      </w:r>
      <w:r w:rsidR="000623DC" w:rsidRPr="004E7851">
        <w:rPr>
          <w:rFonts w:hAnsi="標楷體" w:cs="Arial" w:hint="eastAsia"/>
          <w:bCs w:val="0"/>
          <w:lang w:eastAsia="zh-HK"/>
        </w:rPr>
        <w:t>雖</w:t>
      </w:r>
      <w:r w:rsidR="00CA6E3A" w:rsidRPr="004E7851">
        <w:rPr>
          <w:rFonts w:hAnsi="標楷體" w:cs="Arial" w:hint="eastAsia"/>
          <w:bCs w:val="0"/>
          <w:lang w:eastAsia="zh-HK"/>
        </w:rPr>
        <w:t>食品雲</w:t>
      </w:r>
      <w:r w:rsidR="00175A1A" w:rsidRPr="004E7851">
        <w:rPr>
          <w:rFonts w:hAnsi="標楷體" w:cs="Arial" w:hint="eastAsia"/>
          <w:bCs w:val="0"/>
          <w:lang w:eastAsia="zh-HK"/>
        </w:rPr>
        <w:t>現</w:t>
      </w:r>
      <w:r w:rsidR="009B36DD" w:rsidRPr="004E7851">
        <w:rPr>
          <w:rFonts w:hAnsi="標楷體" w:hint="eastAsia"/>
          <w:szCs w:val="32"/>
        </w:rPr>
        <w:t>以SFTP</w:t>
      </w:r>
      <w:r w:rsidR="009B36DD" w:rsidRPr="004E7851">
        <w:rPr>
          <w:rFonts w:hAnsi="標楷體"/>
          <w:szCs w:val="32"/>
        </w:rPr>
        <w:t>(</w:t>
      </w:r>
      <w:r w:rsidR="00F17548" w:rsidRPr="004E7851">
        <w:rPr>
          <w:rFonts w:hAnsi="標楷體"/>
          <w:szCs w:val="32"/>
        </w:rPr>
        <w:t>Secret File Transfer Protocol</w:t>
      </w:r>
      <w:r w:rsidR="009B36DD" w:rsidRPr="004E7851">
        <w:rPr>
          <w:rFonts w:hAnsi="標楷體" w:hint="eastAsia"/>
          <w:szCs w:val="32"/>
        </w:rPr>
        <w:t>，</w:t>
      </w:r>
      <w:r w:rsidR="009B36DD" w:rsidRPr="004E7851">
        <w:rPr>
          <w:rFonts w:hAnsi="標楷體"/>
          <w:szCs w:val="32"/>
        </w:rPr>
        <w:t>安全檔案傳輸網路協定）</w:t>
      </w:r>
      <w:r w:rsidR="009B36DD" w:rsidRPr="004E7851">
        <w:rPr>
          <w:rFonts w:hAnsi="標楷體" w:hint="eastAsia"/>
          <w:szCs w:val="32"/>
        </w:rPr>
        <w:t>方式</w:t>
      </w:r>
      <w:r w:rsidR="00DC7C6B" w:rsidRPr="004E7851">
        <w:rPr>
          <w:rFonts w:hAnsi="標楷體" w:hint="eastAsia"/>
          <w:szCs w:val="32"/>
          <w:lang w:eastAsia="zh-HK"/>
        </w:rPr>
        <w:t>接收</w:t>
      </w:r>
      <w:r w:rsidR="009B36DD" w:rsidRPr="004E7851">
        <w:rPr>
          <w:rFonts w:hAnsi="標楷體" w:hint="eastAsia"/>
          <w:szCs w:val="32"/>
        </w:rPr>
        <w:t>財稅資料，</w:t>
      </w:r>
      <w:r w:rsidR="00175A1A" w:rsidRPr="004E7851">
        <w:rPr>
          <w:rFonts w:hAnsi="標楷體" w:hint="eastAsia"/>
          <w:szCs w:val="32"/>
          <w:lang w:eastAsia="zh-HK"/>
        </w:rPr>
        <w:t>以</w:t>
      </w:r>
      <w:r w:rsidR="00175A1A" w:rsidRPr="004E7851">
        <w:rPr>
          <w:rFonts w:hAnsi="標楷體" w:hint="eastAsia"/>
          <w:szCs w:val="32"/>
        </w:rPr>
        <w:t>提升查調大量業者電子發票之效</w:t>
      </w:r>
      <w:r w:rsidR="00175A1A" w:rsidRPr="004E7851">
        <w:rPr>
          <w:rFonts w:hAnsi="標楷體" w:hint="eastAsia"/>
          <w:szCs w:val="32"/>
        </w:rPr>
        <w:lastRenderedPageBreak/>
        <w:t>率，</w:t>
      </w:r>
      <w:r w:rsidR="009B36DD" w:rsidRPr="004E7851">
        <w:rPr>
          <w:rFonts w:hAnsi="標楷體" w:hint="eastAsia"/>
          <w:szCs w:val="32"/>
        </w:rPr>
        <w:t>惟仍受限於</w:t>
      </w:r>
      <w:r w:rsidR="000812D1" w:rsidRPr="004E7851">
        <w:rPr>
          <w:rFonts w:hAnsi="標楷體" w:hint="eastAsia"/>
          <w:szCs w:val="32"/>
        </w:rPr>
        <w:t>無法取得</w:t>
      </w:r>
      <w:r w:rsidR="009B36DD" w:rsidRPr="004E7851">
        <w:rPr>
          <w:rFonts w:hAnsi="標楷體" w:hint="eastAsia"/>
          <w:szCs w:val="32"/>
        </w:rPr>
        <w:t>業者近一個月內資料，此空窗期致使於即時追蹤流向之監控尚有強化空間，期待藉由持續溝通協調及財政部等相關單位協助下，能確保資料之即時性，共同為國人的食安把關</w:t>
      </w:r>
      <w:r w:rsidR="00995E9A" w:rsidRPr="004E7851">
        <w:rPr>
          <w:rFonts w:hAnsi="標楷體" w:hint="eastAsia"/>
          <w:szCs w:val="32"/>
        </w:rPr>
        <w:t>等語</w:t>
      </w:r>
      <w:r w:rsidR="000812D1" w:rsidRPr="004E7851">
        <w:rPr>
          <w:rFonts w:hAnsi="標楷體" w:hint="eastAsia"/>
          <w:szCs w:val="32"/>
        </w:rPr>
        <w:t>，足認</w:t>
      </w:r>
      <w:r w:rsidR="00A12B24" w:rsidRPr="004E7851">
        <w:rPr>
          <w:rFonts w:hAnsi="標楷體" w:hint="eastAsia"/>
          <w:szCs w:val="32"/>
        </w:rPr>
        <w:t>1,189家食品業者尚未</w:t>
      </w:r>
      <w:r w:rsidR="00894AB6" w:rsidRPr="004E7851">
        <w:rPr>
          <w:rFonts w:hAnsi="標楷體" w:hint="eastAsia"/>
          <w:szCs w:val="32"/>
        </w:rPr>
        <w:t>遵照</w:t>
      </w:r>
      <w:r w:rsidR="008203B4" w:rsidRPr="004E7851">
        <w:rPr>
          <w:rFonts w:hAnsi="標楷體" w:hint="eastAsia"/>
          <w:szCs w:val="32"/>
          <w:lang w:eastAsia="zh-HK"/>
        </w:rPr>
        <w:t>食</w:t>
      </w:r>
      <w:r w:rsidR="00894AB6" w:rsidRPr="004E7851">
        <w:rPr>
          <w:rFonts w:hAnsi="標楷體" w:hint="eastAsia"/>
          <w:szCs w:val="32"/>
        </w:rPr>
        <w:t>安法第9條第3項規定</w:t>
      </w:r>
      <w:r w:rsidR="00A12B24" w:rsidRPr="004E7851">
        <w:rPr>
          <w:rFonts w:hAnsi="標楷體" w:hint="eastAsia"/>
          <w:szCs w:val="32"/>
        </w:rPr>
        <w:t>落實開立電子發票，以及</w:t>
      </w:r>
      <w:r w:rsidR="006F5CD1" w:rsidRPr="004E7851">
        <w:rPr>
          <w:rFonts w:hAnsi="標楷體" w:cs="Arial" w:hint="eastAsia"/>
        </w:rPr>
        <w:t>無法即時查調3,649家使用電子發票業者近一個月內財稅資料等缺漏</w:t>
      </w:r>
      <w:r w:rsidR="00C35AB6" w:rsidRPr="004E7851">
        <w:rPr>
          <w:rFonts w:hAnsi="標楷體" w:hint="eastAsia"/>
          <w:szCs w:val="32"/>
          <w:lang w:eastAsia="zh-HK"/>
        </w:rPr>
        <w:t>，</w:t>
      </w:r>
      <w:r w:rsidR="00A12B24" w:rsidRPr="004E7851">
        <w:rPr>
          <w:rFonts w:hAnsi="標楷體" w:hint="eastAsia"/>
          <w:szCs w:val="32"/>
          <w:lang w:eastAsia="zh-HK"/>
        </w:rPr>
        <w:t>在在弱化</w:t>
      </w:r>
      <w:r w:rsidR="00C35AB6" w:rsidRPr="004E7851">
        <w:rPr>
          <w:rFonts w:hAnsi="標楷體" w:hint="eastAsia"/>
          <w:szCs w:val="32"/>
          <w:lang w:eastAsia="zh-HK"/>
        </w:rPr>
        <w:t>食品雲之</w:t>
      </w:r>
      <w:r w:rsidR="00F5386B" w:rsidRPr="004E7851">
        <w:rPr>
          <w:rFonts w:hAnsi="標楷體"/>
          <w:szCs w:val="32"/>
          <w:lang w:eastAsia="zh-HK"/>
        </w:rPr>
        <w:t>溯</w:t>
      </w:r>
      <w:r w:rsidR="00F5386B" w:rsidRPr="004E7851">
        <w:rPr>
          <w:rFonts w:hAnsi="標楷體" w:hint="eastAsia"/>
          <w:szCs w:val="32"/>
          <w:lang w:eastAsia="zh-HK"/>
        </w:rPr>
        <w:t>源追</w:t>
      </w:r>
      <w:r w:rsidR="00F5386B" w:rsidRPr="004E7851">
        <w:rPr>
          <w:rFonts w:hAnsi="標楷體"/>
          <w:szCs w:val="32"/>
          <w:lang w:eastAsia="zh-HK"/>
        </w:rPr>
        <w:t>蹤</w:t>
      </w:r>
      <w:r w:rsidR="00F5386B" w:rsidRPr="004E7851">
        <w:rPr>
          <w:rFonts w:hAnsi="標楷體" w:hint="eastAsia"/>
          <w:szCs w:val="32"/>
          <w:lang w:eastAsia="zh-HK"/>
        </w:rPr>
        <w:t>、</w:t>
      </w:r>
      <w:r w:rsidR="00C35AB6" w:rsidRPr="004E7851">
        <w:rPr>
          <w:rFonts w:hAnsi="標楷體" w:hint="eastAsia"/>
          <w:szCs w:val="32"/>
          <w:lang w:eastAsia="zh-HK"/>
        </w:rPr>
        <w:t>風險預警及監控能力</w:t>
      </w:r>
      <w:r w:rsidR="008B37FB" w:rsidRPr="004E7851">
        <w:rPr>
          <w:rFonts w:hAnsi="標楷體" w:hint="eastAsia"/>
          <w:szCs w:val="32"/>
          <w:lang w:eastAsia="zh-HK"/>
        </w:rPr>
        <w:t>，</w:t>
      </w:r>
      <w:r w:rsidR="00C35AB6" w:rsidRPr="004E7851">
        <w:rPr>
          <w:rFonts w:hAnsi="標楷體" w:hint="eastAsia"/>
          <w:szCs w:val="32"/>
          <w:lang w:eastAsia="zh-HK"/>
        </w:rPr>
        <w:t>形成食品安全</w:t>
      </w:r>
      <w:r w:rsidR="00C35AB6" w:rsidRPr="004E7851">
        <w:rPr>
          <w:rFonts w:hAnsi="標楷體"/>
          <w:szCs w:val="32"/>
          <w:lang w:eastAsia="zh-HK"/>
        </w:rPr>
        <w:t>資訊化</w:t>
      </w:r>
      <w:r w:rsidR="00C35AB6" w:rsidRPr="004E7851">
        <w:rPr>
          <w:rFonts w:hAnsi="標楷體" w:hint="eastAsia"/>
          <w:szCs w:val="32"/>
          <w:lang w:eastAsia="zh-HK"/>
        </w:rPr>
        <w:t>管理之破口</w:t>
      </w:r>
      <w:r w:rsidR="00A12B24" w:rsidRPr="004E7851">
        <w:rPr>
          <w:rFonts w:hAnsi="標楷體" w:hint="eastAsia"/>
          <w:szCs w:val="32"/>
          <w:lang w:eastAsia="zh-HK"/>
        </w:rPr>
        <w:t>。</w:t>
      </w:r>
    </w:p>
    <w:p w:rsidR="00B55ECF" w:rsidRPr="004E7851" w:rsidRDefault="00B55ECF" w:rsidP="00B55ECF">
      <w:pPr>
        <w:pStyle w:val="a3"/>
        <w:ind w:left="680" w:hanging="680"/>
        <w:rPr>
          <w:rFonts w:hAnsi="標楷體"/>
        </w:rPr>
      </w:pPr>
      <w:r w:rsidRPr="004E7851">
        <w:rPr>
          <w:rFonts w:hAnsi="標楷體"/>
        </w:rPr>
        <w:t>衛福部107年6月26日衛授食字第</w:t>
      </w:r>
      <w:r w:rsidRPr="004E7851">
        <w:rPr>
          <w:rFonts w:hAnsi="標楷體"/>
          <w:lang w:eastAsia="zh-HK"/>
        </w:rPr>
        <w:t>1071300516</w:t>
      </w:r>
      <w:r w:rsidRPr="004E7851">
        <w:rPr>
          <w:rFonts w:hAnsi="標楷體"/>
        </w:rPr>
        <w:t>號公告修正「應建立食品追溯追蹤系統之食品業者」</w:t>
      </w:r>
      <w:r w:rsidRPr="004E7851">
        <w:rPr>
          <w:rFonts w:hAnsi="標楷體" w:hint="eastAsia"/>
          <w:lang w:eastAsia="zh-HK"/>
        </w:rPr>
        <w:t>強制使用電子發票實施日期</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3"/>
        <w:gridCol w:w="2019"/>
        <w:gridCol w:w="482"/>
        <w:gridCol w:w="7"/>
        <w:gridCol w:w="3717"/>
        <w:gridCol w:w="1061"/>
        <w:gridCol w:w="1061"/>
      </w:tblGrid>
      <w:tr w:rsidR="00771D6C" w:rsidRPr="004E7851" w:rsidTr="00557F9B">
        <w:trPr>
          <w:trHeight w:val="20"/>
          <w:tblHeader/>
          <w:jc w:val="center"/>
        </w:trPr>
        <w:tc>
          <w:tcPr>
            <w:tcW w:w="273" w:type="pct"/>
            <w:shd w:val="clear" w:color="auto" w:fill="EEECE1" w:themeFill="background2"/>
            <w:vAlign w:val="center"/>
            <w:hideMark/>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序號</w:t>
            </w:r>
          </w:p>
        </w:tc>
        <w:tc>
          <w:tcPr>
            <w:tcW w:w="1420" w:type="pct"/>
            <w:gridSpan w:val="3"/>
            <w:shd w:val="clear" w:color="auto" w:fill="EEECE1" w:themeFill="background2"/>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cs="Arial" w:hint="eastAsia"/>
                <w:b/>
                <w:lang w:eastAsia="zh-HK"/>
              </w:rPr>
              <w:t>類</w:t>
            </w:r>
            <w:r w:rsidRPr="004E7851">
              <w:rPr>
                <w:rFonts w:hAnsi="標楷體" w:hint="eastAsia"/>
                <w:b/>
                <w:spacing w:val="-20"/>
                <w:w w:val="95"/>
              </w:rPr>
              <w:t>別</w:t>
            </w:r>
          </w:p>
        </w:tc>
        <w:tc>
          <w:tcPr>
            <w:tcW w:w="2105" w:type="pct"/>
            <w:shd w:val="clear" w:color="auto" w:fill="EEECE1" w:themeFill="background2"/>
            <w:vAlign w:val="center"/>
            <w:hideMark/>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規模</w:t>
            </w:r>
          </w:p>
        </w:tc>
        <w:tc>
          <w:tcPr>
            <w:tcW w:w="601" w:type="pct"/>
            <w:shd w:val="clear" w:color="auto" w:fill="EEECE1" w:themeFill="background2"/>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lang w:eastAsia="zh-HK"/>
              </w:rPr>
              <w:t>電子發票</w:t>
            </w:r>
          </w:p>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實施日期</w:t>
            </w:r>
          </w:p>
        </w:tc>
        <w:tc>
          <w:tcPr>
            <w:tcW w:w="601" w:type="pct"/>
            <w:shd w:val="clear" w:color="auto" w:fill="EEECE1" w:themeFill="background2"/>
            <w:vAlign w:val="center"/>
          </w:tcPr>
          <w:p w:rsidR="00B55ECF" w:rsidRPr="004E7851" w:rsidRDefault="00B55ECF" w:rsidP="00B877AF">
            <w:pPr>
              <w:pStyle w:val="121"/>
              <w:spacing w:line="330" w:lineRule="exact"/>
              <w:jc w:val="center"/>
              <w:rPr>
                <w:rFonts w:hAnsi="標楷體"/>
                <w:b/>
                <w:spacing w:val="-20"/>
                <w:w w:val="95"/>
                <w:lang w:eastAsia="zh-HK"/>
              </w:rPr>
            </w:pPr>
            <w:r w:rsidRPr="004E7851">
              <w:rPr>
                <w:rFonts w:hAnsi="標楷體" w:hint="eastAsia"/>
                <w:b/>
                <w:spacing w:val="-20"/>
                <w:w w:val="95"/>
                <w:lang w:eastAsia="zh-HK"/>
              </w:rPr>
              <w:t>備註</w:t>
            </w:r>
          </w:p>
        </w:tc>
      </w:tr>
      <w:tr w:rsidR="00771D6C" w:rsidRPr="004E7851" w:rsidTr="00557F9B">
        <w:trPr>
          <w:trHeight w:val="20"/>
          <w:jc w:val="center"/>
        </w:trPr>
        <w:tc>
          <w:tcPr>
            <w:tcW w:w="273" w:type="pct"/>
            <w:vMerge w:val="restart"/>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1</w:t>
            </w:r>
          </w:p>
        </w:tc>
        <w:tc>
          <w:tcPr>
            <w:tcW w:w="1143" w:type="pct"/>
            <w:vMerge w:val="restart"/>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食用油脂</w:t>
            </w: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103.12.31</w:t>
            </w:r>
          </w:p>
        </w:tc>
        <w:tc>
          <w:tcPr>
            <w:tcW w:w="601" w:type="pc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auto"/>
            <w:vAlign w:val="center"/>
            <w:hideMark/>
          </w:tcPr>
          <w:p w:rsidR="00B55ECF" w:rsidRPr="004E7851" w:rsidRDefault="00B55ECF" w:rsidP="00B877AF">
            <w:pPr>
              <w:pStyle w:val="121"/>
              <w:spacing w:line="330" w:lineRule="exact"/>
              <w:rPr>
                <w:rFonts w:hAnsi="標楷體"/>
                <w:spacing w:val="-20"/>
                <w:w w:val="95"/>
              </w:rPr>
            </w:pPr>
          </w:p>
        </w:tc>
        <w:tc>
          <w:tcPr>
            <w:tcW w:w="273" w:type="pct"/>
            <w:vMerge w:val="restar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1.工廠登記且資本額≧3,000萬元</w:t>
            </w:r>
          </w:p>
        </w:tc>
        <w:tc>
          <w:tcPr>
            <w:tcW w:w="601" w:type="pc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103.12.31</w:t>
            </w:r>
          </w:p>
        </w:tc>
        <w:tc>
          <w:tcPr>
            <w:tcW w:w="601" w:type="pc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auto"/>
            <w:vAlign w:val="center"/>
            <w:hideMark/>
          </w:tcPr>
          <w:p w:rsidR="00B55ECF" w:rsidRPr="004E7851" w:rsidRDefault="00B55ECF" w:rsidP="00B877AF">
            <w:pPr>
              <w:pStyle w:val="121"/>
              <w:spacing w:line="330" w:lineRule="exact"/>
              <w:rPr>
                <w:rFonts w:hAnsi="標楷體"/>
                <w:spacing w:val="-20"/>
                <w:w w:val="95"/>
              </w:rPr>
            </w:pPr>
          </w:p>
        </w:tc>
        <w:tc>
          <w:tcPr>
            <w:tcW w:w="273" w:type="pct"/>
            <w:vMerge/>
            <w:shd w:val="clear" w:color="auto" w:fill="auto"/>
            <w:vAlign w:val="center"/>
          </w:tcPr>
          <w:p w:rsidR="00B55ECF" w:rsidRPr="004E7851" w:rsidRDefault="00B55ECF" w:rsidP="00B877AF">
            <w:pPr>
              <w:pStyle w:val="121"/>
              <w:spacing w:line="330" w:lineRule="exact"/>
              <w:rPr>
                <w:rFonts w:hAnsi="標楷體"/>
                <w:spacing w:val="-20"/>
                <w:w w:val="95"/>
              </w:rPr>
            </w:pP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2.工廠登記且資本額&lt;3,000萬元</w:t>
            </w:r>
          </w:p>
        </w:tc>
        <w:tc>
          <w:tcPr>
            <w:tcW w:w="601" w:type="pc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107.1.1</w:t>
            </w:r>
          </w:p>
        </w:tc>
        <w:tc>
          <w:tcPr>
            <w:tcW w:w="601" w:type="pc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2</w:t>
            </w:r>
          </w:p>
        </w:tc>
        <w:tc>
          <w:tcPr>
            <w:tcW w:w="1143" w:type="pct"/>
            <w:vMerge w:val="restart"/>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肉品加工</w:t>
            </w: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p>
        </w:tc>
        <w:tc>
          <w:tcPr>
            <w:tcW w:w="273" w:type="pct"/>
            <w:vMerge w:val="restar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1.工廠登記實施HACCP</w:t>
            </w:r>
            <w:r w:rsidRPr="004E7851">
              <w:rPr>
                <w:rStyle w:val="aff4"/>
                <w:rFonts w:hAnsi="標楷體"/>
                <w:spacing w:val="-20"/>
                <w:w w:val="95"/>
              </w:rPr>
              <w:footnoteReference w:id="3"/>
            </w:r>
            <w:r w:rsidRPr="004E7851">
              <w:rPr>
                <w:rFonts w:hAnsi="標楷體" w:hint="eastAsia"/>
                <w:spacing w:val="-20"/>
                <w:w w:val="95"/>
              </w:rPr>
              <w:t>且資本額≧3,000萬元</w:t>
            </w:r>
          </w:p>
        </w:tc>
        <w:tc>
          <w:tcPr>
            <w:tcW w:w="601" w:type="pct"/>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p>
        </w:tc>
        <w:tc>
          <w:tcPr>
            <w:tcW w:w="273" w:type="pct"/>
            <w:vMerge/>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2.工廠登記實施HACCP且資本額&lt;3,000萬元</w:t>
            </w:r>
          </w:p>
        </w:tc>
        <w:tc>
          <w:tcPr>
            <w:tcW w:w="601" w:type="pct"/>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107.1.1</w:t>
            </w:r>
          </w:p>
        </w:tc>
        <w:tc>
          <w:tcPr>
            <w:tcW w:w="601" w:type="pct"/>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3</w:t>
            </w:r>
          </w:p>
        </w:tc>
        <w:tc>
          <w:tcPr>
            <w:tcW w:w="1143" w:type="pct"/>
            <w:vMerge w:val="restart"/>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乳品加工</w:t>
            </w: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auto"/>
            <w:vAlign w:val="center"/>
            <w:hideMark/>
          </w:tcPr>
          <w:p w:rsidR="00B55ECF" w:rsidRPr="004E7851" w:rsidRDefault="00B55ECF" w:rsidP="00B877AF">
            <w:pPr>
              <w:pStyle w:val="121"/>
              <w:spacing w:line="330" w:lineRule="exact"/>
              <w:rPr>
                <w:rFonts w:hAnsi="標楷體"/>
                <w:spacing w:val="-20"/>
                <w:w w:val="95"/>
              </w:rPr>
            </w:pPr>
          </w:p>
        </w:tc>
        <w:tc>
          <w:tcPr>
            <w:tcW w:w="273" w:type="pct"/>
            <w:vMerge w:val="restar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1.工廠登記實施HACCP且資本額≧3,000萬元</w:t>
            </w:r>
          </w:p>
        </w:tc>
        <w:tc>
          <w:tcPr>
            <w:tcW w:w="601" w:type="pc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auto"/>
            <w:vAlign w:val="center"/>
            <w:hideMark/>
          </w:tcPr>
          <w:p w:rsidR="00B55ECF" w:rsidRPr="004E7851" w:rsidRDefault="00B55ECF" w:rsidP="00B877AF">
            <w:pPr>
              <w:pStyle w:val="121"/>
              <w:spacing w:line="330" w:lineRule="exact"/>
              <w:rPr>
                <w:rFonts w:hAnsi="標楷體"/>
                <w:spacing w:val="-20"/>
                <w:w w:val="95"/>
              </w:rPr>
            </w:pPr>
          </w:p>
        </w:tc>
        <w:tc>
          <w:tcPr>
            <w:tcW w:w="273" w:type="pct"/>
            <w:vMerge/>
            <w:shd w:val="clear" w:color="auto" w:fill="auto"/>
            <w:vAlign w:val="center"/>
          </w:tcPr>
          <w:p w:rsidR="00B55ECF" w:rsidRPr="004E7851" w:rsidRDefault="00B55ECF" w:rsidP="00B877AF">
            <w:pPr>
              <w:pStyle w:val="121"/>
              <w:spacing w:line="330" w:lineRule="exact"/>
              <w:rPr>
                <w:rFonts w:hAnsi="標楷體"/>
                <w:spacing w:val="-20"/>
                <w:w w:val="95"/>
              </w:rPr>
            </w:pP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2.工廠登記實施HACCP且資本額&lt;3,000萬元</w:t>
            </w:r>
          </w:p>
        </w:tc>
        <w:tc>
          <w:tcPr>
            <w:tcW w:w="601" w:type="pc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107.1.1</w:t>
            </w:r>
          </w:p>
        </w:tc>
        <w:tc>
          <w:tcPr>
            <w:tcW w:w="601" w:type="pc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4</w:t>
            </w:r>
          </w:p>
        </w:tc>
        <w:tc>
          <w:tcPr>
            <w:tcW w:w="1143" w:type="pct"/>
            <w:vMerge w:val="restart"/>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水產品食品</w:t>
            </w: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107.1.1</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p>
        </w:tc>
        <w:tc>
          <w:tcPr>
            <w:tcW w:w="273" w:type="pct"/>
            <w:vMerge w:val="restar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1.工廠登記實施HACCP且資本額≧3,000萬元</w:t>
            </w: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p>
        </w:tc>
        <w:tc>
          <w:tcPr>
            <w:tcW w:w="273" w:type="pct"/>
            <w:vMerge/>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2.工廠登記實施HACCP且資本額&lt;3,000萬元</w:t>
            </w: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5</w:t>
            </w:r>
          </w:p>
        </w:tc>
        <w:tc>
          <w:tcPr>
            <w:tcW w:w="1143" w:type="pct"/>
            <w:vMerge w:val="restart"/>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餐盒食品</w:t>
            </w:r>
          </w:p>
        </w:tc>
        <w:tc>
          <w:tcPr>
            <w:tcW w:w="273" w:type="pct"/>
            <w:vMerge w:val="restar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1.工廠登記且資本額≧3,000萬元</w:t>
            </w:r>
          </w:p>
        </w:tc>
        <w:tc>
          <w:tcPr>
            <w:tcW w:w="601" w:type="pc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auto"/>
            <w:vAlign w:val="center"/>
            <w:hideMark/>
          </w:tcPr>
          <w:p w:rsidR="00B55ECF" w:rsidRPr="004E7851" w:rsidRDefault="00B55ECF" w:rsidP="00B877AF">
            <w:pPr>
              <w:pStyle w:val="121"/>
              <w:spacing w:line="330" w:lineRule="exact"/>
              <w:rPr>
                <w:rFonts w:hAnsi="標楷體"/>
                <w:spacing w:val="-20"/>
                <w:w w:val="95"/>
              </w:rPr>
            </w:pPr>
          </w:p>
        </w:tc>
        <w:tc>
          <w:tcPr>
            <w:tcW w:w="273" w:type="pct"/>
            <w:vMerge/>
            <w:shd w:val="clear" w:color="auto" w:fill="auto"/>
            <w:vAlign w:val="center"/>
          </w:tcPr>
          <w:p w:rsidR="00B55ECF" w:rsidRPr="004E7851" w:rsidRDefault="00B55ECF" w:rsidP="00B877AF">
            <w:pPr>
              <w:pStyle w:val="121"/>
              <w:spacing w:line="330" w:lineRule="exact"/>
              <w:rPr>
                <w:rFonts w:hAnsi="標楷體"/>
                <w:spacing w:val="-20"/>
                <w:w w:val="95"/>
              </w:rPr>
            </w:pP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2.工廠登記且資本額&lt;3,000萬元</w:t>
            </w:r>
          </w:p>
        </w:tc>
        <w:tc>
          <w:tcPr>
            <w:tcW w:w="601" w:type="pc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107.1.1</w:t>
            </w:r>
          </w:p>
        </w:tc>
        <w:tc>
          <w:tcPr>
            <w:tcW w:w="601" w:type="pc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lastRenderedPageBreak/>
              <w:t>6</w:t>
            </w:r>
          </w:p>
        </w:tc>
        <w:tc>
          <w:tcPr>
            <w:tcW w:w="1143" w:type="pct"/>
            <w:vMerge w:val="restart"/>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食品添加物</w:t>
            </w: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108.1.1</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7</w:t>
            </w:r>
          </w:p>
        </w:tc>
        <w:tc>
          <w:tcPr>
            <w:tcW w:w="1143" w:type="pct"/>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基因改造食品原料</w:t>
            </w: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8</w:t>
            </w:r>
          </w:p>
        </w:tc>
        <w:tc>
          <w:tcPr>
            <w:tcW w:w="1143" w:type="pct"/>
            <w:vMerge w:val="restart"/>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黃豆</w:t>
            </w: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工廠登記且資本額≧3,000萬元</w:t>
            </w: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9</w:t>
            </w:r>
          </w:p>
        </w:tc>
        <w:tc>
          <w:tcPr>
            <w:tcW w:w="1143" w:type="pct"/>
            <w:vMerge w:val="restart"/>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小麥(麥類及燕麥)</w:t>
            </w: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Merge w:val="restar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vMerge w:val="restar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auto"/>
            <w:vAlign w:val="center"/>
            <w:hideMark/>
          </w:tcPr>
          <w:p w:rsidR="00B55ECF" w:rsidRPr="004E7851" w:rsidRDefault="00B55ECF" w:rsidP="00B877AF">
            <w:pPr>
              <w:pStyle w:val="121"/>
              <w:spacing w:line="330" w:lineRule="exact"/>
              <w:rPr>
                <w:rFonts w:hAnsi="標楷體"/>
                <w:spacing w:val="-20"/>
                <w:w w:val="95"/>
              </w:rPr>
            </w:pP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工廠登記且資本額≧3,000萬元</w:t>
            </w:r>
          </w:p>
        </w:tc>
        <w:tc>
          <w:tcPr>
            <w:tcW w:w="601" w:type="pct"/>
            <w:vMerge/>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10</w:t>
            </w:r>
          </w:p>
        </w:tc>
        <w:tc>
          <w:tcPr>
            <w:tcW w:w="1143" w:type="pct"/>
            <w:vMerge w:val="restart"/>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玉米</w:t>
            </w: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工廠登記且資本額≧3,000萬元</w:t>
            </w: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11</w:t>
            </w:r>
          </w:p>
        </w:tc>
        <w:tc>
          <w:tcPr>
            <w:tcW w:w="1143" w:type="pct"/>
            <w:vMerge w:val="restart"/>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麵粉</w:t>
            </w: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Merge w:val="restar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vMerge w:val="restar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auto"/>
            <w:vAlign w:val="center"/>
            <w:hideMark/>
          </w:tcPr>
          <w:p w:rsidR="00B55ECF" w:rsidRPr="004E7851" w:rsidRDefault="00B55ECF" w:rsidP="00B877AF">
            <w:pPr>
              <w:pStyle w:val="121"/>
              <w:spacing w:line="330" w:lineRule="exact"/>
              <w:rPr>
                <w:rFonts w:hAnsi="標楷體"/>
                <w:spacing w:val="-20"/>
                <w:w w:val="95"/>
              </w:rPr>
            </w:pP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工廠登記且資本額≧3,000萬元</w:t>
            </w:r>
          </w:p>
        </w:tc>
        <w:tc>
          <w:tcPr>
            <w:tcW w:w="601" w:type="pct"/>
            <w:vMerge/>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12</w:t>
            </w:r>
          </w:p>
        </w:tc>
        <w:tc>
          <w:tcPr>
            <w:tcW w:w="1143" w:type="pct"/>
            <w:vMerge w:val="restart"/>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澱粉</w:t>
            </w: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工廠登記且資本額≧3,000萬元</w:t>
            </w: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13</w:t>
            </w:r>
          </w:p>
        </w:tc>
        <w:tc>
          <w:tcPr>
            <w:tcW w:w="1143" w:type="pct"/>
            <w:vMerge w:val="restart"/>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食鹽</w:t>
            </w: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Merge w:val="restar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vMerge w:val="restar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auto"/>
            <w:vAlign w:val="center"/>
            <w:hideMark/>
          </w:tcPr>
          <w:p w:rsidR="00B55ECF" w:rsidRPr="004E7851" w:rsidRDefault="00B55ECF" w:rsidP="00B877AF">
            <w:pPr>
              <w:pStyle w:val="121"/>
              <w:spacing w:line="330" w:lineRule="exact"/>
              <w:rPr>
                <w:rFonts w:hAnsi="標楷體"/>
                <w:spacing w:val="-20"/>
                <w:w w:val="95"/>
              </w:rPr>
            </w:pP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工廠登記且資本額≧3,000萬元</w:t>
            </w:r>
          </w:p>
        </w:tc>
        <w:tc>
          <w:tcPr>
            <w:tcW w:w="601" w:type="pct"/>
            <w:vMerge/>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14</w:t>
            </w:r>
          </w:p>
        </w:tc>
        <w:tc>
          <w:tcPr>
            <w:tcW w:w="1143" w:type="pct"/>
            <w:vMerge w:val="restart"/>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糖</w:t>
            </w: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工廠登記且資本額≧3,000萬元</w:t>
            </w: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15</w:t>
            </w:r>
          </w:p>
        </w:tc>
        <w:tc>
          <w:tcPr>
            <w:tcW w:w="1143" w:type="pct"/>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茶葉</w:t>
            </w: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16</w:t>
            </w:r>
          </w:p>
        </w:tc>
        <w:tc>
          <w:tcPr>
            <w:tcW w:w="1143" w:type="pct"/>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包裝茶葉飲料</w:t>
            </w: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工廠登記且資本額≧3,000萬元</w:t>
            </w:r>
          </w:p>
        </w:tc>
        <w:tc>
          <w:tcPr>
            <w:tcW w:w="601" w:type="pct"/>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17</w:t>
            </w:r>
          </w:p>
        </w:tc>
        <w:tc>
          <w:tcPr>
            <w:tcW w:w="1143" w:type="pct"/>
            <w:vMerge w:val="restart"/>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黃豆製品</w:t>
            </w: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Merge w:val="restar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106.1.1</w:t>
            </w:r>
          </w:p>
        </w:tc>
        <w:tc>
          <w:tcPr>
            <w:tcW w:w="601" w:type="pct"/>
            <w:vMerge w:val="restar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auto"/>
            <w:vAlign w:val="center"/>
            <w:hideMark/>
          </w:tcPr>
          <w:p w:rsidR="00B55ECF" w:rsidRPr="004E7851" w:rsidRDefault="00B55ECF" w:rsidP="00B877AF">
            <w:pPr>
              <w:pStyle w:val="121"/>
              <w:spacing w:line="330" w:lineRule="exact"/>
              <w:rPr>
                <w:rFonts w:hAnsi="標楷體"/>
                <w:spacing w:val="-20"/>
                <w:w w:val="95"/>
              </w:rPr>
            </w:pP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工廠登記且資本額≧3,000萬元</w:t>
            </w:r>
          </w:p>
        </w:tc>
        <w:tc>
          <w:tcPr>
            <w:tcW w:w="601" w:type="pct"/>
            <w:vMerge/>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18</w:t>
            </w:r>
          </w:p>
        </w:tc>
        <w:tc>
          <w:tcPr>
            <w:tcW w:w="1143" w:type="pct"/>
            <w:vMerge w:val="restart"/>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嬰兒與較大嬰兒配方食品</w:t>
            </w: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104.9.1</w:t>
            </w:r>
          </w:p>
        </w:tc>
        <w:tc>
          <w:tcPr>
            <w:tcW w:w="601" w:type="pct"/>
            <w:vMerge w:val="restart"/>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p>
        </w:tc>
        <w:tc>
          <w:tcPr>
            <w:tcW w:w="273" w:type="pct"/>
            <w:vMerge w:val="restar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1.工廠登記且資本額≧3,000萬元</w:t>
            </w: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p>
        </w:tc>
        <w:tc>
          <w:tcPr>
            <w:tcW w:w="273" w:type="pct"/>
            <w:vMerge/>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2.工廠登記且資本額&lt;3,000萬元</w:t>
            </w: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販售</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商業、公司或工廠登記且資本額≧3,000萬元</w:t>
            </w: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val="restart"/>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19</w:t>
            </w:r>
          </w:p>
        </w:tc>
        <w:tc>
          <w:tcPr>
            <w:tcW w:w="1143" w:type="pct"/>
            <w:vMerge w:val="restart"/>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市售包裝乳粉及調製乳粉</w:t>
            </w: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Merge w:val="restar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104.9.1</w:t>
            </w:r>
          </w:p>
        </w:tc>
        <w:tc>
          <w:tcPr>
            <w:tcW w:w="601" w:type="pct"/>
            <w:vMerge w:val="restar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auto"/>
            <w:vAlign w:val="center"/>
            <w:hideMark/>
          </w:tcPr>
          <w:p w:rsidR="00B55ECF" w:rsidRPr="004E7851" w:rsidRDefault="00B55ECF" w:rsidP="00B877AF">
            <w:pPr>
              <w:pStyle w:val="121"/>
              <w:spacing w:line="330" w:lineRule="exact"/>
              <w:rPr>
                <w:rFonts w:hAnsi="標楷體"/>
                <w:spacing w:val="-20"/>
                <w:w w:val="95"/>
              </w:rPr>
            </w:pP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工廠登記</w:t>
            </w:r>
          </w:p>
        </w:tc>
        <w:tc>
          <w:tcPr>
            <w:tcW w:w="601" w:type="pct"/>
            <w:vMerge/>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vMerge/>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p>
        </w:tc>
        <w:tc>
          <w:tcPr>
            <w:tcW w:w="1143" w:type="pct"/>
            <w:vMerge/>
            <w:shd w:val="clear" w:color="auto" w:fill="auto"/>
            <w:vAlign w:val="center"/>
            <w:hideMark/>
          </w:tcPr>
          <w:p w:rsidR="00B55ECF" w:rsidRPr="004E7851" w:rsidRDefault="00B55ECF" w:rsidP="00B877AF">
            <w:pPr>
              <w:pStyle w:val="121"/>
              <w:spacing w:line="330" w:lineRule="exact"/>
              <w:rPr>
                <w:rFonts w:hAnsi="標楷體"/>
                <w:spacing w:val="-20"/>
                <w:w w:val="95"/>
              </w:rPr>
            </w:pP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販售</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商業、公司或工廠登記且資本額≧3,000萬元</w:t>
            </w:r>
          </w:p>
        </w:tc>
        <w:tc>
          <w:tcPr>
            <w:tcW w:w="601" w:type="pct"/>
            <w:vMerge/>
            <w:vAlign w:val="center"/>
          </w:tcPr>
          <w:p w:rsidR="00B55ECF" w:rsidRPr="004E7851" w:rsidRDefault="00B55ECF" w:rsidP="00B877AF">
            <w:pPr>
              <w:pStyle w:val="121"/>
              <w:spacing w:line="330" w:lineRule="exact"/>
              <w:jc w:val="center"/>
              <w:rPr>
                <w:rFonts w:hAnsi="標楷體"/>
                <w:b/>
                <w:spacing w:val="-20"/>
                <w:w w:val="95"/>
              </w:rPr>
            </w:pPr>
          </w:p>
        </w:tc>
        <w:tc>
          <w:tcPr>
            <w:tcW w:w="601" w:type="pct"/>
            <w:vMerge/>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20</w:t>
            </w:r>
          </w:p>
        </w:tc>
        <w:tc>
          <w:tcPr>
            <w:tcW w:w="1143" w:type="pct"/>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蛋製品</w:t>
            </w: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工廠登記且資本額≧3,000萬元</w:t>
            </w:r>
          </w:p>
        </w:tc>
        <w:tc>
          <w:tcPr>
            <w:tcW w:w="601" w:type="pct"/>
            <w:shd w:val="clear" w:color="auto" w:fill="EAF1DD" w:themeFill="accent3" w:themeFillTint="33"/>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109.1.1</w:t>
            </w:r>
          </w:p>
        </w:tc>
        <w:tc>
          <w:tcPr>
            <w:tcW w:w="601" w:type="pct"/>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shd w:val="clear" w:color="auto" w:fill="auto"/>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21</w:t>
            </w:r>
          </w:p>
        </w:tc>
        <w:tc>
          <w:tcPr>
            <w:tcW w:w="1143" w:type="pct"/>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食用醋</w:t>
            </w: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auto"/>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工廠登記且資本額≧3,000萬元</w:t>
            </w:r>
          </w:p>
        </w:tc>
        <w:tc>
          <w:tcPr>
            <w:tcW w:w="601" w:type="pct"/>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109.1.1</w:t>
            </w:r>
          </w:p>
        </w:tc>
        <w:tc>
          <w:tcPr>
            <w:tcW w:w="601" w:type="pct"/>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shd w:val="clear" w:color="auto" w:fill="EAF1DD" w:themeFill="accent3" w:themeFillTint="33"/>
            <w:vAlign w:val="center"/>
            <w:hideMark/>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22</w:t>
            </w:r>
          </w:p>
        </w:tc>
        <w:tc>
          <w:tcPr>
            <w:tcW w:w="1143" w:type="pct"/>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lang w:eastAsia="zh-HK"/>
              </w:rPr>
            </w:pPr>
            <w:r w:rsidRPr="004E7851">
              <w:rPr>
                <w:rFonts w:hAnsi="標楷體" w:hint="eastAsia"/>
                <w:spacing w:val="-20"/>
                <w:w w:val="95"/>
                <w:lang w:eastAsia="zh-HK"/>
              </w:rPr>
              <w:t>嬰幼兒食品</w:t>
            </w: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EAF1DD" w:themeFill="accent3" w:themeFillTint="33"/>
            <w:vAlign w:val="center"/>
            <w:hideMark/>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109.1.1</w:t>
            </w:r>
          </w:p>
        </w:tc>
        <w:tc>
          <w:tcPr>
            <w:tcW w:w="601" w:type="pct"/>
            <w:shd w:val="clear" w:color="auto" w:fill="EAF1DD" w:themeFill="accent3" w:themeFillTint="33"/>
            <w:vAlign w:val="center"/>
          </w:tcPr>
          <w:p w:rsidR="00B55ECF" w:rsidRPr="004E7851" w:rsidRDefault="00B55ECF" w:rsidP="00B877AF">
            <w:pPr>
              <w:pStyle w:val="121"/>
              <w:spacing w:line="330" w:lineRule="exact"/>
              <w:jc w:val="center"/>
              <w:rPr>
                <w:rFonts w:hAnsi="標楷體"/>
                <w:spacing w:val="-20"/>
                <w:w w:val="95"/>
              </w:rPr>
            </w:pPr>
          </w:p>
        </w:tc>
      </w:tr>
      <w:tr w:rsidR="00771D6C" w:rsidRPr="004E7851" w:rsidTr="00557F9B">
        <w:trPr>
          <w:trHeight w:val="20"/>
          <w:jc w:val="center"/>
        </w:trPr>
        <w:tc>
          <w:tcPr>
            <w:tcW w:w="273" w:type="pct"/>
            <w:shd w:val="clear" w:color="auto" w:fill="auto"/>
            <w:vAlign w:val="center"/>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2</w:t>
            </w:r>
            <w:r w:rsidRPr="004E7851">
              <w:rPr>
                <w:rFonts w:hAnsi="標楷體" w:cs="新細明體"/>
                <w:spacing w:val="-20"/>
                <w:w w:val="95"/>
              </w:rPr>
              <w:t>3</w:t>
            </w:r>
          </w:p>
        </w:tc>
        <w:tc>
          <w:tcPr>
            <w:tcW w:w="1143" w:type="pct"/>
            <w:shd w:val="clear" w:color="auto" w:fill="auto"/>
            <w:vAlign w:val="center"/>
          </w:tcPr>
          <w:p w:rsidR="00B55ECF" w:rsidRPr="004E7851" w:rsidRDefault="00B55ECF" w:rsidP="00B877AF">
            <w:pPr>
              <w:pStyle w:val="121"/>
              <w:spacing w:line="330" w:lineRule="exact"/>
              <w:rPr>
                <w:rFonts w:hAnsi="標楷體"/>
                <w:spacing w:val="-20"/>
                <w:w w:val="95"/>
                <w:lang w:eastAsia="zh-HK"/>
              </w:rPr>
            </w:pPr>
            <w:r w:rsidRPr="004E7851">
              <w:rPr>
                <w:rFonts w:hAnsi="標楷體" w:hint="eastAsia"/>
                <w:spacing w:val="-20"/>
                <w:w w:val="95"/>
                <w:lang w:eastAsia="zh-HK"/>
              </w:rPr>
              <w:t>農產植物製品、菇(蕈)類及藻類之冷凍、冷藏、脫水、醃漬、凝膠及餡料製品、植物蛋白及其製品</w:t>
            </w: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輸入</w:t>
            </w:r>
          </w:p>
        </w:tc>
        <w:tc>
          <w:tcPr>
            <w:tcW w:w="2109" w:type="pct"/>
            <w:gridSpan w:val="2"/>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商業、公司或工廠登記</w:t>
            </w:r>
          </w:p>
        </w:tc>
        <w:tc>
          <w:tcPr>
            <w:tcW w:w="601" w:type="pc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110.1.1</w:t>
            </w:r>
          </w:p>
        </w:tc>
        <w:tc>
          <w:tcPr>
            <w:tcW w:w="601" w:type="pct"/>
            <w:vMerge w:val="restart"/>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lang w:eastAsia="zh-HK"/>
              </w:rPr>
              <w:t>皆為本次公告所新增之類別</w:t>
            </w:r>
            <w:r w:rsidRPr="004E7851">
              <w:rPr>
                <w:rFonts w:hAnsi="標楷體" w:hint="eastAsia"/>
                <w:spacing w:val="-20"/>
                <w:w w:val="95"/>
              </w:rPr>
              <w:t>，</w:t>
            </w:r>
            <w:r w:rsidRPr="004E7851">
              <w:rPr>
                <w:rFonts w:hAnsi="標楷體" w:hint="eastAsia"/>
                <w:spacing w:val="-20"/>
                <w:w w:val="95"/>
                <w:lang w:eastAsia="zh-HK"/>
              </w:rPr>
              <w:t>現非強制開立電子發票階段</w:t>
            </w:r>
            <w:r w:rsidRPr="004E7851">
              <w:rPr>
                <w:rFonts w:hAnsi="標楷體" w:hint="eastAsia"/>
                <w:spacing w:val="-20"/>
                <w:w w:val="95"/>
              </w:rPr>
              <w:t>。</w:t>
            </w:r>
          </w:p>
        </w:tc>
      </w:tr>
      <w:tr w:rsidR="00771D6C" w:rsidRPr="004E7851" w:rsidTr="00557F9B">
        <w:trPr>
          <w:trHeight w:val="20"/>
          <w:jc w:val="center"/>
        </w:trPr>
        <w:tc>
          <w:tcPr>
            <w:tcW w:w="273" w:type="pct"/>
            <w:shd w:val="clear" w:color="auto" w:fill="EAF1DD" w:themeFill="accent3" w:themeFillTint="33"/>
            <w:vAlign w:val="center"/>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24</w:t>
            </w:r>
          </w:p>
        </w:tc>
        <w:tc>
          <w:tcPr>
            <w:tcW w:w="114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lang w:eastAsia="zh-HK"/>
              </w:rPr>
              <w:t>其他食品業別</w:t>
            </w:r>
          </w:p>
        </w:tc>
        <w:tc>
          <w:tcPr>
            <w:tcW w:w="273" w:type="pct"/>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製造</w:t>
            </w:r>
          </w:p>
        </w:tc>
        <w:tc>
          <w:tcPr>
            <w:tcW w:w="2109" w:type="pct"/>
            <w:gridSpan w:val="2"/>
            <w:shd w:val="clear" w:color="auto" w:fill="EAF1DD" w:themeFill="accent3" w:themeFillTint="33"/>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工廠登記且資本額≧3,000萬元</w:t>
            </w:r>
          </w:p>
        </w:tc>
        <w:tc>
          <w:tcPr>
            <w:tcW w:w="601" w:type="pct"/>
            <w:shd w:val="clear" w:color="auto" w:fill="EAF1DD" w:themeFill="accent3" w:themeFillTint="33"/>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t>112.1.1</w:t>
            </w:r>
          </w:p>
        </w:tc>
        <w:tc>
          <w:tcPr>
            <w:tcW w:w="601" w:type="pct"/>
            <w:vMerge/>
            <w:shd w:val="clear" w:color="auto" w:fill="EAF1DD" w:themeFill="accent3" w:themeFillTint="33"/>
          </w:tcPr>
          <w:p w:rsidR="00B55ECF" w:rsidRPr="004E7851" w:rsidRDefault="00B55ECF" w:rsidP="00B877AF">
            <w:pPr>
              <w:pStyle w:val="121"/>
              <w:spacing w:line="330" w:lineRule="exact"/>
              <w:jc w:val="left"/>
              <w:rPr>
                <w:rFonts w:hAnsi="標楷體"/>
                <w:spacing w:val="-20"/>
                <w:w w:val="95"/>
                <w:lang w:eastAsia="zh-HK"/>
              </w:rPr>
            </w:pPr>
          </w:p>
        </w:tc>
      </w:tr>
      <w:tr w:rsidR="00771D6C" w:rsidRPr="004E7851" w:rsidTr="00557F9B">
        <w:trPr>
          <w:trHeight w:val="20"/>
          <w:jc w:val="center"/>
        </w:trPr>
        <w:tc>
          <w:tcPr>
            <w:tcW w:w="273" w:type="pct"/>
            <w:shd w:val="clear" w:color="auto" w:fill="auto"/>
            <w:vAlign w:val="center"/>
          </w:tcPr>
          <w:p w:rsidR="00B55ECF" w:rsidRPr="004E7851" w:rsidRDefault="00B55ECF" w:rsidP="00B877AF">
            <w:pPr>
              <w:pStyle w:val="121"/>
              <w:spacing w:line="330" w:lineRule="exact"/>
              <w:jc w:val="center"/>
              <w:rPr>
                <w:rFonts w:hAnsi="標楷體" w:cs="新細明體"/>
                <w:spacing w:val="-20"/>
                <w:w w:val="95"/>
              </w:rPr>
            </w:pPr>
            <w:r w:rsidRPr="004E7851">
              <w:rPr>
                <w:rFonts w:hAnsi="標楷體" w:cs="新細明體" w:hint="eastAsia"/>
                <w:spacing w:val="-20"/>
                <w:w w:val="95"/>
              </w:rPr>
              <w:t>25</w:t>
            </w:r>
          </w:p>
        </w:tc>
        <w:tc>
          <w:tcPr>
            <w:tcW w:w="114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lang w:eastAsia="zh-HK"/>
              </w:rPr>
              <w:t>餐盒食品</w:t>
            </w:r>
          </w:p>
        </w:tc>
        <w:tc>
          <w:tcPr>
            <w:tcW w:w="273" w:type="pct"/>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販售</w:t>
            </w:r>
          </w:p>
        </w:tc>
        <w:tc>
          <w:tcPr>
            <w:tcW w:w="2109" w:type="pct"/>
            <w:gridSpan w:val="2"/>
            <w:shd w:val="clear" w:color="auto" w:fill="auto"/>
            <w:vAlign w:val="center"/>
          </w:tcPr>
          <w:p w:rsidR="00B55ECF" w:rsidRPr="004E7851" w:rsidRDefault="00B55ECF" w:rsidP="00B877AF">
            <w:pPr>
              <w:pStyle w:val="121"/>
              <w:spacing w:line="330" w:lineRule="exact"/>
              <w:rPr>
                <w:rFonts w:hAnsi="標楷體"/>
                <w:spacing w:val="-20"/>
                <w:w w:val="95"/>
              </w:rPr>
            </w:pPr>
            <w:r w:rsidRPr="004E7851">
              <w:rPr>
                <w:rFonts w:hAnsi="標楷體" w:hint="eastAsia"/>
                <w:spacing w:val="-20"/>
                <w:w w:val="95"/>
              </w:rPr>
              <w:t>達3家以上非百貨公司之綜合商品零售業獨立</w:t>
            </w:r>
            <w:r w:rsidRPr="004E7851">
              <w:rPr>
                <w:rFonts w:hAnsi="標楷體" w:hint="eastAsia"/>
                <w:spacing w:val="-20"/>
                <w:w w:val="95"/>
              </w:rPr>
              <w:lastRenderedPageBreak/>
              <w:t>門市之連鎖品牌，且資本額≧3,000萬元</w:t>
            </w:r>
          </w:p>
        </w:tc>
        <w:tc>
          <w:tcPr>
            <w:tcW w:w="601" w:type="pct"/>
            <w:vAlign w:val="center"/>
          </w:tcPr>
          <w:p w:rsidR="00B55ECF" w:rsidRPr="004E7851" w:rsidRDefault="00B55ECF" w:rsidP="00B877AF">
            <w:pPr>
              <w:pStyle w:val="121"/>
              <w:spacing w:line="330" w:lineRule="exact"/>
              <w:jc w:val="center"/>
              <w:rPr>
                <w:rFonts w:hAnsi="標楷體"/>
                <w:b/>
                <w:spacing w:val="-20"/>
                <w:w w:val="95"/>
              </w:rPr>
            </w:pPr>
            <w:r w:rsidRPr="004E7851">
              <w:rPr>
                <w:rFonts w:hAnsi="標楷體" w:hint="eastAsia"/>
                <w:b/>
                <w:spacing w:val="-20"/>
                <w:w w:val="95"/>
              </w:rPr>
              <w:lastRenderedPageBreak/>
              <w:t>110.1.1</w:t>
            </w:r>
          </w:p>
        </w:tc>
        <w:tc>
          <w:tcPr>
            <w:tcW w:w="601" w:type="pct"/>
            <w:vMerge/>
          </w:tcPr>
          <w:p w:rsidR="00B55ECF" w:rsidRPr="004E7851" w:rsidRDefault="00B55ECF" w:rsidP="00B877AF">
            <w:pPr>
              <w:spacing w:line="330" w:lineRule="exact"/>
              <w:jc w:val="left"/>
              <w:rPr>
                <w:rFonts w:hAnsi="標楷體"/>
                <w:snapToGrid w:val="0"/>
                <w:spacing w:val="-20"/>
                <w:w w:val="95"/>
                <w:kern w:val="0"/>
                <w:sz w:val="24"/>
                <w:szCs w:val="24"/>
                <w:lang w:eastAsia="zh-HK"/>
              </w:rPr>
            </w:pPr>
          </w:p>
        </w:tc>
      </w:tr>
    </w:tbl>
    <w:p w:rsidR="00B55ECF" w:rsidRPr="004E7851" w:rsidRDefault="00B55ECF" w:rsidP="00B55ECF">
      <w:pPr>
        <w:pStyle w:val="afa"/>
        <w:rPr>
          <w:rFonts w:hAnsi="標楷體"/>
          <w:sz w:val="24"/>
          <w:szCs w:val="24"/>
          <w:lang w:eastAsia="zh-HK"/>
        </w:rPr>
      </w:pPr>
      <w:r w:rsidRPr="004E7851">
        <w:rPr>
          <w:rFonts w:hAnsi="標楷體" w:hint="eastAsia"/>
          <w:sz w:val="24"/>
          <w:szCs w:val="24"/>
          <w:lang w:eastAsia="zh-HK"/>
        </w:rPr>
        <w:t>資料來源：食藥署。</w:t>
      </w:r>
    </w:p>
    <w:p w:rsidR="0025591F" w:rsidRPr="004E7851" w:rsidRDefault="00B55ECF" w:rsidP="007048C1">
      <w:pPr>
        <w:pStyle w:val="3"/>
        <w:numPr>
          <w:ilvl w:val="2"/>
          <w:numId w:val="13"/>
        </w:numPr>
        <w:rPr>
          <w:rFonts w:hAnsi="標楷體"/>
        </w:rPr>
      </w:pPr>
      <w:r w:rsidRPr="004E7851">
        <w:rPr>
          <w:rFonts w:hAnsi="標楷體" w:cs="Arial" w:hint="eastAsia"/>
          <w:bCs w:val="0"/>
          <w:lang w:eastAsia="zh-HK"/>
        </w:rPr>
        <w:t>次查</w:t>
      </w:r>
      <w:r w:rsidRPr="004E7851">
        <w:rPr>
          <w:rFonts w:hAnsi="標楷體" w:cs="Arial" w:hint="eastAsia"/>
          <w:bCs w:val="0"/>
        </w:rPr>
        <w:t>，</w:t>
      </w:r>
      <w:r w:rsidRPr="004E7851">
        <w:rPr>
          <w:rFonts w:hAnsi="標楷體" w:cs="Arial" w:hint="eastAsia"/>
          <w:lang w:eastAsia="zh-HK"/>
        </w:rPr>
        <w:t>衛福部考量</w:t>
      </w:r>
      <w:r w:rsidRPr="004E7851">
        <w:rPr>
          <w:rFonts w:hAnsi="標楷體"/>
          <w:szCs w:val="32"/>
        </w:rPr>
        <w:t>食品類別眾多製程繁複，且業者規模大小差距頗大，如施以相同管理措施，恐業者難以遵循致管理不易</w:t>
      </w:r>
      <w:r w:rsidRPr="004E7851">
        <w:rPr>
          <w:rFonts w:hAnsi="標楷體" w:cs="Arial" w:hint="eastAsia"/>
          <w:bCs w:val="0"/>
        </w:rPr>
        <w:t>，</w:t>
      </w:r>
      <w:r w:rsidRPr="004E7851">
        <w:rPr>
          <w:rFonts w:hAnsi="標楷體" w:cs="Arial" w:hint="eastAsia"/>
          <w:lang w:eastAsia="zh-HK"/>
        </w:rPr>
        <w:t>乃採取</w:t>
      </w:r>
      <w:r w:rsidRPr="004E7851">
        <w:rPr>
          <w:rFonts w:hAnsi="標楷體" w:cs="Arial"/>
          <w:lang w:eastAsia="zh-HK"/>
        </w:rPr>
        <w:t>分階段</w:t>
      </w:r>
      <w:r w:rsidRPr="004E7851">
        <w:rPr>
          <w:rFonts w:hAnsi="標楷體" w:cs="Arial" w:hint="eastAsia"/>
          <w:lang w:eastAsia="zh-HK"/>
        </w:rPr>
        <w:t>公告指定特定類別或一定規模之食品業者</w:t>
      </w:r>
      <w:r w:rsidRPr="004E7851">
        <w:rPr>
          <w:rFonts w:hAnsi="標楷體" w:cs="Arial"/>
          <w:lang w:eastAsia="zh-HK"/>
        </w:rPr>
        <w:t>依規定生效日期</w:t>
      </w:r>
      <w:r w:rsidRPr="004E7851">
        <w:rPr>
          <w:rFonts w:hAnsi="標楷體" w:cs="Arial" w:hint="eastAsia"/>
          <w:lang w:eastAsia="zh-HK"/>
        </w:rPr>
        <w:t>使用電子發票，故不符合前揭衛福部公告強制實施之</w:t>
      </w:r>
      <w:r w:rsidRPr="004E7851">
        <w:rPr>
          <w:rFonts w:hAnsi="標楷體" w:cs="Arial"/>
          <w:lang w:eastAsia="zh-HK"/>
        </w:rPr>
        <w:t>22</w:t>
      </w:r>
      <w:r w:rsidRPr="004E7851">
        <w:rPr>
          <w:rFonts w:hAnsi="標楷體" w:cs="Arial" w:hint="eastAsia"/>
          <w:lang w:eastAsia="zh-HK"/>
        </w:rPr>
        <w:t>類別食品業者，目前尚無</w:t>
      </w:r>
      <w:r w:rsidRPr="004E7851">
        <w:rPr>
          <w:rFonts w:hAnsi="標楷體" w:cs="Arial" w:hint="eastAsia"/>
          <w:bCs w:val="0"/>
          <w:lang w:eastAsia="zh-HK"/>
        </w:rPr>
        <w:t>需依照前開</w:t>
      </w:r>
      <w:r w:rsidRPr="004E7851">
        <w:rPr>
          <w:rFonts w:hAnsi="標楷體" w:cs="Arial" w:hint="eastAsia"/>
          <w:lang w:eastAsia="zh-HK"/>
        </w:rPr>
        <w:t>食安法第9條第</w:t>
      </w:r>
      <w:r w:rsidRPr="004E7851">
        <w:rPr>
          <w:rFonts w:hAnsi="標楷體" w:cs="Arial" w:hint="eastAsia"/>
        </w:rPr>
        <w:t>3</w:t>
      </w:r>
      <w:r w:rsidRPr="004E7851">
        <w:rPr>
          <w:rFonts w:hAnsi="標楷體" w:cs="Arial" w:hint="eastAsia"/>
          <w:lang w:eastAsia="zh-HK"/>
        </w:rPr>
        <w:t>項</w:t>
      </w:r>
      <w:r w:rsidRPr="004E7851">
        <w:rPr>
          <w:rFonts w:hAnsi="標楷體" w:cs="Arial" w:hint="eastAsia"/>
          <w:bCs w:val="0"/>
          <w:lang w:eastAsia="zh-HK"/>
        </w:rPr>
        <w:t>規定使用電子發票</w:t>
      </w:r>
      <w:r w:rsidR="007E460D" w:rsidRPr="004E7851">
        <w:rPr>
          <w:rFonts w:hAnsi="標楷體" w:hint="eastAsia"/>
          <w:szCs w:val="32"/>
          <w:lang w:eastAsia="zh-HK"/>
        </w:rPr>
        <w:t>。</w:t>
      </w:r>
      <w:r w:rsidR="001676FC" w:rsidRPr="004E7851">
        <w:rPr>
          <w:rFonts w:hAnsi="標楷體" w:hint="eastAsia"/>
          <w:szCs w:val="32"/>
          <w:lang w:eastAsia="zh-HK"/>
        </w:rPr>
        <w:t>雖</w:t>
      </w:r>
      <w:r w:rsidR="00801A49" w:rsidRPr="004E7851">
        <w:rPr>
          <w:rFonts w:hAnsi="標楷體" w:hint="eastAsia"/>
          <w:szCs w:val="32"/>
          <w:lang w:eastAsia="zh-HK"/>
        </w:rPr>
        <w:t>據</w:t>
      </w:r>
      <w:r w:rsidR="001676FC" w:rsidRPr="004E7851">
        <w:rPr>
          <w:rFonts w:hAnsi="標楷體" w:cs="Arial" w:hint="eastAsia"/>
          <w:lang w:eastAsia="zh-HK"/>
        </w:rPr>
        <w:t>衛福部</w:t>
      </w:r>
      <w:r w:rsidR="00801A49" w:rsidRPr="004E7851">
        <w:rPr>
          <w:rFonts w:hAnsi="標楷體" w:hint="eastAsia"/>
          <w:szCs w:val="32"/>
          <w:lang w:eastAsia="zh-HK"/>
        </w:rPr>
        <w:t>查復表示</w:t>
      </w:r>
      <w:r w:rsidR="00801A49" w:rsidRPr="004E7851">
        <w:rPr>
          <w:rFonts w:hAnsi="標楷體" w:hint="eastAsia"/>
          <w:szCs w:val="32"/>
        </w:rPr>
        <w:t>，</w:t>
      </w:r>
      <w:r w:rsidR="001676FC" w:rsidRPr="004E7851">
        <w:rPr>
          <w:rFonts w:hAnsi="標楷體" w:hint="eastAsia"/>
          <w:szCs w:val="32"/>
        </w:rPr>
        <w:t>針對未強制要求使用電子發票</w:t>
      </w:r>
      <w:r w:rsidR="001676FC" w:rsidRPr="004E7851">
        <w:rPr>
          <w:rFonts w:hAnsi="標楷體" w:hint="eastAsia"/>
          <w:szCs w:val="32"/>
          <w:lang w:eastAsia="zh-HK"/>
        </w:rPr>
        <w:t>之</w:t>
      </w:r>
      <w:r w:rsidR="001676FC" w:rsidRPr="004E7851">
        <w:rPr>
          <w:rFonts w:hAnsi="標楷體" w:hint="eastAsia"/>
          <w:szCs w:val="32"/>
        </w:rPr>
        <w:t>食品業者</w:t>
      </w:r>
      <w:r w:rsidR="00942D04" w:rsidRPr="004E7851">
        <w:rPr>
          <w:rFonts w:hAnsi="標楷體" w:hint="eastAsia"/>
          <w:szCs w:val="32"/>
        </w:rPr>
        <w:t>，</w:t>
      </w:r>
      <w:r w:rsidR="00274E36" w:rsidRPr="004E7851">
        <w:rPr>
          <w:rFonts w:hAnsi="標楷體" w:hint="eastAsia"/>
          <w:szCs w:val="32"/>
        </w:rPr>
        <w:t>仍應依</w:t>
      </w:r>
      <w:r w:rsidR="001676FC" w:rsidRPr="004E7851">
        <w:rPr>
          <w:rFonts w:hAnsi="標楷體" w:hint="eastAsia"/>
          <w:szCs w:val="32"/>
        </w:rPr>
        <w:t>食安法第9條第1項</w:t>
      </w:r>
      <w:r w:rsidR="001676FC" w:rsidRPr="004E7851">
        <w:rPr>
          <w:rStyle w:val="aff4"/>
          <w:rFonts w:hAnsi="標楷體"/>
          <w:szCs w:val="32"/>
        </w:rPr>
        <w:footnoteReference w:id="4"/>
      </w:r>
      <w:r w:rsidR="001676FC" w:rsidRPr="004E7851">
        <w:rPr>
          <w:rFonts w:hAnsi="標楷體" w:hint="eastAsia"/>
          <w:szCs w:val="32"/>
        </w:rPr>
        <w:t>、</w:t>
      </w:r>
      <w:r w:rsidR="001676FC" w:rsidRPr="004E7851">
        <w:rPr>
          <w:rFonts w:hAnsi="標楷體"/>
          <w:szCs w:val="32"/>
        </w:rPr>
        <w:t>食品</w:t>
      </w:r>
      <w:r w:rsidR="001676FC" w:rsidRPr="004E7851">
        <w:rPr>
          <w:rFonts w:hAnsi="標楷體" w:cs="Arial"/>
          <w:bCs w:val="0"/>
          <w:lang w:eastAsia="zh-HK"/>
        </w:rPr>
        <w:t>良好衛生規範</w:t>
      </w:r>
      <w:r w:rsidR="001676FC" w:rsidRPr="004E7851">
        <w:rPr>
          <w:rFonts w:hAnsi="標楷體" w:cs="Arial"/>
          <w:lang w:eastAsia="zh-HK"/>
        </w:rPr>
        <w:t>準則</w:t>
      </w:r>
      <w:r w:rsidR="00942D04" w:rsidRPr="004E7851">
        <w:rPr>
          <w:rFonts w:hAnsi="標楷體" w:cs="Arial" w:hint="eastAsia"/>
          <w:lang w:eastAsia="zh-HK"/>
        </w:rPr>
        <w:t>第</w:t>
      </w:r>
      <w:r w:rsidR="00942D04" w:rsidRPr="004E7851">
        <w:rPr>
          <w:rFonts w:hAnsi="標楷體" w:cs="Arial" w:hint="eastAsia"/>
        </w:rPr>
        <w:t>9</w:t>
      </w:r>
      <w:r w:rsidR="00942D04" w:rsidRPr="004E7851">
        <w:rPr>
          <w:rFonts w:hAnsi="標楷體" w:cs="Arial" w:hint="eastAsia"/>
          <w:lang w:eastAsia="zh-HK"/>
        </w:rPr>
        <w:t>條</w:t>
      </w:r>
      <w:r w:rsidR="001676FC" w:rsidRPr="004E7851">
        <w:rPr>
          <w:rFonts w:hAnsi="標楷體" w:cs="Arial" w:hint="eastAsia"/>
          <w:bCs w:val="0"/>
          <w:lang w:eastAsia="zh-HK"/>
        </w:rPr>
        <w:t>附表3「食品製造業者製</w:t>
      </w:r>
      <w:r w:rsidR="001676FC" w:rsidRPr="004E7851">
        <w:rPr>
          <w:rFonts w:hAnsi="標楷體" w:hint="eastAsia"/>
          <w:szCs w:val="32"/>
        </w:rPr>
        <w:t>程管理及品質管制基準」第1點</w:t>
      </w:r>
      <w:r w:rsidR="001676FC" w:rsidRPr="004E7851">
        <w:rPr>
          <w:rStyle w:val="aff4"/>
          <w:rFonts w:hAnsi="標楷體"/>
          <w:szCs w:val="32"/>
        </w:rPr>
        <w:footnoteReference w:id="5"/>
      </w:r>
      <w:r w:rsidR="001676FC" w:rsidRPr="004E7851">
        <w:rPr>
          <w:rFonts w:hAnsi="標楷體" w:hint="eastAsia"/>
          <w:szCs w:val="32"/>
        </w:rPr>
        <w:t>及第19點</w:t>
      </w:r>
      <w:r w:rsidR="001676FC" w:rsidRPr="004E7851">
        <w:rPr>
          <w:rStyle w:val="aff4"/>
          <w:rFonts w:hAnsi="標楷體"/>
          <w:szCs w:val="32"/>
        </w:rPr>
        <w:footnoteReference w:id="6"/>
      </w:r>
      <w:r w:rsidR="001676FC" w:rsidRPr="004E7851">
        <w:rPr>
          <w:rFonts w:hAnsi="標楷體" w:hint="eastAsia"/>
          <w:szCs w:val="32"/>
          <w:lang w:eastAsia="zh-HK"/>
        </w:rPr>
        <w:t>等</w:t>
      </w:r>
      <w:r w:rsidR="00274E36" w:rsidRPr="004E7851">
        <w:rPr>
          <w:rFonts w:hAnsi="標楷體" w:cs="Arial" w:hint="eastAsia"/>
          <w:lang w:eastAsia="zh-HK"/>
        </w:rPr>
        <w:t>規定，保存產品來源及流向等相關紀錄，即可掌握供應鏈上一手及下一手資訊</w:t>
      </w:r>
      <w:r w:rsidR="001676FC" w:rsidRPr="004E7851">
        <w:rPr>
          <w:rFonts w:hAnsi="標楷體" w:cs="Arial" w:hint="eastAsia"/>
          <w:lang w:eastAsia="zh-HK"/>
        </w:rPr>
        <w:t>等語。</w:t>
      </w:r>
      <w:r w:rsidRPr="004E7851">
        <w:rPr>
          <w:rFonts w:hAnsi="標楷體" w:hint="eastAsia"/>
          <w:lang w:eastAsia="zh-HK"/>
        </w:rPr>
        <w:t>惟為</w:t>
      </w:r>
      <w:r w:rsidRPr="004E7851">
        <w:rPr>
          <w:rFonts w:hAnsi="標楷體" w:cs="Arial" w:hint="eastAsia"/>
          <w:lang w:eastAsia="zh-HK"/>
        </w:rPr>
        <w:t>避免黑心食品事件發生時</w:t>
      </w:r>
      <w:r w:rsidRPr="004E7851">
        <w:rPr>
          <w:rFonts w:hAnsi="標楷體" w:cs="Arial" w:hint="eastAsia"/>
        </w:rPr>
        <w:t>，</w:t>
      </w:r>
      <w:r w:rsidRPr="004E7851">
        <w:rPr>
          <w:rFonts w:hAnsi="標楷體" w:cs="Arial" w:hint="eastAsia"/>
          <w:lang w:eastAsia="zh-HK"/>
        </w:rPr>
        <w:t>囿於涉案業者未開立電子發票</w:t>
      </w:r>
      <w:r w:rsidRPr="004E7851">
        <w:rPr>
          <w:rFonts w:hAnsi="標楷體" w:cs="Arial" w:hint="eastAsia"/>
        </w:rPr>
        <w:t>，</w:t>
      </w:r>
      <w:r w:rsidRPr="004E7851">
        <w:rPr>
          <w:rFonts w:hAnsi="標楷體" w:cs="Arial" w:hint="eastAsia"/>
          <w:lang w:eastAsia="zh-HK"/>
        </w:rPr>
        <w:t>缺乏確切之電子化消費資訊</w:t>
      </w:r>
      <w:r w:rsidRPr="004E7851">
        <w:rPr>
          <w:rFonts w:hAnsi="標楷體" w:cs="Arial" w:hint="eastAsia"/>
        </w:rPr>
        <w:t>，</w:t>
      </w:r>
      <w:r w:rsidRPr="004E7851">
        <w:rPr>
          <w:rFonts w:hAnsi="標楷體" w:cs="Arial" w:hint="eastAsia"/>
          <w:lang w:eastAsia="zh-HK"/>
        </w:rPr>
        <w:t>或需要動用龐大人力與耗費大量時間追蹤查察</w:t>
      </w:r>
      <w:r w:rsidRPr="004E7851">
        <w:rPr>
          <w:rFonts w:hAnsi="標楷體" w:cs="Arial" w:hint="eastAsia"/>
        </w:rPr>
        <w:t>，</w:t>
      </w:r>
      <w:r w:rsidRPr="004E7851">
        <w:rPr>
          <w:rFonts w:hAnsi="標楷體" w:cs="Arial" w:hint="eastAsia"/>
          <w:lang w:eastAsia="zh-HK"/>
        </w:rPr>
        <w:t>或真實交易難以舉證而影響犯罪之訴追，或殃及善意業者而蒙受重大營業損失與商譽受損，衛福部應加速推動其他類別之食品業者使用電子發票之期程，俾完善食品產製鏈追溯追蹤體系，保障國人</w:t>
      </w:r>
      <w:r w:rsidRPr="004E7851">
        <w:rPr>
          <w:rFonts w:hAnsi="標楷體" w:cs="Arial"/>
          <w:lang w:eastAsia="zh-HK"/>
        </w:rPr>
        <w:t>食</w:t>
      </w:r>
      <w:r w:rsidRPr="004E7851">
        <w:rPr>
          <w:rFonts w:hAnsi="標楷體" w:cs="Arial" w:hint="eastAsia"/>
          <w:lang w:eastAsia="zh-HK"/>
        </w:rPr>
        <w:t>的</w:t>
      </w:r>
      <w:r w:rsidRPr="004E7851">
        <w:rPr>
          <w:rFonts w:hAnsi="標楷體" w:cs="Arial"/>
          <w:lang w:eastAsia="zh-HK"/>
        </w:rPr>
        <w:t>安全</w:t>
      </w:r>
      <w:r w:rsidRPr="004E7851">
        <w:rPr>
          <w:rFonts w:hAnsi="標楷體" w:cs="Arial" w:hint="eastAsia"/>
        </w:rPr>
        <w:t>。</w:t>
      </w:r>
    </w:p>
    <w:p w:rsidR="00B55ECF" w:rsidRPr="00AA0DEA" w:rsidRDefault="0066533F" w:rsidP="007048C1">
      <w:pPr>
        <w:pStyle w:val="3"/>
        <w:numPr>
          <w:ilvl w:val="2"/>
          <w:numId w:val="13"/>
        </w:numPr>
        <w:rPr>
          <w:rFonts w:hAnsi="標楷體"/>
          <w:color w:val="000000" w:themeColor="text1"/>
        </w:rPr>
      </w:pPr>
      <w:r w:rsidRPr="004E7851">
        <w:rPr>
          <w:rFonts w:hAnsi="標楷體" w:hint="eastAsia"/>
          <w:lang w:eastAsia="zh-HK"/>
        </w:rPr>
        <w:t>復</w:t>
      </w:r>
      <w:r w:rsidR="00BF32E0" w:rsidRPr="004E7851">
        <w:rPr>
          <w:rFonts w:hAnsi="標楷體" w:hint="eastAsia"/>
          <w:lang w:eastAsia="zh-HK"/>
        </w:rPr>
        <w:t>查</w:t>
      </w:r>
      <w:r w:rsidR="00B55ECF" w:rsidRPr="004E7851">
        <w:rPr>
          <w:rFonts w:hAnsi="標楷體" w:hint="eastAsia"/>
          <w:lang w:eastAsia="zh-HK"/>
        </w:rPr>
        <w:t>，</w:t>
      </w:r>
      <w:r w:rsidR="00B55ECF" w:rsidRPr="004E7851">
        <w:rPr>
          <w:rFonts w:hAnsi="標楷體"/>
          <w:lang w:eastAsia="zh-HK"/>
        </w:rPr>
        <w:t>基於</w:t>
      </w:r>
      <w:r w:rsidR="004A3355" w:rsidRPr="004E7851">
        <w:rPr>
          <w:rFonts w:hAnsi="標楷體" w:hint="eastAsia"/>
          <w:lang w:eastAsia="zh-HK"/>
        </w:rPr>
        <w:t>小規模營業人規模狹小、交易零星，稅務行政處理不易，以及營業性質特殊營業人使用統一發票有實務上困難，財政部為簡化稽徵，</w:t>
      </w:r>
      <w:r w:rsidR="00B55ECF" w:rsidRPr="004E7851">
        <w:rPr>
          <w:rFonts w:hAnsi="標楷體"/>
          <w:lang w:eastAsia="zh-HK"/>
        </w:rPr>
        <w:t>依</w:t>
      </w:r>
      <w:r w:rsidR="00B55ECF" w:rsidRPr="004E7851">
        <w:rPr>
          <w:rFonts w:hAnsi="標楷體" w:hint="eastAsia"/>
          <w:lang w:eastAsia="zh-HK"/>
        </w:rPr>
        <w:t>照</w:t>
      </w:r>
      <w:r w:rsidR="00B55ECF" w:rsidRPr="004E7851">
        <w:rPr>
          <w:rFonts w:hAnsi="標楷體"/>
          <w:lang w:eastAsia="zh-HK"/>
        </w:rPr>
        <w:t>加值型及非加值型營業稅法</w:t>
      </w:r>
      <w:r w:rsidR="004A3355" w:rsidRPr="004E7851">
        <w:rPr>
          <w:rFonts w:hAnsi="標楷體" w:hint="eastAsia"/>
          <w:lang w:eastAsia="zh-HK"/>
        </w:rPr>
        <w:t>第32條第1項但書、第23</w:t>
      </w:r>
      <w:r w:rsidR="004A3355" w:rsidRPr="004E7851">
        <w:rPr>
          <w:rFonts w:hAnsi="標楷體" w:hint="eastAsia"/>
          <w:lang w:eastAsia="zh-HK"/>
        </w:rPr>
        <w:lastRenderedPageBreak/>
        <w:t>條及第40條第1項規定</w:t>
      </w:r>
      <w:r w:rsidR="00B55ECF" w:rsidRPr="004E7851">
        <w:rPr>
          <w:rFonts w:hAnsi="標楷體"/>
          <w:lang w:eastAsia="zh-HK"/>
        </w:rPr>
        <w:t>，</w:t>
      </w:r>
      <w:r w:rsidR="004A3355" w:rsidRPr="004E7851">
        <w:rPr>
          <w:rFonts w:hAnsi="標楷體" w:hint="eastAsia"/>
          <w:lang w:eastAsia="zh-HK"/>
        </w:rPr>
        <w:t>小規模營業人及營業性質特殊營業人得掣發普通收據，免用統一發票，由稽徵機關覈實查定其銷售額並填發繳款書通知繳納營業稅</w:t>
      </w:r>
      <w:r w:rsidR="004A3355" w:rsidRPr="004E7851">
        <w:rPr>
          <w:rFonts w:hAnsi="標楷體" w:hint="eastAsia"/>
        </w:rPr>
        <w:t>。</w:t>
      </w:r>
      <w:r w:rsidR="00B55ECF" w:rsidRPr="004E7851">
        <w:rPr>
          <w:rFonts w:hAnsi="標楷體" w:cs="Arial" w:hint="eastAsia"/>
          <w:lang w:eastAsia="zh-HK"/>
        </w:rPr>
        <w:t>是以，符合衛福部公告指定特定類別或一定規模之食品業者，但依</w:t>
      </w:r>
      <w:r w:rsidR="00F73C7A" w:rsidRPr="004E7851">
        <w:rPr>
          <w:rFonts w:hAnsi="標楷體" w:cs="Arial" w:hint="eastAsia"/>
          <w:lang w:eastAsia="zh-HK"/>
        </w:rPr>
        <w:t>上開</w:t>
      </w:r>
      <w:r w:rsidR="00B55ECF" w:rsidRPr="004E7851">
        <w:rPr>
          <w:rFonts w:hAnsi="標楷體" w:cs="Arial" w:hint="eastAsia"/>
          <w:lang w:eastAsia="zh-HK"/>
        </w:rPr>
        <w:t>稅法無需開立統一發票者，則亦無需使用電子發票，導致疑慮</w:t>
      </w:r>
      <w:r w:rsidR="00B55ECF" w:rsidRPr="004E7851">
        <w:rPr>
          <w:rFonts w:hAnsi="標楷體" w:cs="Arial"/>
          <w:lang w:eastAsia="zh-HK"/>
        </w:rPr>
        <w:t>食品即時</w:t>
      </w:r>
      <w:r w:rsidR="00B55ECF" w:rsidRPr="004E7851">
        <w:rPr>
          <w:rFonts w:hAnsi="標楷體" w:cs="Arial" w:hint="eastAsia"/>
        </w:rPr>
        <w:t>、</w:t>
      </w:r>
      <w:r w:rsidR="00B55ECF" w:rsidRPr="004E7851">
        <w:rPr>
          <w:rFonts w:hAnsi="標楷體" w:cs="Arial"/>
          <w:lang w:eastAsia="zh-HK"/>
        </w:rPr>
        <w:t>動態之</w:t>
      </w:r>
      <w:r w:rsidR="00B55ECF" w:rsidRPr="004E7851">
        <w:rPr>
          <w:rFonts w:hAnsi="標楷體" w:cs="Arial" w:hint="eastAsia"/>
          <w:lang w:eastAsia="zh-HK"/>
        </w:rPr>
        <w:t>交易明細</w:t>
      </w:r>
      <w:r w:rsidR="00B55ECF" w:rsidRPr="004E7851">
        <w:rPr>
          <w:rFonts w:hAnsi="標楷體" w:cs="Arial"/>
          <w:lang w:eastAsia="zh-HK"/>
        </w:rPr>
        <w:t>資訊無法</w:t>
      </w:r>
      <w:r w:rsidR="00B55ECF" w:rsidRPr="004E7851">
        <w:rPr>
          <w:rFonts w:hAnsi="標楷體" w:cs="Arial" w:hint="eastAsia"/>
          <w:lang w:eastAsia="zh-HK"/>
        </w:rPr>
        <w:t>掌握，影響食品安全衛生</w:t>
      </w:r>
      <w:r w:rsidR="00B55ECF" w:rsidRPr="004E7851">
        <w:rPr>
          <w:rFonts w:hAnsi="標楷體" w:cs="Arial"/>
          <w:lang w:eastAsia="zh-HK"/>
        </w:rPr>
        <w:t>主管機關</w:t>
      </w:r>
      <w:r w:rsidR="00B55ECF" w:rsidRPr="004E7851">
        <w:rPr>
          <w:rFonts w:hAnsi="標楷體" w:cs="Arial" w:hint="eastAsia"/>
          <w:lang w:eastAsia="zh-HK"/>
        </w:rPr>
        <w:t>稽查疑慮</w:t>
      </w:r>
      <w:r w:rsidR="00B55ECF" w:rsidRPr="004E7851">
        <w:rPr>
          <w:rFonts w:hAnsi="標楷體" w:cs="Arial"/>
          <w:lang w:eastAsia="zh-HK"/>
        </w:rPr>
        <w:t>食品</w:t>
      </w:r>
      <w:r w:rsidR="00B55ECF" w:rsidRPr="004E7851">
        <w:rPr>
          <w:rFonts w:hAnsi="標楷體" w:cs="Arial" w:hint="eastAsia"/>
          <w:lang w:eastAsia="zh-HK"/>
        </w:rPr>
        <w:t>流向之</w:t>
      </w:r>
      <w:r w:rsidR="00B55ECF" w:rsidRPr="004E7851">
        <w:rPr>
          <w:rFonts w:hAnsi="標楷體" w:cs="Arial"/>
          <w:lang w:eastAsia="zh-HK"/>
        </w:rPr>
        <w:t>執行</w:t>
      </w:r>
      <w:r w:rsidR="00B55ECF" w:rsidRPr="004E7851">
        <w:rPr>
          <w:rFonts w:hAnsi="標楷體" w:cs="Arial" w:hint="eastAsia"/>
          <w:lang w:eastAsia="zh-HK"/>
        </w:rPr>
        <w:t>效能。</w:t>
      </w:r>
      <w:r w:rsidR="0025591F" w:rsidRPr="004E7851">
        <w:rPr>
          <w:rFonts w:hAnsi="標楷體" w:hint="eastAsia"/>
          <w:lang w:eastAsia="zh-HK"/>
        </w:rPr>
        <w:t>雖財政部為推廣及加速行動支付普及化，降低小規模營業人導入行動支付稅負增加疑慮</w:t>
      </w:r>
      <w:r w:rsidR="0025591F" w:rsidRPr="004E7851">
        <w:rPr>
          <w:rFonts w:hAnsi="標楷體" w:hint="eastAsia"/>
        </w:rPr>
        <w:t>，</w:t>
      </w:r>
      <w:r w:rsidR="0025591F" w:rsidRPr="004E7851">
        <w:rPr>
          <w:rFonts w:hAnsi="標楷體" w:hint="eastAsia"/>
          <w:lang w:eastAsia="zh-HK"/>
        </w:rPr>
        <w:t>108年8月16日修正發布「小規模營業人導入行動支付適用租稅優惠作業規範」，小規模營業人經申請核准適用該項租稅優惠者，自申請核准當季至114年12月31日，可不受使用統一發票銷售額標準限制，其銷售額達20萬元，仍由稽徵機關按1%稅率查定課徵營業稅，免用統一發票</w:t>
      </w:r>
      <w:r w:rsidR="0025591F" w:rsidRPr="004E7851">
        <w:rPr>
          <w:rFonts w:hAnsi="標楷體" w:hint="eastAsia"/>
        </w:rPr>
        <w:t>；</w:t>
      </w:r>
      <w:r w:rsidR="0025591F" w:rsidRPr="004E7851">
        <w:rPr>
          <w:rFonts w:hAnsi="標楷體" w:hint="eastAsia"/>
          <w:lang w:eastAsia="zh-HK"/>
        </w:rPr>
        <w:t>截至109年5月31日止，小規模營業人導入行動支付經國稅局核准適用上開租稅優惠者計7,697家，</w:t>
      </w:r>
      <w:r w:rsidR="00274E36" w:rsidRPr="004E7851">
        <w:rPr>
          <w:rFonts w:hAnsi="標楷體" w:hint="eastAsia"/>
          <w:lang w:eastAsia="zh-HK"/>
        </w:rPr>
        <w:t>然</w:t>
      </w:r>
      <w:r w:rsidR="0025591F" w:rsidRPr="004E7851">
        <w:rPr>
          <w:rFonts w:hAnsi="標楷體" w:hint="eastAsia"/>
          <w:lang w:eastAsia="zh-HK"/>
        </w:rPr>
        <w:t>衛福部</w:t>
      </w:r>
      <w:r w:rsidR="00274E36" w:rsidRPr="004E7851">
        <w:rPr>
          <w:rFonts w:hAnsi="標楷體" w:hint="eastAsia"/>
          <w:lang w:eastAsia="zh-HK"/>
        </w:rPr>
        <w:t>自107年起，與財政部建立食品業者使用電子發票討論機制以來，</w:t>
      </w:r>
      <w:r w:rsidR="00BF32E0" w:rsidRPr="004E7851">
        <w:rPr>
          <w:rFonts w:hAnsi="標楷體" w:hint="eastAsia"/>
          <w:lang w:eastAsia="zh-HK"/>
        </w:rPr>
        <w:t>迄</w:t>
      </w:r>
      <w:r w:rsidR="0025591F" w:rsidRPr="004E7851">
        <w:rPr>
          <w:rFonts w:hAnsi="標楷體" w:hint="eastAsia"/>
          <w:lang w:eastAsia="zh-HK"/>
        </w:rPr>
        <w:t>未與財政部研議或規劃對傳統市場攤販、夜市攤商、小吃業者等小規模營業人導</w:t>
      </w:r>
      <w:bookmarkStart w:id="25" w:name="_GoBack"/>
      <w:bookmarkEnd w:id="25"/>
      <w:r w:rsidR="0025591F" w:rsidRPr="004E7851">
        <w:rPr>
          <w:rFonts w:hAnsi="標楷體" w:hint="eastAsia"/>
          <w:lang w:eastAsia="zh-HK"/>
        </w:rPr>
        <w:t>入電子發票</w:t>
      </w:r>
      <w:r w:rsidR="00103873">
        <w:rPr>
          <w:rFonts w:hAnsi="標楷體" w:hint="eastAsia"/>
        </w:rPr>
        <w:t>，</w:t>
      </w:r>
      <w:r w:rsidR="00103873" w:rsidRPr="00AA0DEA">
        <w:rPr>
          <w:rFonts w:hAnsi="標楷體" w:hint="eastAsia"/>
          <w:color w:val="000000" w:themeColor="text1"/>
          <w:lang w:eastAsia="zh-HK"/>
        </w:rPr>
        <w:t>以進一步保護消費者權益</w:t>
      </w:r>
      <w:r w:rsidR="0025591F" w:rsidRPr="00AA0DEA">
        <w:rPr>
          <w:rFonts w:hAnsi="標楷體" w:hint="eastAsia"/>
          <w:color w:val="000000" w:themeColor="text1"/>
        </w:rPr>
        <w:t>。</w:t>
      </w:r>
    </w:p>
    <w:p w:rsidR="00B55ECF" w:rsidRPr="004E7851" w:rsidRDefault="0066533F" w:rsidP="00B55ECF">
      <w:pPr>
        <w:pStyle w:val="3"/>
        <w:numPr>
          <w:ilvl w:val="2"/>
          <w:numId w:val="1"/>
        </w:numPr>
        <w:rPr>
          <w:rFonts w:hAnsi="標楷體"/>
        </w:rPr>
      </w:pPr>
      <w:r w:rsidRPr="004E7851">
        <w:rPr>
          <w:rFonts w:hAnsi="標楷體" w:hint="eastAsia"/>
          <w:lang w:eastAsia="zh-HK"/>
        </w:rPr>
        <w:t>又</w:t>
      </w:r>
      <w:r w:rsidR="00B55ECF" w:rsidRPr="004E7851">
        <w:rPr>
          <w:rFonts w:hAnsi="標楷體" w:hint="eastAsia"/>
        </w:rPr>
        <w:t>查，</w:t>
      </w:r>
      <w:r w:rsidR="00B55ECF" w:rsidRPr="004E7851">
        <w:rPr>
          <w:rFonts w:hAnsi="標楷體"/>
        </w:rPr>
        <w:t>為解決食品業者電子發票資訊與</w:t>
      </w:r>
      <w:r w:rsidR="00B55ECF" w:rsidRPr="004E7851">
        <w:rPr>
          <w:rFonts w:hAnsi="標楷體" w:hint="eastAsia"/>
        </w:rPr>
        <w:t>「食品追溯追蹤管理資訊系統」（下稱非追不可）之</w:t>
      </w:r>
      <w:r w:rsidR="00B55ECF" w:rsidRPr="004E7851">
        <w:rPr>
          <w:rFonts w:hAnsi="標楷體" w:hint="eastAsia"/>
          <w:szCs w:val="32"/>
          <w:lang w:eastAsia="zh-HK"/>
        </w:rPr>
        <w:t>間</w:t>
      </w:r>
      <w:r w:rsidR="00B55ECF" w:rsidRPr="004E7851">
        <w:rPr>
          <w:rFonts w:hAnsi="標楷體"/>
          <w:szCs w:val="32"/>
        </w:rPr>
        <w:t>產品</w:t>
      </w:r>
      <w:r w:rsidR="00B55ECF" w:rsidRPr="004E7851">
        <w:rPr>
          <w:rFonts w:hAnsi="標楷體" w:hint="eastAsia"/>
          <w:szCs w:val="32"/>
          <w:lang w:eastAsia="zh-HK"/>
        </w:rPr>
        <w:t>品項或名稱</w:t>
      </w:r>
      <w:r w:rsidR="00B55ECF" w:rsidRPr="004E7851">
        <w:rPr>
          <w:rFonts w:hAnsi="標楷體" w:hint="eastAsia"/>
          <w:szCs w:val="32"/>
        </w:rPr>
        <w:t>繁</w:t>
      </w:r>
      <w:r w:rsidR="00B55ECF" w:rsidRPr="004E7851">
        <w:rPr>
          <w:rFonts w:hAnsi="標楷體" w:hint="eastAsia"/>
          <w:szCs w:val="32"/>
          <w:lang w:eastAsia="zh-HK"/>
        </w:rPr>
        <w:t>雜</w:t>
      </w:r>
      <w:r w:rsidR="00B55ECF" w:rsidRPr="004E7851">
        <w:rPr>
          <w:rFonts w:hAnsi="標楷體"/>
        </w:rPr>
        <w:t>(</w:t>
      </w:r>
      <w:r w:rsidR="00B55ECF" w:rsidRPr="004E7851">
        <w:rPr>
          <w:rFonts w:hAnsi="標楷體" w:hint="eastAsia"/>
          <w:lang w:eastAsia="zh-HK"/>
        </w:rPr>
        <w:t>包括</w:t>
      </w:r>
      <w:r w:rsidR="00B55ECF" w:rsidRPr="004E7851">
        <w:rPr>
          <w:rFonts w:hAnsi="標楷體"/>
          <w:szCs w:val="32"/>
        </w:rPr>
        <w:t>同物異名</w:t>
      </w:r>
      <w:r w:rsidR="00B55ECF" w:rsidRPr="004E7851">
        <w:rPr>
          <w:rFonts w:hAnsi="標楷體" w:hint="eastAsia"/>
          <w:szCs w:val="32"/>
          <w:lang w:eastAsia="zh-HK"/>
        </w:rPr>
        <w:t>等</w:t>
      </w:r>
      <w:r w:rsidR="00B55ECF" w:rsidRPr="004E7851">
        <w:rPr>
          <w:rFonts w:hAnsi="標楷體"/>
        </w:rPr>
        <w:t>)</w:t>
      </w:r>
      <w:r w:rsidR="00B55ECF" w:rsidRPr="004E7851">
        <w:rPr>
          <w:rFonts w:hAnsi="標楷體" w:hint="eastAsia"/>
          <w:szCs w:val="32"/>
        </w:rPr>
        <w:t>、</w:t>
      </w:r>
      <w:r w:rsidR="00B55ECF" w:rsidRPr="004E7851">
        <w:rPr>
          <w:rFonts w:hAnsi="標楷體"/>
          <w:szCs w:val="32"/>
        </w:rPr>
        <w:t>規格</w:t>
      </w:r>
      <w:r w:rsidR="00B55ECF" w:rsidRPr="004E7851">
        <w:rPr>
          <w:rFonts w:hAnsi="標楷體" w:hint="eastAsia"/>
          <w:szCs w:val="32"/>
          <w:lang w:eastAsia="zh-HK"/>
        </w:rPr>
        <w:t>或</w:t>
      </w:r>
      <w:r w:rsidR="00B55ECF" w:rsidRPr="004E7851">
        <w:rPr>
          <w:rFonts w:hAnsi="標楷體"/>
          <w:szCs w:val="32"/>
        </w:rPr>
        <w:t>重量</w:t>
      </w:r>
      <w:r w:rsidR="00B55ECF" w:rsidRPr="004E7851">
        <w:rPr>
          <w:rFonts w:hAnsi="標楷體" w:hint="eastAsia"/>
          <w:szCs w:val="32"/>
          <w:lang w:eastAsia="zh-HK"/>
        </w:rPr>
        <w:t>或單位標示不一致</w:t>
      </w:r>
      <w:r w:rsidR="00B55ECF" w:rsidRPr="004E7851">
        <w:rPr>
          <w:rFonts w:hAnsi="標楷體" w:hint="eastAsia"/>
          <w:szCs w:val="32"/>
        </w:rPr>
        <w:t>等問題，</w:t>
      </w:r>
      <w:r w:rsidR="00B55ECF" w:rsidRPr="004E7851">
        <w:rPr>
          <w:rFonts w:hAnsi="標楷體"/>
        </w:rPr>
        <w:t>衛福部</w:t>
      </w:r>
      <w:r w:rsidR="00B55ECF" w:rsidRPr="004E7851">
        <w:rPr>
          <w:rFonts w:hAnsi="標楷體" w:hint="eastAsia"/>
          <w:lang w:eastAsia="zh-HK"/>
        </w:rPr>
        <w:t>於</w:t>
      </w:r>
      <w:r w:rsidR="00B55ECF" w:rsidRPr="004E7851">
        <w:rPr>
          <w:rFonts w:hAnsi="標楷體"/>
        </w:rPr>
        <w:t>107年9月3日向</w:t>
      </w:r>
      <w:r w:rsidR="00B55ECF" w:rsidRPr="004E7851">
        <w:rPr>
          <w:rFonts w:hAnsi="標楷體" w:hint="eastAsia"/>
        </w:rPr>
        <w:t>財政</w:t>
      </w:r>
      <w:r w:rsidR="00B55ECF" w:rsidRPr="004E7851">
        <w:rPr>
          <w:rFonts w:hAnsi="標楷體"/>
        </w:rPr>
        <w:t>部申請「總備註」、「單一欄位備註」、「數量」及「單位」等4項電子發票欄位資料</w:t>
      </w:r>
      <w:r w:rsidR="00B55ECF" w:rsidRPr="004E7851">
        <w:rPr>
          <w:rFonts w:hAnsi="標楷體" w:hint="eastAsia"/>
        </w:rPr>
        <w:t>，財政</w:t>
      </w:r>
      <w:r w:rsidR="00B55ECF" w:rsidRPr="004E7851">
        <w:rPr>
          <w:rFonts w:hAnsi="標楷體"/>
        </w:rPr>
        <w:t>部</w:t>
      </w:r>
      <w:r w:rsidR="00B55ECF" w:rsidRPr="004E7851">
        <w:rPr>
          <w:rFonts w:hAnsi="標楷體" w:hint="eastAsia"/>
          <w:lang w:eastAsia="zh-HK"/>
        </w:rPr>
        <w:t>已</w:t>
      </w:r>
      <w:r w:rsidR="00B55ECF" w:rsidRPr="004E7851">
        <w:rPr>
          <w:rFonts w:hAnsi="標楷體"/>
        </w:rPr>
        <w:t>於107年12月完成含有「產品追溯系統串接碼」之電子發票資料查詢功能開發以提供所需資料欄項</w:t>
      </w:r>
      <w:r w:rsidR="00B55ECF" w:rsidRPr="004E7851">
        <w:rPr>
          <w:rFonts w:hAnsi="標楷體" w:hint="eastAsia"/>
        </w:rPr>
        <w:t>，並</w:t>
      </w:r>
      <w:r w:rsidR="00B55ECF" w:rsidRPr="004E7851">
        <w:rPr>
          <w:rFonts w:hAnsi="標楷體"/>
        </w:rPr>
        <w:t>於109年4月13日修訂公告「電子發票資料交換標準訊息建置</w:t>
      </w:r>
      <w:r w:rsidR="00B55ECF" w:rsidRPr="004E7851">
        <w:rPr>
          <w:rFonts w:hAnsi="標楷體"/>
        </w:rPr>
        <w:lastRenderedPageBreak/>
        <w:t>指引」</w:t>
      </w:r>
      <w:r w:rsidR="00B55ECF" w:rsidRPr="004E7851">
        <w:rPr>
          <w:rFonts w:hAnsi="標楷體" w:hint="eastAsia"/>
        </w:rPr>
        <w:t>，</w:t>
      </w:r>
      <w:r w:rsidR="00B55ECF" w:rsidRPr="004E7851">
        <w:rPr>
          <w:rFonts w:hAnsi="標楷體"/>
        </w:rPr>
        <w:t>以利衛福部強化輔導食品業者確實填具特定電子發票欄位註記內容</w:t>
      </w:r>
      <w:r w:rsidR="00B55ECF" w:rsidRPr="004E7851">
        <w:rPr>
          <w:rFonts w:hAnsi="標楷體" w:hint="eastAsia"/>
        </w:rPr>
        <w:t>（</w:t>
      </w:r>
      <w:r w:rsidR="00B55ECF" w:rsidRPr="004E7851">
        <w:rPr>
          <w:rFonts w:hAnsi="標楷體" w:hint="eastAsia"/>
          <w:lang w:eastAsia="zh-HK"/>
        </w:rPr>
        <w:t>如</w:t>
      </w:r>
      <w:r w:rsidR="00B55ECF" w:rsidRPr="004E7851">
        <w:rPr>
          <w:rFonts w:hAnsi="標楷體"/>
        </w:rPr>
        <w:t>電子發票「總備註」欄位填列「{FDA}」</w:t>
      </w:r>
      <w:r w:rsidR="00B55ECF" w:rsidRPr="004E7851">
        <w:rPr>
          <w:rFonts w:hAnsi="標楷體" w:hint="eastAsia"/>
        </w:rPr>
        <w:t>，</w:t>
      </w:r>
      <w:r w:rsidR="00B55ECF" w:rsidRPr="004E7851">
        <w:rPr>
          <w:rFonts w:hAnsi="標楷體"/>
        </w:rPr>
        <w:t>電子發票「單一欄位備註」登打非追不可之「產品追溯系統串接碼」，並於非追不可產品資訊(製造)填列「販售包裝(含販售單位、單位淨重)</w:t>
      </w:r>
      <w:r w:rsidR="00B55ECF" w:rsidRPr="004E7851">
        <w:rPr>
          <w:rFonts w:hAnsi="標楷體"/>
          <w:szCs w:val="32"/>
        </w:rPr>
        <w:t>」</w:t>
      </w:r>
      <w:r w:rsidR="00B55ECF" w:rsidRPr="004E7851">
        <w:rPr>
          <w:rFonts w:hAnsi="標楷體" w:hint="eastAsia"/>
        </w:rPr>
        <w:t>等）</w:t>
      </w:r>
      <w:r w:rsidR="00B55ECF" w:rsidRPr="004E7851">
        <w:rPr>
          <w:rFonts w:hAnsi="標楷體"/>
        </w:rPr>
        <w:t>，俾便資料串接與追溯追蹤</w:t>
      </w:r>
      <w:r w:rsidR="00B55ECF" w:rsidRPr="004E7851">
        <w:rPr>
          <w:rFonts w:hAnsi="標楷體" w:hint="eastAsia"/>
        </w:rPr>
        <w:t>。惟查：</w:t>
      </w:r>
    </w:p>
    <w:p w:rsidR="00B55ECF" w:rsidRPr="004E7851" w:rsidRDefault="00B55ECF" w:rsidP="00B55ECF">
      <w:pPr>
        <w:pStyle w:val="4"/>
        <w:numPr>
          <w:ilvl w:val="3"/>
          <w:numId w:val="1"/>
        </w:numPr>
        <w:rPr>
          <w:rFonts w:hAnsi="標楷體"/>
          <w:lang w:eastAsia="zh-HK"/>
        </w:rPr>
      </w:pPr>
      <w:r w:rsidRPr="004E7851">
        <w:rPr>
          <w:rFonts w:hAnsi="標楷體"/>
          <w:lang w:eastAsia="zh-HK"/>
        </w:rPr>
        <w:t>統一發票係我國專為「稅捐查核」設計之制度，藉由賣方營業人銷售貨物或勞務開立統一發票交付買方，並按期報繳營業稅進行勾稽查核營業有無逃漏稅情事，避免國家稅基遭侵蝕，進而影響政府施政所需財源。按此，統一發票使用</w:t>
      </w:r>
      <w:r w:rsidRPr="004E7851">
        <w:rPr>
          <w:rFonts w:hAnsi="標楷體"/>
        </w:rPr>
        <w:t>辦法</w:t>
      </w:r>
      <w:r w:rsidRPr="004E7851">
        <w:rPr>
          <w:rFonts w:hAnsi="標楷體"/>
          <w:lang w:eastAsia="zh-HK"/>
        </w:rPr>
        <w:t>第9條規定「</w:t>
      </w:r>
      <w:r w:rsidRPr="004E7851">
        <w:rPr>
          <w:rFonts w:hAnsi="標楷體" w:hint="eastAsia"/>
          <w:lang w:eastAsia="zh-HK"/>
        </w:rPr>
        <w:t>交易日期</w:t>
      </w:r>
      <w:r w:rsidRPr="004E7851">
        <w:rPr>
          <w:rFonts w:hAnsi="標楷體"/>
          <w:lang w:eastAsia="zh-HK"/>
        </w:rPr>
        <w:t>」</w:t>
      </w:r>
      <w:r w:rsidRPr="004E7851">
        <w:rPr>
          <w:rFonts w:hAnsi="標楷體" w:hint="eastAsia"/>
          <w:lang w:eastAsia="zh-HK"/>
        </w:rPr>
        <w:t>、</w:t>
      </w:r>
      <w:r w:rsidRPr="004E7851">
        <w:rPr>
          <w:rFonts w:hAnsi="標楷體"/>
          <w:lang w:eastAsia="zh-HK"/>
        </w:rPr>
        <w:t>「</w:t>
      </w:r>
      <w:r w:rsidRPr="004E7851">
        <w:rPr>
          <w:rFonts w:hAnsi="標楷體" w:hint="eastAsia"/>
          <w:lang w:eastAsia="zh-HK"/>
        </w:rPr>
        <w:t>品名</w:t>
      </w:r>
      <w:r w:rsidRPr="004E7851">
        <w:rPr>
          <w:rFonts w:hAnsi="標楷體"/>
          <w:lang w:eastAsia="zh-HK"/>
        </w:rPr>
        <w:t>」</w:t>
      </w:r>
      <w:r w:rsidRPr="004E7851">
        <w:rPr>
          <w:rFonts w:hAnsi="標楷體" w:hint="eastAsia"/>
          <w:lang w:eastAsia="zh-HK"/>
        </w:rPr>
        <w:t>、</w:t>
      </w:r>
      <w:r w:rsidRPr="004E7851">
        <w:rPr>
          <w:rFonts w:hAnsi="標楷體"/>
          <w:lang w:eastAsia="zh-HK"/>
        </w:rPr>
        <w:t>「</w:t>
      </w:r>
      <w:r w:rsidRPr="004E7851">
        <w:rPr>
          <w:rFonts w:hAnsi="標楷體" w:hint="eastAsia"/>
          <w:lang w:eastAsia="zh-HK"/>
        </w:rPr>
        <w:t>數量</w:t>
      </w:r>
      <w:r w:rsidRPr="004E7851">
        <w:rPr>
          <w:rFonts w:hAnsi="標楷體"/>
          <w:lang w:eastAsia="zh-HK"/>
        </w:rPr>
        <w:t>」</w:t>
      </w:r>
      <w:r w:rsidRPr="004E7851">
        <w:rPr>
          <w:rFonts w:hAnsi="標楷體" w:hint="eastAsia"/>
          <w:lang w:eastAsia="zh-HK"/>
        </w:rPr>
        <w:t>、</w:t>
      </w:r>
      <w:r w:rsidRPr="004E7851">
        <w:rPr>
          <w:rFonts w:hAnsi="標楷體"/>
          <w:lang w:eastAsia="zh-HK"/>
        </w:rPr>
        <w:t>「</w:t>
      </w:r>
      <w:r w:rsidRPr="004E7851">
        <w:rPr>
          <w:rFonts w:hAnsi="標楷體" w:hint="eastAsia"/>
          <w:lang w:eastAsia="zh-HK"/>
        </w:rPr>
        <w:t>單價</w:t>
      </w:r>
      <w:r w:rsidRPr="004E7851">
        <w:rPr>
          <w:rFonts w:hAnsi="標楷體"/>
          <w:lang w:eastAsia="zh-HK"/>
        </w:rPr>
        <w:t>」</w:t>
      </w:r>
      <w:r w:rsidRPr="004E7851">
        <w:rPr>
          <w:rFonts w:hAnsi="標楷體" w:hint="eastAsia"/>
          <w:lang w:eastAsia="zh-HK"/>
        </w:rPr>
        <w:t>、</w:t>
      </w:r>
      <w:r w:rsidRPr="004E7851">
        <w:rPr>
          <w:rFonts w:hAnsi="標楷體"/>
          <w:lang w:eastAsia="zh-HK"/>
        </w:rPr>
        <w:t>「</w:t>
      </w:r>
      <w:r w:rsidRPr="004E7851">
        <w:rPr>
          <w:rFonts w:hAnsi="標楷體" w:hint="eastAsia"/>
          <w:lang w:eastAsia="zh-HK"/>
        </w:rPr>
        <w:t>金額</w:t>
      </w:r>
      <w:r w:rsidRPr="004E7851">
        <w:rPr>
          <w:rFonts w:hAnsi="標楷體"/>
          <w:lang w:eastAsia="zh-HK"/>
        </w:rPr>
        <w:t>」</w:t>
      </w:r>
      <w:r w:rsidRPr="004E7851">
        <w:rPr>
          <w:rFonts w:hAnsi="標楷體" w:hint="eastAsia"/>
          <w:lang w:eastAsia="zh-HK"/>
        </w:rPr>
        <w:t>、</w:t>
      </w:r>
      <w:r w:rsidRPr="004E7851">
        <w:rPr>
          <w:rFonts w:hAnsi="標楷體"/>
          <w:lang w:eastAsia="zh-HK"/>
        </w:rPr>
        <w:t>「</w:t>
      </w:r>
      <w:r w:rsidRPr="004E7851">
        <w:rPr>
          <w:rFonts w:hAnsi="標楷體" w:hint="eastAsia"/>
          <w:lang w:eastAsia="zh-HK"/>
        </w:rPr>
        <w:t>銷售額</w:t>
      </w:r>
      <w:r w:rsidRPr="004E7851">
        <w:rPr>
          <w:rFonts w:hAnsi="標楷體"/>
          <w:lang w:eastAsia="zh-HK"/>
        </w:rPr>
        <w:t>」</w:t>
      </w:r>
      <w:r w:rsidRPr="004E7851">
        <w:rPr>
          <w:rFonts w:hAnsi="標楷體" w:hint="eastAsia"/>
          <w:lang w:eastAsia="zh-HK"/>
        </w:rPr>
        <w:t>、</w:t>
      </w:r>
      <w:r w:rsidRPr="004E7851">
        <w:rPr>
          <w:rFonts w:hAnsi="標楷體"/>
          <w:lang w:eastAsia="zh-HK"/>
        </w:rPr>
        <w:t>「</w:t>
      </w:r>
      <w:r w:rsidRPr="004E7851">
        <w:rPr>
          <w:rFonts w:hAnsi="標楷體" w:hint="eastAsia"/>
          <w:lang w:eastAsia="zh-HK"/>
        </w:rPr>
        <w:t>課稅別</w:t>
      </w:r>
      <w:r w:rsidRPr="004E7851">
        <w:rPr>
          <w:rFonts w:hAnsi="標楷體"/>
          <w:lang w:eastAsia="zh-HK"/>
        </w:rPr>
        <w:t>」</w:t>
      </w:r>
      <w:r w:rsidRPr="004E7851">
        <w:rPr>
          <w:rFonts w:hAnsi="標楷體" w:hint="eastAsia"/>
          <w:lang w:eastAsia="zh-HK"/>
        </w:rPr>
        <w:t>、</w:t>
      </w:r>
      <w:r w:rsidRPr="004E7851">
        <w:rPr>
          <w:rFonts w:hAnsi="標楷體"/>
          <w:lang w:eastAsia="zh-HK"/>
        </w:rPr>
        <w:t>「</w:t>
      </w:r>
      <w:r w:rsidRPr="004E7851">
        <w:rPr>
          <w:rFonts w:hAnsi="標楷體" w:hint="eastAsia"/>
          <w:lang w:eastAsia="zh-HK"/>
        </w:rPr>
        <w:t>稅額</w:t>
      </w:r>
      <w:r w:rsidRPr="004E7851">
        <w:rPr>
          <w:rFonts w:hAnsi="標楷體"/>
          <w:lang w:eastAsia="zh-HK"/>
        </w:rPr>
        <w:t>」</w:t>
      </w:r>
      <w:r w:rsidRPr="004E7851">
        <w:rPr>
          <w:rFonts w:hAnsi="標楷體" w:hint="eastAsia"/>
          <w:lang w:eastAsia="zh-HK"/>
        </w:rPr>
        <w:t>及</w:t>
      </w:r>
      <w:r w:rsidRPr="004E7851">
        <w:rPr>
          <w:rFonts w:hAnsi="標楷體"/>
          <w:lang w:eastAsia="zh-HK"/>
        </w:rPr>
        <w:t>「</w:t>
      </w:r>
      <w:r w:rsidRPr="004E7851">
        <w:rPr>
          <w:rFonts w:hAnsi="標楷體" w:hint="eastAsia"/>
          <w:lang w:eastAsia="zh-HK"/>
        </w:rPr>
        <w:t>總計</w:t>
      </w:r>
      <w:r w:rsidRPr="004E7851">
        <w:rPr>
          <w:rFonts w:hAnsi="標楷體"/>
          <w:lang w:eastAsia="zh-HK"/>
        </w:rPr>
        <w:t>」</w:t>
      </w:r>
      <w:r w:rsidRPr="004E7851">
        <w:rPr>
          <w:rFonts w:hAnsi="標楷體" w:hint="eastAsia"/>
          <w:lang w:eastAsia="zh-HK"/>
        </w:rPr>
        <w:t>等</w:t>
      </w:r>
      <w:r w:rsidRPr="004E7851">
        <w:rPr>
          <w:rFonts w:hAnsi="標楷體"/>
          <w:lang w:eastAsia="zh-HK"/>
        </w:rPr>
        <w:t>應記載事項係為課稅所需，要求開立統一發票之營業人應填載相關欄位，其規範對象係所有營業人，倘營業人所載事項足供稽徵機關查核運用，尚不宜強制要求應依一定格式記載，以避免因手段與達成稅法立法目的不具關聯而欠缺正當性。</w:t>
      </w:r>
      <w:r w:rsidRPr="004E7851">
        <w:rPr>
          <w:rFonts w:hAnsi="標楷體" w:hint="eastAsia"/>
          <w:lang w:eastAsia="zh-HK"/>
        </w:rPr>
        <w:t>至於，財政部</w:t>
      </w:r>
      <w:r w:rsidRPr="004E7851">
        <w:rPr>
          <w:rFonts w:hAnsi="標楷體"/>
          <w:lang w:eastAsia="zh-HK"/>
        </w:rPr>
        <w:t>協助食品安全衛生管理相關政策與業務之推行</w:t>
      </w:r>
      <w:r w:rsidRPr="004E7851">
        <w:rPr>
          <w:rFonts w:hAnsi="標楷體" w:hint="eastAsia"/>
          <w:lang w:eastAsia="zh-HK"/>
        </w:rPr>
        <w:t>，</w:t>
      </w:r>
      <w:r w:rsidRPr="004E7851">
        <w:rPr>
          <w:rFonts w:hAnsi="標楷體"/>
          <w:lang w:eastAsia="zh-HK"/>
        </w:rPr>
        <w:t>提供衛福部所需電子發票「單位」</w:t>
      </w:r>
      <w:r w:rsidRPr="004E7851">
        <w:rPr>
          <w:rFonts w:hAnsi="標楷體" w:hint="eastAsia"/>
          <w:lang w:eastAsia="zh-HK"/>
        </w:rPr>
        <w:t>、</w:t>
      </w:r>
      <w:r w:rsidRPr="004E7851">
        <w:rPr>
          <w:rFonts w:hAnsi="標楷體"/>
          <w:lang w:eastAsia="zh-HK"/>
        </w:rPr>
        <w:t>「總備註」</w:t>
      </w:r>
      <w:r w:rsidRPr="004E7851">
        <w:rPr>
          <w:rFonts w:hAnsi="標楷體" w:hint="eastAsia"/>
          <w:lang w:eastAsia="zh-HK"/>
        </w:rPr>
        <w:t>、</w:t>
      </w:r>
      <w:r w:rsidRPr="004E7851">
        <w:rPr>
          <w:rFonts w:hAnsi="標楷體"/>
          <w:lang w:eastAsia="zh-HK"/>
        </w:rPr>
        <w:t>「單一欄位備註」</w:t>
      </w:r>
      <w:r w:rsidRPr="004E7851">
        <w:rPr>
          <w:rFonts w:hAnsi="標楷體" w:hint="eastAsia"/>
          <w:lang w:eastAsia="zh-HK"/>
        </w:rPr>
        <w:t>等</w:t>
      </w:r>
      <w:r w:rsidRPr="004E7851">
        <w:rPr>
          <w:rFonts w:hAnsi="標楷體"/>
          <w:lang w:eastAsia="zh-HK"/>
        </w:rPr>
        <w:t>特定資料欄項</w:t>
      </w:r>
      <w:r w:rsidRPr="004E7851">
        <w:rPr>
          <w:rFonts w:hAnsi="標楷體" w:hint="eastAsia"/>
          <w:lang w:eastAsia="zh-HK"/>
        </w:rPr>
        <w:t>，非屬</w:t>
      </w:r>
      <w:r w:rsidRPr="004E7851">
        <w:rPr>
          <w:rFonts w:hAnsi="標楷體"/>
          <w:lang w:eastAsia="zh-HK"/>
        </w:rPr>
        <w:t>統一發票使用</w:t>
      </w:r>
      <w:r w:rsidRPr="004E7851">
        <w:rPr>
          <w:rFonts w:hAnsi="標楷體"/>
        </w:rPr>
        <w:t>辦</w:t>
      </w:r>
      <w:r w:rsidRPr="004E7851">
        <w:rPr>
          <w:rFonts w:hAnsi="標楷體"/>
          <w:lang w:eastAsia="zh-HK"/>
        </w:rPr>
        <w:t>法第9條</w:t>
      </w:r>
      <w:r w:rsidRPr="004E7851">
        <w:rPr>
          <w:rFonts w:hAnsi="標楷體" w:hint="eastAsia"/>
          <w:lang w:eastAsia="zh-HK"/>
        </w:rPr>
        <w:t>所定應行記載事項，倘若開立人漏未記載或所載不實</w:t>
      </w:r>
      <w:r w:rsidRPr="004E7851">
        <w:rPr>
          <w:rFonts w:hAnsi="標楷體" w:hint="eastAsia"/>
        </w:rPr>
        <w:t>，</w:t>
      </w:r>
      <w:r w:rsidRPr="004E7851">
        <w:rPr>
          <w:rFonts w:hAnsi="標楷體" w:hint="eastAsia"/>
          <w:lang w:eastAsia="zh-HK"/>
        </w:rPr>
        <w:t>並無違反加值型及非加值型營業稅法相關規定</w:t>
      </w:r>
      <w:r w:rsidRPr="004E7851">
        <w:rPr>
          <w:rFonts w:hAnsi="標楷體" w:hint="eastAsia"/>
        </w:rPr>
        <w:t>。</w:t>
      </w:r>
    </w:p>
    <w:p w:rsidR="00B55ECF" w:rsidRPr="004E7851" w:rsidRDefault="00B55ECF" w:rsidP="00B55ECF">
      <w:pPr>
        <w:pStyle w:val="4"/>
        <w:numPr>
          <w:ilvl w:val="3"/>
          <w:numId w:val="1"/>
        </w:numPr>
        <w:rPr>
          <w:rFonts w:hAnsi="標楷體"/>
        </w:rPr>
      </w:pPr>
      <w:r w:rsidRPr="004E7851">
        <w:rPr>
          <w:rFonts w:hAnsi="標楷體" w:hint="eastAsia"/>
          <w:szCs w:val="32"/>
          <w:lang w:eastAsia="zh-HK"/>
        </w:rPr>
        <w:t>衛福部</w:t>
      </w:r>
      <w:r w:rsidRPr="004E7851">
        <w:rPr>
          <w:rFonts w:hAnsi="標楷體" w:hint="eastAsia"/>
          <w:lang w:eastAsia="zh-HK"/>
        </w:rPr>
        <w:t>亦指出</w:t>
      </w:r>
      <w:r w:rsidRPr="004E7851">
        <w:rPr>
          <w:rFonts w:hAnsi="標楷體" w:hint="eastAsia"/>
        </w:rPr>
        <w:t>，</w:t>
      </w:r>
      <w:r w:rsidRPr="004E7851">
        <w:rPr>
          <w:rFonts w:hAnsi="標楷體" w:hint="eastAsia"/>
          <w:lang w:eastAsia="zh-HK"/>
        </w:rPr>
        <w:t>食品</w:t>
      </w:r>
      <w:r w:rsidRPr="004E7851">
        <w:rPr>
          <w:rFonts w:hAnsi="標楷體"/>
          <w:szCs w:val="32"/>
        </w:rPr>
        <w:t>業者開立電子發票之相關欄位填寫規則</w:t>
      </w:r>
      <w:r w:rsidRPr="004E7851">
        <w:rPr>
          <w:rFonts w:hAnsi="標楷體" w:hint="eastAsia"/>
          <w:szCs w:val="32"/>
          <w:lang w:eastAsia="zh-HK"/>
        </w:rPr>
        <w:t>並未統一</w:t>
      </w:r>
      <w:r w:rsidRPr="004E7851">
        <w:rPr>
          <w:rFonts w:hAnsi="標楷體"/>
          <w:szCs w:val="32"/>
        </w:rPr>
        <w:t>，</w:t>
      </w:r>
      <w:r w:rsidRPr="004E7851">
        <w:rPr>
          <w:rFonts w:hAnsi="標楷體" w:hint="eastAsia"/>
          <w:szCs w:val="32"/>
          <w:lang w:eastAsia="zh-HK"/>
        </w:rPr>
        <w:t>致使</w:t>
      </w:r>
      <w:r w:rsidRPr="004E7851">
        <w:rPr>
          <w:rFonts w:hAnsi="標楷體"/>
          <w:szCs w:val="32"/>
        </w:rPr>
        <w:t>電子發票之產品名稱常有「商品」、「產品」、「貨品」等與產品本質未相符之名稱</w:t>
      </w:r>
      <w:r w:rsidRPr="004E7851">
        <w:rPr>
          <w:rFonts w:hAnsi="標楷體" w:hint="eastAsia"/>
          <w:szCs w:val="32"/>
        </w:rPr>
        <w:t>。</w:t>
      </w:r>
      <w:r w:rsidRPr="004E7851">
        <w:rPr>
          <w:rFonts w:hAnsi="標楷體" w:hint="eastAsia"/>
          <w:szCs w:val="32"/>
          <w:lang w:eastAsia="zh-HK"/>
        </w:rPr>
        <w:t>再者</w:t>
      </w:r>
      <w:r w:rsidRPr="004E7851">
        <w:rPr>
          <w:rFonts w:hAnsi="標楷體" w:hint="eastAsia"/>
          <w:szCs w:val="32"/>
        </w:rPr>
        <w:t>，</w:t>
      </w:r>
      <w:r w:rsidRPr="004E7851">
        <w:rPr>
          <w:rFonts w:hAnsi="標楷體" w:hint="eastAsia"/>
          <w:szCs w:val="32"/>
          <w:lang w:eastAsia="zh-HK"/>
        </w:rPr>
        <w:t>因</w:t>
      </w:r>
      <w:r w:rsidRPr="004E7851">
        <w:rPr>
          <w:rFonts w:hAnsi="標楷體" w:hint="eastAsia"/>
          <w:lang w:eastAsia="zh-HK"/>
        </w:rPr>
        <w:t>事涉食品雲</w:t>
      </w:r>
      <w:r w:rsidRPr="004E7851">
        <w:rPr>
          <w:rFonts w:hAnsi="標楷體" w:hint="eastAsia"/>
          <w:szCs w:val="32"/>
          <w:lang w:eastAsia="zh-HK"/>
        </w:rPr>
        <w:t>與電子發票系統之間</w:t>
      </w:r>
      <w:r w:rsidRPr="004E7851">
        <w:rPr>
          <w:rFonts w:hAnsi="標楷體"/>
          <w:szCs w:val="32"/>
        </w:rPr>
        <w:t>申報作業方式不同，</w:t>
      </w:r>
      <w:r w:rsidRPr="004E7851">
        <w:rPr>
          <w:rFonts w:hAnsi="標楷體" w:hint="eastAsia"/>
          <w:szCs w:val="32"/>
          <w:lang w:eastAsia="zh-HK"/>
        </w:rPr>
        <w:t>跨機關</w:t>
      </w:r>
      <w:r w:rsidRPr="004E7851">
        <w:rPr>
          <w:rFonts w:hAnsi="標楷體"/>
          <w:szCs w:val="32"/>
        </w:rPr>
        <w:t>介接資</w:t>
      </w:r>
      <w:r w:rsidRPr="004E7851">
        <w:rPr>
          <w:rFonts w:hAnsi="標楷體" w:hint="eastAsia"/>
          <w:szCs w:val="32"/>
          <w:lang w:eastAsia="zh-HK"/>
        </w:rPr>
        <w:t>料之傳輸</w:t>
      </w:r>
      <w:r w:rsidRPr="004E7851">
        <w:rPr>
          <w:rFonts w:hAnsi="標楷體" w:hint="eastAsia"/>
          <w:szCs w:val="32"/>
        </w:rPr>
        <w:t>、</w:t>
      </w:r>
      <w:r w:rsidRPr="004E7851">
        <w:rPr>
          <w:rFonts w:hAnsi="標楷體" w:hint="eastAsia"/>
          <w:szCs w:val="32"/>
          <w:lang w:eastAsia="zh-HK"/>
        </w:rPr>
        <w:t>欄位</w:t>
      </w:r>
      <w:r w:rsidRPr="004E7851">
        <w:rPr>
          <w:rFonts w:hAnsi="標楷體" w:hint="eastAsia"/>
          <w:szCs w:val="32"/>
        </w:rPr>
        <w:t>、</w:t>
      </w:r>
      <w:r w:rsidRPr="004E7851">
        <w:rPr>
          <w:rFonts w:hAnsi="標楷體" w:hint="eastAsia"/>
          <w:szCs w:val="32"/>
          <w:lang w:eastAsia="zh-HK"/>
        </w:rPr>
        <w:t>列載</w:t>
      </w:r>
      <w:r w:rsidRPr="004E7851">
        <w:rPr>
          <w:rFonts w:hAnsi="標楷體" w:hint="eastAsia"/>
          <w:szCs w:val="32"/>
        </w:rPr>
        <w:t>、</w:t>
      </w:r>
      <w:r w:rsidRPr="004E7851">
        <w:rPr>
          <w:rFonts w:hAnsi="標楷體" w:hint="eastAsia"/>
          <w:szCs w:val="32"/>
          <w:lang w:eastAsia="zh-HK"/>
        </w:rPr>
        <w:t>勾稽等差異及其他技術性困難</w:t>
      </w:r>
      <w:r w:rsidRPr="004E7851">
        <w:rPr>
          <w:rFonts w:hAnsi="標楷體" w:hint="eastAsia"/>
          <w:szCs w:val="32"/>
          <w:lang w:eastAsia="zh-HK"/>
        </w:rPr>
        <w:lastRenderedPageBreak/>
        <w:t>問題</w:t>
      </w:r>
      <w:r w:rsidRPr="004E7851">
        <w:rPr>
          <w:rFonts w:hAnsi="標楷體"/>
          <w:szCs w:val="32"/>
        </w:rPr>
        <w:t>尚有疑義，需費時討論與協調</w:t>
      </w:r>
      <w:r w:rsidRPr="004E7851">
        <w:rPr>
          <w:rFonts w:hAnsi="標楷體" w:hint="eastAsia"/>
          <w:szCs w:val="32"/>
        </w:rPr>
        <w:t>，</w:t>
      </w:r>
      <w:r w:rsidRPr="004E7851">
        <w:rPr>
          <w:rFonts w:hAnsi="標楷體" w:hint="eastAsia"/>
          <w:szCs w:val="32"/>
          <w:lang w:eastAsia="zh-HK"/>
        </w:rPr>
        <w:t>該部與財政部成立電子發票工作小組刻正解決當中</w:t>
      </w:r>
      <w:r w:rsidRPr="004E7851">
        <w:rPr>
          <w:rFonts w:hAnsi="標楷體" w:hint="eastAsia"/>
          <w:szCs w:val="32"/>
        </w:rPr>
        <w:t>。</w:t>
      </w:r>
    </w:p>
    <w:p w:rsidR="00B55ECF" w:rsidRPr="004E7851" w:rsidRDefault="00B55ECF" w:rsidP="00B55ECF">
      <w:pPr>
        <w:pStyle w:val="3"/>
        <w:numPr>
          <w:ilvl w:val="2"/>
          <w:numId w:val="1"/>
        </w:numPr>
        <w:rPr>
          <w:rFonts w:hAnsi="標楷體" w:cs="Arial"/>
          <w:bCs w:val="0"/>
          <w:spacing w:val="15"/>
          <w:sz w:val="34"/>
          <w:szCs w:val="34"/>
          <w:lang w:eastAsia="zh-HK"/>
        </w:rPr>
      </w:pPr>
      <w:r w:rsidRPr="004E7851">
        <w:rPr>
          <w:rFonts w:hAnsi="標楷體" w:cs="Arial" w:hint="eastAsia"/>
          <w:lang w:eastAsia="zh-HK"/>
        </w:rPr>
        <w:t>另查，食品安全之危機與防範並不僅限於食品業別，衡諸過往食品安全事件，</w:t>
      </w:r>
      <w:r w:rsidRPr="004E7851">
        <w:rPr>
          <w:rFonts w:hAnsi="標楷體" w:cs="Arial"/>
          <w:lang w:eastAsia="zh-HK"/>
        </w:rPr>
        <w:t>工業用油</w:t>
      </w:r>
      <w:r w:rsidRPr="004E7851">
        <w:rPr>
          <w:rFonts w:hAnsi="標楷體" w:cs="Arial" w:hint="eastAsia"/>
          <w:lang w:eastAsia="zh-HK"/>
        </w:rPr>
        <w:t>、農產品、農藥、飼料、動物用藥、毒物及化學物質、廢棄物回收及再利用（如廢油、</w:t>
      </w:r>
      <w:r w:rsidRPr="004E7851">
        <w:rPr>
          <w:rFonts w:hAnsi="標楷體" w:cs="Arial"/>
          <w:lang w:eastAsia="zh-HK"/>
        </w:rPr>
        <w:t>廚餘……</w:t>
      </w:r>
      <w:r w:rsidRPr="004E7851">
        <w:rPr>
          <w:rFonts w:hAnsi="標楷體" w:cs="Arial" w:hint="eastAsia"/>
          <w:lang w:eastAsia="zh-HK"/>
        </w:rPr>
        <w:t>）等</w:t>
      </w:r>
      <w:r w:rsidRPr="004E7851">
        <w:rPr>
          <w:rFonts w:hAnsi="標楷體" w:hint="eastAsia"/>
          <w:lang w:eastAsia="zh-HK"/>
        </w:rPr>
        <w:t>相關產業之商品均可能造成食品安全問題</w:t>
      </w:r>
      <w:r w:rsidRPr="004E7851">
        <w:rPr>
          <w:rFonts w:hAnsi="標楷體" w:hint="eastAsia"/>
        </w:rPr>
        <w:t>，</w:t>
      </w:r>
      <w:r w:rsidRPr="004E7851">
        <w:rPr>
          <w:rFonts w:hAnsi="標楷體" w:hint="eastAsia"/>
          <w:lang w:eastAsia="zh-HK"/>
        </w:rPr>
        <w:t>雖衛福部將經濟部</w:t>
      </w:r>
      <w:r w:rsidRPr="004E7851">
        <w:rPr>
          <w:rFonts w:hAnsi="標楷體" w:hint="eastAsia"/>
        </w:rPr>
        <w:t>、</w:t>
      </w:r>
      <w:r w:rsidRPr="004E7851">
        <w:rPr>
          <w:rFonts w:hAnsi="標楷體" w:hint="eastAsia"/>
          <w:lang w:eastAsia="zh-HK"/>
        </w:rPr>
        <w:t>農委會</w:t>
      </w:r>
      <w:r w:rsidRPr="004E7851">
        <w:rPr>
          <w:rFonts w:hAnsi="標楷體" w:hint="eastAsia"/>
        </w:rPr>
        <w:t>、</w:t>
      </w:r>
      <w:r w:rsidRPr="004E7851">
        <w:rPr>
          <w:rFonts w:hAnsi="標楷體" w:hint="eastAsia"/>
          <w:lang w:eastAsia="zh-HK"/>
        </w:rPr>
        <w:t>環保署等各部會監管之資料納入食品雲</w:t>
      </w:r>
      <w:r w:rsidRPr="004E7851">
        <w:rPr>
          <w:rFonts w:hAnsi="標楷體" w:hint="eastAsia"/>
        </w:rPr>
        <w:t>，</w:t>
      </w:r>
      <w:r w:rsidRPr="004E7851">
        <w:rPr>
          <w:rFonts w:hAnsi="標楷體" w:hint="eastAsia"/>
          <w:lang w:eastAsia="zh-HK"/>
        </w:rPr>
        <w:t>進行介接整合，形成泛食品雲架構，以掌握各類風險產品流向</w:t>
      </w:r>
      <w:r w:rsidRPr="004E7851">
        <w:rPr>
          <w:rFonts w:hAnsi="標楷體" w:hint="eastAsia"/>
        </w:rPr>
        <w:t>。</w:t>
      </w:r>
      <w:r w:rsidRPr="004E7851">
        <w:rPr>
          <w:rFonts w:hAnsi="標楷體" w:hint="eastAsia"/>
          <w:lang w:eastAsia="zh-HK"/>
        </w:rPr>
        <w:t>蓋透過</w:t>
      </w:r>
      <w:r w:rsidRPr="004E7851">
        <w:rPr>
          <w:rFonts w:hAnsi="標楷體"/>
          <w:lang w:eastAsia="zh-HK"/>
        </w:rPr>
        <w:t>電子發票交易資訊建立發票雲雲端資料庫，結合食品雲資訊，</w:t>
      </w:r>
      <w:r w:rsidRPr="004E7851">
        <w:rPr>
          <w:rFonts w:hAnsi="標楷體" w:hint="eastAsia"/>
          <w:lang w:eastAsia="zh-HK"/>
        </w:rPr>
        <w:t>使得供應鏈與交易上下游之</w:t>
      </w:r>
      <w:r w:rsidRPr="004E7851">
        <w:rPr>
          <w:rFonts w:hAnsi="標楷體"/>
          <w:lang w:eastAsia="zh-HK"/>
        </w:rPr>
        <w:t>確切</w:t>
      </w:r>
      <w:r w:rsidRPr="004E7851">
        <w:rPr>
          <w:rFonts w:hAnsi="標楷體" w:hint="eastAsia"/>
          <w:lang w:eastAsia="zh-HK"/>
        </w:rPr>
        <w:t>流向透明化</w:t>
      </w:r>
      <w:r w:rsidRPr="004E7851">
        <w:rPr>
          <w:rStyle w:val="aff4"/>
          <w:rFonts w:hAnsi="標楷體" w:cs="Arial"/>
          <w:bCs w:val="0"/>
          <w:spacing w:val="15"/>
          <w:sz w:val="34"/>
          <w:szCs w:val="34"/>
        </w:rPr>
        <w:footnoteReference w:id="7"/>
      </w:r>
      <w:r w:rsidRPr="004E7851">
        <w:rPr>
          <w:rFonts w:hAnsi="標楷體" w:hint="eastAsia"/>
          <w:lang w:eastAsia="zh-HK"/>
        </w:rPr>
        <w:t>，強化食品風險資訊蒐集及分析，一來可</w:t>
      </w:r>
      <w:r w:rsidRPr="004E7851">
        <w:rPr>
          <w:rFonts w:hAnsi="標楷體"/>
          <w:lang w:eastAsia="zh-HK"/>
        </w:rPr>
        <w:t>快速釐清</w:t>
      </w:r>
      <w:r w:rsidRPr="004E7851">
        <w:rPr>
          <w:rFonts w:hAnsi="標楷體" w:hint="eastAsia"/>
          <w:lang w:eastAsia="zh-HK"/>
        </w:rPr>
        <w:t>問題產品</w:t>
      </w:r>
      <w:r w:rsidRPr="004E7851">
        <w:rPr>
          <w:rFonts w:hAnsi="標楷體"/>
          <w:lang w:eastAsia="zh-HK"/>
        </w:rPr>
        <w:t>上游供貨廠商狀態，</w:t>
      </w:r>
      <w:r w:rsidRPr="004E7851">
        <w:rPr>
          <w:rFonts w:hAnsi="標楷體" w:hint="eastAsia"/>
          <w:lang w:eastAsia="zh-HK"/>
        </w:rPr>
        <w:t>二來可</w:t>
      </w:r>
      <w:r w:rsidRPr="004E7851">
        <w:rPr>
          <w:rFonts w:hAnsi="標楷體"/>
          <w:lang w:eastAsia="zh-HK"/>
        </w:rPr>
        <w:t>迅速追查下游廠商回收</w:t>
      </w:r>
      <w:r w:rsidRPr="004E7851">
        <w:rPr>
          <w:rFonts w:hAnsi="標楷體" w:hint="eastAsia"/>
          <w:lang w:eastAsia="zh-HK"/>
        </w:rPr>
        <w:t>問題</w:t>
      </w:r>
      <w:r w:rsidRPr="004E7851">
        <w:rPr>
          <w:rFonts w:hAnsi="標楷體"/>
          <w:lang w:eastAsia="zh-HK"/>
        </w:rPr>
        <w:t>產品</w:t>
      </w:r>
      <w:r w:rsidRPr="004E7851">
        <w:rPr>
          <w:rFonts w:hAnsi="標楷體" w:hint="eastAsia"/>
          <w:lang w:eastAsia="zh-HK"/>
        </w:rPr>
        <w:t>情形，</w:t>
      </w:r>
      <w:r w:rsidRPr="004E7851">
        <w:rPr>
          <w:rFonts w:hAnsi="標楷體" w:cs="Arial" w:hint="eastAsia"/>
          <w:bCs w:val="0"/>
          <w:spacing w:val="15"/>
          <w:sz w:val="34"/>
          <w:szCs w:val="34"/>
          <w:lang w:eastAsia="zh-HK"/>
        </w:rPr>
        <w:t>然現行胥賴衛福部根據食安法要求食品業者開立電子發票之舉措</w:t>
      </w:r>
      <w:r w:rsidRPr="004E7851">
        <w:rPr>
          <w:rFonts w:hAnsi="標楷體" w:hint="eastAsia"/>
        </w:rPr>
        <w:t>，</w:t>
      </w:r>
      <w:r w:rsidRPr="004E7851">
        <w:rPr>
          <w:rFonts w:hAnsi="標楷體" w:hint="eastAsia"/>
          <w:lang w:eastAsia="zh-HK"/>
        </w:rPr>
        <w:t>顯有不足</w:t>
      </w:r>
      <w:r w:rsidRPr="004E7851">
        <w:rPr>
          <w:rFonts w:hAnsi="標楷體" w:cs="Arial" w:hint="eastAsia"/>
          <w:lang w:eastAsia="zh-HK"/>
        </w:rPr>
        <w:t>，尤查：</w:t>
      </w:r>
    </w:p>
    <w:p w:rsidR="00B55ECF" w:rsidRPr="004E7851" w:rsidRDefault="00B55ECF" w:rsidP="00B55ECF">
      <w:pPr>
        <w:pStyle w:val="4"/>
        <w:numPr>
          <w:ilvl w:val="3"/>
          <w:numId w:val="1"/>
        </w:numPr>
        <w:rPr>
          <w:rFonts w:hAnsi="標楷體"/>
          <w:lang w:eastAsia="zh-HK"/>
        </w:rPr>
      </w:pPr>
      <w:r w:rsidRPr="004E7851">
        <w:rPr>
          <w:rFonts w:hAnsi="標楷體" w:hint="eastAsia"/>
          <w:lang w:eastAsia="zh-HK"/>
        </w:rPr>
        <w:t>雖</w:t>
      </w:r>
      <w:r w:rsidRPr="004E7851">
        <w:rPr>
          <w:rFonts w:hAnsi="標楷體" w:hint="eastAsia"/>
        </w:rPr>
        <w:t>104</w:t>
      </w:r>
      <w:r w:rsidRPr="004E7851">
        <w:rPr>
          <w:rFonts w:hAnsi="標楷體" w:hint="eastAsia"/>
          <w:lang w:eastAsia="zh-HK"/>
        </w:rPr>
        <w:t>年</w:t>
      </w:r>
      <w:r w:rsidRPr="004E7851">
        <w:rPr>
          <w:rFonts w:hAnsi="標楷體" w:hint="eastAsia"/>
        </w:rPr>
        <w:t>2</w:t>
      </w:r>
      <w:r w:rsidRPr="004E7851">
        <w:rPr>
          <w:rFonts w:hAnsi="標楷體" w:hint="eastAsia"/>
          <w:lang w:eastAsia="zh-HK"/>
        </w:rPr>
        <w:t>月</w:t>
      </w:r>
      <w:r w:rsidRPr="004E7851">
        <w:rPr>
          <w:rFonts w:hAnsi="標楷體" w:hint="eastAsia"/>
        </w:rPr>
        <w:t>4</w:t>
      </w:r>
      <w:r w:rsidRPr="004E7851">
        <w:rPr>
          <w:rFonts w:hAnsi="標楷體" w:hint="eastAsia"/>
          <w:lang w:eastAsia="zh-HK"/>
        </w:rPr>
        <w:t>日</w:t>
      </w:r>
      <w:r w:rsidRPr="004E7851">
        <w:rPr>
          <w:rFonts w:hAnsi="標楷體" w:hint="eastAsia"/>
        </w:rPr>
        <w:t>修正公布之</w:t>
      </w:r>
      <w:r w:rsidRPr="004E7851">
        <w:rPr>
          <w:rFonts w:hAnsi="標楷體" w:hint="eastAsia"/>
          <w:lang w:eastAsia="zh-HK"/>
        </w:rPr>
        <w:t>飼料管理法</w:t>
      </w:r>
      <w:r w:rsidRPr="004E7851">
        <w:rPr>
          <w:rFonts w:hAnsi="標楷體" w:hint="eastAsia"/>
        </w:rPr>
        <w:t>增訂</w:t>
      </w:r>
      <w:r w:rsidRPr="004E7851">
        <w:rPr>
          <w:rFonts w:hAnsi="標楷體" w:hint="eastAsia"/>
          <w:lang w:eastAsia="zh-HK"/>
        </w:rPr>
        <w:t>第8條之1第1項及第3項規定</w:t>
      </w:r>
      <w:r w:rsidRPr="004E7851">
        <w:rPr>
          <w:rFonts w:hAnsi="標楷體" w:hint="eastAsia"/>
        </w:rPr>
        <w:t>：</w:t>
      </w:r>
      <w:r w:rsidRPr="004E7851">
        <w:rPr>
          <w:rFonts w:hAnsi="標楷體"/>
          <w:lang w:eastAsia="zh-HK"/>
        </w:rPr>
        <w:t>「……</w:t>
      </w:r>
      <w:r w:rsidRPr="004E7851">
        <w:rPr>
          <w:rFonts w:hAnsi="標楷體" w:hint="eastAsia"/>
          <w:lang w:eastAsia="zh-HK"/>
        </w:rPr>
        <w:t>中央主管機關並應就飼料製造業者或販賣業者公告限期分階段使用電子發票（第1項）。</w:t>
      </w:r>
      <w:r w:rsidRPr="004E7851">
        <w:rPr>
          <w:rFonts w:hAnsi="標楷體"/>
          <w:lang w:eastAsia="zh-HK"/>
        </w:rPr>
        <w:t>……</w:t>
      </w:r>
      <w:r w:rsidRPr="004E7851">
        <w:rPr>
          <w:rFonts w:hAnsi="標楷體" w:hint="eastAsia"/>
          <w:lang w:eastAsia="zh-HK"/>
        </w:rPr>
        <w:t>第</w:t>
      </w:r>
      <w:r w:rsidRPr="004E7851">
        <w:rPr>
          <w:rFonts w:hAnsi="標楷體" w:hint="eastAsia"/>
        </w:rPr>
        <w:t>1</w:t>
      </w:r>
      <w:r w:rsidRPr="004E7851">
        <w:rPr>
          <w:rFonts w:hAnsi="標楷體" w:hint="eastAsia"/>
          <w:lang w:eastAsia="zh-HK"/>
        </w:rPr>
        <w:t>項</w:t>
      </w:r>
      <w:r w:rsidRPr="004E7851">
        <w:rPr>
          <w:rFonts w:hAnsi="標楷體"/>
          <w:lang w:eastAsia="zh-HK"/>
        </w:rPr>
        <w:t>……</w:t>
      </w:r>
      <w:r w:rsidRPr="004E7851">
        <w:rPr>
          <w:rFonts w:hAnsi="標楷體" w:hint="eastAsia"/>
          <w:lang w:eastAsia="zh-HK"/>
        </w:rPr>
        <w:t>限期使用電子發票</w:t>
      </w:r>
      <w:r w:rsidRPr="004E7851">
        <w:rPr>
          <w:rFonts w:hAnsi="標楷體"/>
          <w:lang w:eastAsia="zh-HK"/>
        </w:rPr>
        <w:t>……</w:t>
      </w:r>
      <w:r w:rsidRPr="004E7851">
        <w:rPr>
          <w:rFonts w:hAnsi="標楷體" w:hint="eastAsia"/>
          <w:lang w:eastAsia="zh-HK"/>
        </w:rPr>
        <w:t>之辦法，由中央</w:t>
      </w:r>
      <w:r w:rsidRPr="004E7851">
        <w:rPr>
          <w:rFonts w:hAnsi="標楷體" w:hint="eastAsia"/>
        </w:rPr>
        <w:t>主管機關</w:t>
      </w:r>
      <w:r w:rsidRPr="004E7851">
        <w:rPr>
          <w:rFonts w:hAnsi="標楷體" w:hint="eastAsia"/>
          <w:lang w:eastAsia="zh-HK"/>
        </w:rPr>
        <w:t>定之（第3項）。</w:t>
      </w:r>
      <w:r w:rsidRPr="004E7851">
        <w:rPr>
          <w:rFonts w:hAnsi="標楷體"/>
          <w:lang w:eastAsia="zh-HK"/>
        </w:rPr>
        <w:t>」</w:t>
      </w:r>
      <w:r w:rsidRPr="004E7851">
        <w:rPr>
          <w:rFonts w:hAnsi="標楷體" w:hint="eastAsia"/>
          <w:lang w:eastAsia="zh-HK"/>
        </w:rPr>
        <w:t>以及第31條第</w:t>
      </w:r>
      <w:r w:rsidRPr="004E7851">
        <w:rPr>
          <w:rFonts w:hAnsi="標楷體" w:hint="eastAsia"/>
        </w:rPr>
        <w:t>1</w:t>
      </w:r>
      <w:r w:rsidRPr="004E7851">
        <w:rPr>
          <w:rFonts w:hAnsi="標楷體" w:hint="eastAsia"/>
          <w:lang w:eastAsia="zh-HK"/>
        </w:rPr>
        <w:t>項規定</w:t>
      </w:r>
      <w:r w:rsidRPr="004E7851">
        <w:rPr>
          <w:rFonts w:hAnsi="標楷體" w:hint="eastAsia"/>
        </w:rPr>
        <w:t>：</w:t>
      </w:r>
      <w:r w:rsidRPr="004E7851">
        <w:rPr>
          <w:rFonts w:hAnsi="標楷體"/>
          <w:lang w:eastAsia="zh-HK"/>
        </w:rPr>
        <w:t>「</w:t>
      </w:r>
      <w:r w:rsidRPr="004E7851">
        <w:rPr>
          <w:rFonts w:hAnsi="標楷體" w:hint="eastAsia"/>
          <w:lang w:eastAsia="zh-HK"/>
        </w:rPr>
        <w:t>有下列各款情形之一者，處3萬元以上30萬元以下罰鍰：一、未依第8條之1</w:t>
      </w:r>
      <w:r w:rsidRPr="004E7851">
        <w:rPr>
          <w:rFonts w:hAnsi="標楷體"/>
          <w:lang w:eastAsia="zh-HK"/>
        </w:rPr>
        <w:t>……</w:t>
      </w:r>
      <w:r w:rsidRPr="004E7851">
        <w:rPr>
          <w:rFonts w:hAnsi="標楷體" w:hint="eastAsia"/>
          <w:lang w:eastAsia="zh-HK"/>
        </w:rPr>
        <w:t>第3項所定辦法</w:t>
      </w:r>
      <w:r w:rsidRPr="004E7851">
        <w:rPr>
          <w:rFonts w:hAnsi="標楷體"/>
          <w:lang w:eastAsia="zh-HK"/>
        </w:rPr>
        <w:t>……</w:t>
      </w:r>
      <w:r w:rsidRPr="004E7851">
        <w:rPr>
          <w:rFonts w:hAnsi="標楷體" w:hint="eastAsia"/>
          <w:lang w:eastAsia="zh-HK"/>
        </w:rPr>
        <w:t>使用電子發票</w:t>
      </w:r>
      <w:r w:rsidRPr="004E7851">
        <w:rPr>
          <w:rFonts w:hAnsi="標楷體"/>
          <w:lang w:eastAsia="zh-HK"/>
        </w:rPr>
        <w:t>……</w:t>
      </w:r>
      <w:r w:rsidRPr="004E7851">
        <w:rPr>
          <w:rFonts w:hAnsi="標楷體" w:hint="eastAsia"/>
          <w:lang w:eastAsia="zh-HK"/>
        </w:rPr>
        <w:t>。</w:t>
      </w:r>
      <w:r w:rsidRPr="004E7851">
        <w:rPr>
          <w:rFonts w:hAnsi="標楷體"/>
          <w:lang w:eastAsia="zh-HK"/>
        </w:rPr>
        <w:t>」</w:t>
      </w:r>
      <w:r w:rsidRPr="004E7851">
        <w:rPr>
          <w:rFonts w:hAnsi="標楷體" w:hint="eastAsia"/>
          <w:lang w:eastAsia="zh-HK"/>
        </w:rPr>
        <w:t>惟查，農委會迄未公告飼料製造業者或販賣業者分階段使用電子發票之實施日期，亦</w:t>
      </w:r>
      <w:r w:rsidRPr="004E7851">
        <w:rPr>
          <w:rFonts w:hAnsi="標楷體"/>
          <w:lang w:eastAsia="zh-HK"/>
        </w:rPr>
        <w:lastRenderedPageBreak/>
        <w:t>未訂定相關辦法</w:t>
      </w:r>
      <w:r w:rsidRPr="004E7851">
        <w:rPr>
          <w:rFonts w:hAnsi="標楷體" w:hint="eastAsia"/>
          <w:lang w:eastAsia="zh-HK"/>
        </w:rPr>
        <w:t>，上開規定形同具文。</w:t>
      </w:r>
    </w:p>
    <w:p w:rsidR="00B55ECF" w:rsidRPr="004E7851" w:rsidRDefault="00B55ECF" w:rsidP="00B55ECF">
      <w:pPr>
        <w:pStyle w:val="4"/>
        <w:numPr>
          <w:ilvl w:val="3"/>
          <w:numId w:val="1"/>
        </w:numPr>
        <w:rPr>
          <w:rFonts w:hAnsi="標楷體"/>
          <w:lang w:eastAsia="zh-HK"/>
        </w:rPr>
      </w:pPr>
      <w:r w:rsidRPr="004E7851">
        <w:rPr>
          <w:rFonts w:hAnsi="標楷體"/>
          <w:lang w:eastAsia="zh-HK"/>
        </w:rPr>
        <w:t>毒物</w:t>
      </w:r>
      <w:r w:rsidRPr="004E7851">
        <w:rPr>
          <w:rFonts w:hAnsi="標楷體" w:hint="eastAsia"/>
          <w:lang w:eastAsia="zh-HK"/>
        </w:rPr>
        <w:t>及</w:t>
      </w:r>
      <w:r w:rsidRPr="004E7851">
        <w:rPr>
          <w:rFonts w:hAnsi="標楷體"/>
          <w:lang w:eastAsia="zh-HK"/>
        </w:rPr>
        <w:t>化學物質</w:t>
      </w:r>
      <w:r w:rsidRPr="004E7851">
        <w:rPr>
          <w:rFonts w:hAnsi="標楷體" w:hint="eastAsia"/>
          <w:lang w:eastAsia="zh-HK"/>
        </w:rPr>
        <w:t>主管機關強制規範有關業者開立電子發票之修法作業遲緩，此可自財政部財資中心與環保署化學局於</w:t>
      </w:r>
      <w:r w:rsidRPr="004E7851">
        <w:rPr>
          <w:rFonts w:hAnsi="標楷體"/>
          <w:lang w:eastAsia="zh-HK"/>
        </w:rPr>
        <w:t>108年7月17日</w:t>
      </w:r>
      <w:r w:rsidRPr="004E7851">
        <w:rPr>
          <w:rFonts w:hAnsi="標楷體" w:hint="eastAsia"/>
          <w:lang w:eastAsia="zh-HK"/>
        </w:rPr>
        <w:t>共同召開</w:t>
      </w:r>
      <w:r w:rsidRPr="004E7851">
        <w:rPr>
          <w:rFonts w:hAnsi="標楷體"/>
          <w:lang w:eastAsia="zh-HK"/>
        </w:rPr>
        <w:t>「研商推動化學相關業者導入電子發票」會議</w:t>
      </w:r>
      <w:r w:rsidRPr="004E7851">
        <w:rPr>
          <w:rFonts w:hAnsi="標楷體" w:hint="eastAsia"/>
          <w:lang w:eastAsia="zh-HK"/>
        </w:rPr>
        <w:t>決議略以：</w:t>
      </w:r>
      <w:r w:rsidRPr="004E7851">
        <w:rPr>
          <w:rFonts w:hAnsi="標楷體"/>
          <w:lang w:eastAsia="zh-HK"/>
        </w:rPr>
        <w:t>「</w:t>
      </w:r>
      <w:r w:rsidRPr="004E7851">
        <w:rPr>
          <w:rFonts w:hAnsi="標楷體" w:hint="eastAsia"/>
          <w:lang w:eastAsia="zh-HK"/>
        </w:rPr>
        <w:t>考量環保署化學局相關主管法規甫於108年修正公布，故請該局修法強制規範業者導入電子發票一節先予暫緩，未來納入修法參考。</w:t>
      </w:r>
      <w:r w:rsidRPr="004E7851">
        <w:rPr>
          <w:rFonts w:hAnsi="標楷體"/>
          <w:lang w:eastAsia="zh-HK"/>
        </w:rPr>
        <w:t>」</w:t>
      </w:r>
      <w:r w:rsidRPr="004E7851">
        <w:rPr>
          <w:rFonts w:hAnsi="標楷體" w:hint="eastAsia"/>
          <w:lang w:eastAsia="zh-HK"/>
        </w:rPr>
        <w:t>窺見一二</w:t>
      </w:r>
      <w:r w:rsidRPr="004E7851">
        <w:rPr>
          <w:rFonts w:hAnsi="標楷體" w:hint="eastAsia"/>
        </w:rPr>
        <w:t>。</w:t>
      </w:r>
    </w:p>
    <w:p w:rsidR="00B55ECF" w:rsidRPr="004E7851" w:rsidRDefault="00B55ECF" w:rsidP="00E9545A">
      <w:pPr>
        <w:pStyle w:val="3"/>
        <w:numPr>
          <w:ilvl w:val="2"/>
          <w:numId w:val="1"/>
        </w:numPr>
        <w:rPr>
          <w:rFonts w:hAnsi="標楷體" w:cs="Arial"/>
          <w:lang w:eastAsia="zh-HK"/>
        </w:rPr>
      </w:pPr>
      <w:r w:rsidRPr="004E7851">
        <w:rPr>
          <w:rFonts w:hAnsi="標楷體" w:hint="eastAsia"/>
          <w:lang w:eastAsia="zh-HK"/>
        </w:rPr>
        <w:t>綜上，截至</w:t>
      </w:r>
      <w:r w:rsidR="00185001" w:rsidRPr="004E7851">
        <w:rPr>
          <w:rFonts w:hAnsi="標楷體" w:hint="eastAsia"/>
          <w:lang w:eastAsia="zh-HK"/>
        </w:rPr>
        <w:t>109年5月底</w:t>
      </w:r>
      <w:r w:rsidRPr="004E7851">
        <w:rPr>
          <w:rFonts w:hAnsi="標楷體" w:hint="eastAsia"/>
          <w:lang w:eastAsia="zh-HK"/>
        </w:rPr>
        <w:t>，屬衛福部公告指定應遵照</w:t>
      </w:r>
      <w:r w:rsidRPr="004E7851">
        <w:rPr>
          <w:rFonts w:hAnsi="標楷體" w:cs="Arial" w:hint="eastAsia"/>
          <w:lang w:eastAsia="zh-HK"/>
        </w:rPr>
        <w:t>食安法第9條第</w:t>
      </w:r>
      <w:r w:rsidRPr="004E7851">
        <w:rPr>
          <w:rFonts w:hAnsi="標楷體" w:cs="Arial" w:hint="eastAsia"/>
        </w:rPr>
        <w:t>3</w:t>
      </w:r>
      <w:r w:rsidRPr="004E7851">
        <w:rPr>
          <w:rFonts w:hAnsi="標楷體" w:cs="Arial" w:hint="eastAsia"/>
          <w:lang w:eastAsia="zh-HK"/>
        </w:rPr>
        <w:t>項</w:t>
      </w:r>
      <w:r w:rsidRPr="004E7851">
        <w:rPr>
          <w:rFonts w:hAnsi="標楷體" w:hint="eastAsia"/>
          <w:lang w:eastAsia="zh-HK"/>
        </w:rPr>
        <w:t>規定強制開立電子發票之食品業者共22個類別，惟衛福部與財政部輔導、推廣不力，肇使仍有</w:t>
      </w:r>
      <w:r w:rsidR="00185001" w:rsidRPr="004E7851">
        <w:rPr>
          <w:rFonts w:hAnsi="標楷體" w:cs="Arial" w:hint="eastAsia"/>
        </w:rPr>
        <w:t>1,189</w:t>
      </w:r>
      <w:r w:rsidR="00185001" w:rsidRPr="004E7851">
        <w:rPr>
          <w:rFonts w:hAnsi="標楷體" w:cs="Arial" w:hint="eastAsia"/>
          <w:lang w:eastAsia="zh-HK"/>
        </w:rPr>
        <w:t>家</w:t>
      </w:r>
      <w:r w:rsidRPr="004E7851">
        <w:rPr>
          <w:rFonts w:hAnsi="標楷體" w:hint="eastAsia"/>
          <w:lang w:eastAsia="zh-HK"/>
        </w:rPr>
        <w:t>食品業者</w:t>
      </w:r>
      <w:r w:rsidR="00185001" w:rsidRPr="004E7851">
        <w:rPr>
          <w:rFonts w:hAnsi="標楷體" w:cs="Arial" w:hint="eastAsia"/>
        </w:rPr>
        <w:t>（</w:t>
      </w:r>
      <w:r w:rsidR="00185001" w:rsidRPr="004E7851">
        <w:rPr>
          <w:rFonts w:hAnsi="標楷體" w:cs="Arial" w:hint="eastAsia"/>
          <w:lang w:eastAsia="zh-HK"/>
        </w:rPr>
        <w:t>占2</w:t>
      </w:r>
      <w:r w:rsidR="00185001" w:rsidRPr="004E7851">
        <w:rPr>
          <w:rFonts w:hAnsi="標楷體" w:cs="Arial" w:hint="eastAsia"/>
        </w:rPr>
        <w:t>5</w:t>
      </w:r>
      <w:r w:rsidR="00185001" w:rsidRPr="004E7851">
        <w:rPr>
          <w:rFonts w:hAnsi="標楷體" w:cs="Arial" w:hint="eastAsia"/>
          <w:lang w:eastAsia="zh-HK"/>
        </w:rPr>
        <w:t>.</w:t>
      </w:r>
      <w:r w:rsidR="00185001" w:rsidRPr="004E7851">
        <w:rPr>
          <w:rFonts w:hAnsi="標楷體" w:cs="Arial" w:hint="eastAsia"/>
        </w:rPr>
        <w:t>58</w:t>
      </w:r>
      <w:r w:rsidR="00185001" w:rsidRPr="004E7851">
        <w:rPr>
          <w:rFonts w:hAnsi="標楷體" w:cs="Arial" w:hint="eastAsia"/>
          <w:lang w:eastAsia="zh-HK"/>
        </w:rPr>
        <w:t>%</w:t>
      </w:r>
      <w:r w:rsidR="00185001" w:rsidRPr="004E7851">
        <w:rPr>
          <w:rFonts w:hAnsi="標楷體" w:cs="Arial" w:hint="eastAsia"/>
        </w:rPr>
        <w:t>）</w:t>
      </w:r>
      <w:r w:rsidRPr="004E7851">
        <w:rPr>
          <w:rFonts w:hAnsi="標楷體" w:hint="eastAsia"/>
          <w:lang w:eastAsia="zh-HK"/>
        </w:rPr>
        <w:t>尚未落實該規定使用電子發票，</w:t>
      </w:r>
      <w:r w:rsidR="00F5386B" w:rsidRPr="004E7851">
        <w:rPr>
          <w:rFonts w:hAnsi="標楷體" w:cs="Arial" w:hint="eastAsia"/>
        </w:rPr>
        <w:t>以及</w:t>
      </w:r>
      <w:r w:rsidR="00F15A2C" w:rsidRPr="004E7851">
        <w:rPr>
          <w:rFonts w:hAnsi="標楷體" w:cs="Arial" w:hint="eastAsia"/>
        </w:rPr>
        <w:t>囿於3,649家使用電子發票業者近一個月內財稅資料</w:t>
      </w:r>
      <w:r w:rsidR="00BE047C" w:rsidRPr="004E7851">
        <w:rPr>
          <w:rFonts w:hAnsi="標楷體" w:cs="Arial" w:hint="eastAsia"/>
        </w:rPr>
        <w:t>無法即時查調</w:t>
      </w:r>
      <w:r w:rsidR="00F5386B" w:rsidRPr="004E7851">
        <w:rPr>
          <w:rFonts w:hAnsi="標楷體" w:cs="Arial" w:hint="eastAsia"/>
        </w:rPr>
        <w:t>等缺漏，在在弱化食品雲之</w:t>
      </w:r>
      <w:r w:rsidR="00F5386B" w:rsidRPr="004E7851">
        <w:rPr>
          <w:rFonts w:hAnsi="標楷體" w:cs="Arial"/>
        </w:rPr>
        <w:t>溯</w:t>
      </w:r>
      <w:r w:rsidR="00F5386B" w:rsidRPr="004E7851">
        <w:rPr>
          <w:rFonts w:hAnsi="標楷體" w:cs="Arial" w:hint="eastAsia"/>
        </w:rPr>
        <w:t>源追</w:t>
      </w:r>
      <w:r w:rsidR="00F5386B" w:rsidRPr="004E7851">
        <w:rPr>
          <w:rFonts w:hAnsi="標楷體" w:cs="Arial"/>
        </w:rPr>
        <w:t>蹤</w:t>
      </w:r>
      <w:r w:rsidR="00F5386B" w:rsidRPr="004E7851">
        <w:rPr>
          <w:rFonts w:hAnsi="標楷體" w:cs="Arial" w:hint="eastAsia"/>
        </w:rPr>
        <w:t>、風險預警及監控能力，形成食品安全</w:t>
      </w:r>
      <w:r w:rsidR="00F5386B" w:rsidRPr="004E7851">
        <w:rPr>
          <w:rFonts w:hAnsi="標楷體" w:cs="Arial"/>
        </w:rPr>
        <w:t>資訊化</w:t>
      </w:r>
      <w:r w:rsidR="00F5386B" w:rsidRPr="004E7851">
        <w:rPr>
          <w:rFonts w:hAnsi="標楷體" w:cs="Arial" w:hint="eastAsia"/>
        </w:rPr>
        <w:t>管理之破口</w:t>
      </w:r>
      <w:r w:rsidRPr="004E7851">
        <w:rPr>
          <w:rFonts w:hAnsi="標楷體" w:hint="eastAsia"/>
        </w:rPr>
        <w:t>；</w:t>
      </w:r>
      <w:r w:rsidRPr="004E7851">
        <w:rPr>
          <w:rFonts w:hAnsi="標楷體" w:hint="eastAsia"/>
          <w:lang w:eastAsia="zh-HK"/>
        </w:rPr>
        <w:t>且</w:t>
      </w:r>
      <w:r w:rsidRPr="004E7851">
        <w:rPr>
          <w:rFonts w:hAnsi="標楷體" w:hint="eastAsia"/>
        </w:rPr>
        <w:t>，</w:t>
      </w:r>
      <w:r w:rsidRPr="004E7851">
        <w:rPr>
          <w:rFonts w:hAnsi="標楷體" w:cs="Arial" w:hint="eastAsia"/>
          <w:lang w:eastAsia="zh-HK"/>
        </w:rPr>
        <w:t>衛福部允應加速推動其他類別之食品業者使用電子發票之期程，避免黑心食品事件發生時，囿於涉案業者未開立電子發票，缺乏確切之電子化消費資訊，或需要動用龐大人力與耗費大量時間追蹤查察，或真實交易難以舉證而影響犯罪之訴追</w:t>
      </w:r>
      <w:r w:rsidRPr="004E7851">
        <w:rPr>
          <w:rFonts w:hAnsi="標楷體" w:cs="Arial" w:hint="eastAsia"/>
        </w:rPr>
        <w:t>，</w:t>
      </w:r>
      <w:r w:rsidRPr="004E7851">
        <w:rPr>
          <w:rFonts w:hAnsi="標楷體" w:cs="Arial" w:hint="eastAsia"/>
          <w:lang w:eastAsia="zh-HK"/>
        </w:rPr>
        <w:t>或殃及善意業者無端被牽連受害；又，食品</w:t>
      </w:r>
      <w:r w:rsidRPr="004E7851">
        <w:rPr>
          <w:rFonts w:hAnsi="標楷體" w:cs="Arial"/>
          <w:lang w:eastAsia="zh-HK"/>
        </w:rPr>
        <w:t>業者開立電子發票之相關欄位填寫規則</w:t>
      </w:r>
      <w:r w:rsidRPr="004E7851">
        <w:rPr>
          <w:rFonts w:hAnsi="標楷體" w:cs="Arial" w:hint="eastAsia"/>
          <w:lang w:eastAsia="zh-HK"/>
        </w:rPr>
        <w:t>並未統一</w:t>
      </w:r>
      <w:r w:rsidRPr="004E7851">
        <w:rPr>
          <w:rFonts w:hAnsi="標楷體" w:cs="Arial"/>
          <w:lang w:eastAsia="zh-HK"/>
        </w:rPr>
        <w:t>，</w:t>
      </w:r>
      <w:r w:rsidRPr="004E7851">
        <w:rPr>
          <w:rFonts w:hAnsi="標楷體" w:cs="Arial" w:hint="eastAsia"/>
          <w:lang w:eastAsia="zh-HK"/>
        </w:rPr>
        <w:t>影響食品雲與電子發票系統介接資料品質，尤其，整合兩系統</w:t>
      </w:r>
      <w:r w:rsidRPr="004E7851">
        <w:rPr>
          <w:rFonts w:hAnsi="標楷體" w:cs="Arial"/>
          <w:lang w:eastAsia="zh-HK"/>
        </w:rPr>
        <w:t>資</w:t>
      </w:r>
      <w:r w:rsidRPr="004E7851">
        <w:rPr>
          <w:rFonts w:hAnsi="標楷體" w:cs="Arial" w:hint="eastAsia"/>
          <w:lang w:eastAsia="zh-HK"/>
        </w:rPr>
        <w:t>料之傳輸、欄位、列載、勾稽等差異及其他技術性困難問題等</w:t>
      </w:r>
      <w:r w:rsidRPr="004E7851">
        <w:rPr>
          <w:rFonts w:hAnsi="標楷體" w:cs="Arial"/>
          <w:lang w:eastAsia="zh-HK"/>
        </w:rPr>
        <w:t>疑義，</w:t>
      </w:r>
      <w:r w:rsidRPr="004E7851">
        <w:rPr>
          <w:rFonts w:hAnsi="標楷體" w:cs="Arial" w:hint="eastAsia"/>
          <w:lang w:eastAsia="zh-HK"/>
        </w:rPr>
        <w:t>衛福部與財政部尚需持續</w:t>
      </w:r>
      <w:r w:rsidRPr="004E7851">
        <w:rPr>
          <w:rFonts w:hAnsi="標楷體" w:cs="Arial"/>
          <w:lang w:eastAsia="zh-HK"/>
        </w:rPr>
        <w:t>費時討論與</w:t>
      </w:r>
      <w:r w:rsidRPr="004E7851">
        <w:rPr>
          <w:rFonts w:hAnsi="標楷體" w:cs="Arial" w:hint="eastAsia"/>
          <w:lang w:eastAsia="zh-HK"/>
        </w:rPr>
        <w:t>解決；另，食品安全之危機與防範並不僅限於食品業別，然農委會迄未確實依照飼料管理法第8條之1第1項規定公告飼料製造業者或販賣業者分</w:t>
      </w:r>
      <w:r w:rsidRPr="004E7851">
        <w:rPr>
          <w:rFonts w:hAnsi="標楷體" w:cs="Arial" w:hint="eastAsia"/>
          <w:lang w:eastAsia="zh-HK"/>
        </w:rPr>
        <w:lastRenderedPageBreak/>
        <w:t>階段使用電子發票之實施日期，上開規定形同具文，而環保署強制規範化學相關業者開立電子發票之修法作業亦顯遲緩，胥賴衛福部根據食安法要求食品業者開立電子發票，危害食品溯源追蹤網絡之構築，影響</w:t>
      </w:r>
      <w:r w:rsidRPr="004E7851">
        <w:rPr>
          <w:rFonts w:hAnsi="標楷體" w:cs="Arial"/>
          <w:lang w:eastAsia="zh-HK"/>
        </w:rPr>
        <w:t>消費</w:t>
      </w:r>
      <w:r w:rsidRPr="004E7851">
        <w:rPr>
          <w:rFonts w:hAnsi="標楷體" w:cs="Arial" w:hint="eastAsia"/>
          <w:lang w:eastAsia="zh-HK"/>
        </w:rPr>
        <w:t>者食的安全、食的安心之</w:t>
      </w:r>
      <w:r w:rsidRPr="004E7851">
        <w:rPr>
          <w:rFonts w:hAnsi="標楷體" w:cs="Arial"/>
          <w:lang w:eastAsia="zh-HK"/>
        </w:rPr>
        <w:t>權益</w:t>
      </w:r>
      <w:r w:rsidRPr="004E7851">
        <w:rPr>
          <w:rFonts w:hAnsi="標楷體" w:cs="Arial" w:hint="eastAsia"/>
          <w:lang w:eastAsia="zh-HK"/>
        </w:rPr>
        <w:t>。</w:t>
      </w:r>
    </w:p>
    <w:p w:rsidR="00B55ECF" w:rsidRPr="004E7851" w:rsidRDefault="00B55ECF" w:rsidP="00B55ECF">
      <w:pPr>
        <w:pStyle w:val="2"/>
        <w:numPr>
          <w:ilvl w:val="1"/>
          <w:numId w:val="1"/>
        </w:numPr>
        <w:rPr>
          <w:rFonts w:hAnsi="標楷體"/>
          <w:b/>
        </w:rPr>
      </w:pPr>
      <w:r w:rsidRPr="004E7851">
        <w:rPr>
          <w:rFonts w:hAnsi="標楷體" w:hint="eastAsia"/>
          <w:b/>
          <w:lang w:eastAsia="zh-HK"/>
        </w:rPr>
        <w:t>經濟</w:t>
      </w:r>
      <w:r w:rsidRPr="004E7851">
        <w:rPr>
          <w:rFonts w:hAnsi="標楷體"/>
          <w:b/>
          <w:lang w:eastAsia="zh-HK"/>
        </w:rPr>
        <w:t>部</w:t>
      </w:r>
      <w:r w:rsidRPr="004E7851">
        <w:rPr>
          <w:rFonts w:hAnsi="標楷體" w:hint="eastAsia"/>
          <w:b/>
          <w:lang w:eastAsia="zh-HK"/>
        </w:rPr>
        <w:t>建置食品雲HUB平臺之目的係為有效補強弱鏈之食品安全防線</w:t>
      </w:r>
      <w:r w:rsidRPr="004E7851">
        <w:rPr>
          <w:rFonts w:hAnsi="標楷體" w:hint="eastAsia"/>
          <w:b/>
        </w:rPr>
        <w:t>，</w:t>
      </w:r>
      <w:r w:rsidRPr="004E7851">
        <w:rPr>
          <w:rFonts w:hAnsi="標楷體" w:hint="eastAsia"/>
          <w:b/>
          <w:lang w:eastAsia="zh-HK"/>
        </w:rPr>
        <w:t>輔導經衛福部</w:t>
      </w:r>
      <w:r w:rsidRPr="004E7851">
        <w:rPr>
          <w:rFonts w:hAnsi="標楷體" w:cs="Arial" w:hint="eastAsia"/>
          <w:b/>
          <w:lang w:eastAsia="zh-HK"/>
        </w:rPr>
        <w:t>公告指定特定類別或一定規模之食品業者應</w:t>
      </w:r>
      <w:r w:rsidRPr="004E7851">
        <w:rPr>
          <w:rFonts w:hAnsi="標楷體" w:hint="eastAsia"/>
          <w:b/>
          <w:lang w:eastAsia="zh-HK"/>
        </w:rPr>
        <w:t>依照食安法第9條第2項</w:t>
      </w:r>
      <w:r w:rsidRPr="004E7851">
        <w:rPr>
          <w:rFonts w:hAnsi="標楷體" w:hint="eastAsia"/>
          <w:b/>
        </w:rPr>
        <w:t>、</w:t>
      </w:r>
      <w:r w:rsidRPr="004E7851">
        <w:rPr>
          <w:rFonts w:hAnsi="標楷體" w:hint="eastAsia"/>
          <w:b/>
          <w:lang w:eastAsia="zh-HK"/>
        </w:rPr>
        <w:t>第4項規定建立追溯或追蹤系統及電子化上傳非追不可</w:t>
      </w:r>
      <w:r w:rsidR="00753DD0" w:rsidRPr="004E7851">
        <w:rPr>
          <w:rFonts w:hAnsi="標楷體" w:hint="eastAsia"/>
          <w:b/>
          <w:lang w:eastAsia="zh-HK"/>
        </w:rPr>
        <w:t>系統</w:t>
      </w:r>
      <w:r w:rsidRPr="004E7851">
        <w:rPr>
          <w:rFonts w:hAnsi="標楷體" w:hint="eastAsia"/>
          <w:b/>
          <w:lang w:eastAsia="zh-HK"/>
        </w:rPr>
        <w:t>，惟該平臺使用效益不彰，以致108年度食品</w:t>
      </w:r>
      <w:r w:rsidRPr="004E7851">
        <w:rPr>
          <w:rFonts w:hAnsi="標楷體" w:cs="標楷體" w:hint="eastAsia"/>
          <w:b/>
          <w:kern w:val="0"/>
          <w:szCs w:val="24"/>
        </w:rPr>
        <w:t>業者</w:t>
      </w:r>
      <w:r w:rsidRPr="004E7851">
        <w:rPr>
          <w:rFonts w:hAnsi="標楷體" w:hint="eastAsia"/>
          <w:b/>
          <w:lang w:eastAsia="zh-HK"/>
        </w:rPr>
        <w:t>連續使用</w:t>
      </w:r>
      <w:r w:rsidR="003F13F6" w:rsidRPr="004E7851">
        <w:rPr>
          <w:rFonts w:hAnsi="標楷體" w:hint="eastAsia"/>
          <w:b/>
          <w:lang w:eastAsia="zh-HK"/>
        </w:rPr>
        <w:t>該平臺</w:t>
      </w:r>
      <w:r w:rsidRPr="004E7851">
        <w:rPr>
          <w:rFonts w:hAnsi="標楷體" w:hint="eastAsia"/>
          <w:b/>
          <w:lang w:eastAsia="zh-HK"/>
        </w:rPr>
        <w:t>3個月以上僅65家</w:t>
      </w:r>
      <w:r w:rsidRPr="004E7851">
        <w:rPr>
          <w:rFonts w:hAnsi="標楷體" w:hint="eastAsia"/>
          <w:b/>
        </w:rPr>
        <w:t>；</w:t>
      </w:r>
      <w:r w:rsidRPr="004E7851">
        <w:rPr>
          <w:rFonts w:hAnsi="標楷體" w:hint="eastAsia"/>
          <w:b/>
          <w:lang w:eastAsia="zh-HK"/>
        </w:rPr>
        <w:t>且</w:t>
      </w:r>
      <w:r w:rsidRPr="004E7851">
        <w:rPr>
          <w:rFonts w:hAnsi="標楷體" w:hint="eastAsia"/>
          <w:b/>
        </w:rPr>
        <w:t>，</w:t>
      </w:r>
      <w:r w:rsidRPr="004E7851">
        <w:rPr>
          <w:rFonts w:hAnsi="標楷體"/>
          <w:b/>
          <w:lang w:eastAsia="zh-HK"/>
        </w:rPr>
        <w:t>截至10</w:t>
      </w:r>
      <w:r w:rsidRPr="004E7851">
        <w:rPr>
          <w:rFonts w:hAnsi="標楷體" w:hint="eastAsia"/>
          <w:b/>
          <w:lang w:eastAsia="zh-HK"/>
        </w:rPr>
        <w:t>9</w:t>
      </w:r>
      <w:r w:rsidRPr="004E7851">
        <w:rPr>
          <w:rFonts w:hAnsi="標楷體"/>
          <w:b/>
          <w:lang w:eastAsia="zh-HK"/>
        </w:rPr>
        <w:t>年</w:t>
      </w:r>
      <w:r w:rsidRPr="004E7851">
        <w:rPr>
          <w:rFonts w:hAnsi="標楷體" w:hint="eastAsia"/>
          <w:b/>
          <w:lang w:eastAsia="zh-HK"/>
        </w:rPr>
        <w:t>1月1日</w:t>
      </w:r>
      <w:r w:rsidRPr="004E7851">
        <w:rPr>
          <w:rFonts w:hAnsi="標楷體"/>
          <w:b/>
          <w:lang w:eastAsia="zh-HK"/>
        </w:rPr>
        <w:t>止，</w:t>
      </w:r>
      <w:r w:rsidRPr="004E7851">
        <w:rPr>
          <w:rFonts w:hAnsi="標楷體" w:hint="eastAsia"/>
          <w:b/>
          <w:lang w:eastAsia="zh-HK"/>
        </w:rPr>
        <w:t>尚未依上開規定完成</w:t>
      </w:r>
      <w:r w:rsidRPr="004E7851">
        <w:rPr>
          <w:rFonts w:hAnsi="標楷體"/>
          <w:b/>
          <w:lang w:eastAsia="zh-HK"/>
        </w:rPr>
        <w:t>建立</w:t>
      </w:r>
      <w:r w:rsidRPr="004E7851">
        <w:rPr>
          <w:rFonts w:hAnsi="標楷體" w:hint="eastAsia"/>
          <w:b/>
          <w:lang w:eastAsia="zh-HK"/>
        </w:rPr>
        <w:t>者計</w:t>
      </w:r>
      <w:r w:rsidR="00053C0D" w:rsidRPr="004E7851">
        <w:rPr>
          <w:rFonts w:hAnsi="標楷體" w:hint="eastAsia"/>
          <w:b/>
        </w:rPr>
        <w:t>399</w:t>
      </w:r>
      <w:r w:rsidRPr="004E7851">
        <w:rPr>
          <w:rFonts w:hAnsi="標楷體"/>
          <w:b/>
          <w:lang w:eastAsia="zh-HK"/>
        </w:rPr>
        <w:t>家</w:t>
      </w:r>
      <w:r w:rsidRPr="004E7851">
        <w:rPr>
          <w:rFonts w:hAnsi="標楷體" w:hint="eastAsia"/>
          <w:b/>
          <w:lang w:eastAsia="zh-HK"/>
        </w:rPr>
        <w:t>次</w:t>
      </w:r>
      <w:r w:rsidRPr="004E7851">
        <w:rPr>
          <w:rFonts w:hAnsi="標楷體" w:hint="eastAsia"/>
          <w:b/>
        </w:rPr>
        <w:t>，</w:t>
      </w:r>
      <w:r w:rsidRPr="004E7851">
        <w:rPr>
          <w:rFonts w:hAnsi="標楷體" w:hint="eastAsia"/>
          <w:b/>
          <w:lang w:eastAsia="zh-HK"/>
        </w:rPr>
        <w:t>經濟部尤應優先輔導、協助該等業者善用該平臺功能，正確建立食品</w:t>
      </w:r>
      <w:r w:rsidRPr="004E7851">
        <w:rPr>
          <w:rFonts w:hAnsi="標楷體"/>
          <w:b/>
          <w:lang w:eastAsia="zh-HK"/>
        </w:rPr>
        <w:t>追溯追蹤系統</w:t>
      </w:r>
      <w:r w:rsidRPr="004E7851">
        <w:rPr>
          <w:rFonts w:hAnsi="標楷體" w:hint="eastAsia"/>
          <w:b/>
          <w:lang w:eastAsia="zh-HK"/>
        </w:rPr>
        <w:t>，並快速完成電子申報作業</w:t>
      </w:r>
      <w:r w:rsidRPr="004E7851">
        <w:rPr>
          <w:rFonts w:hAnsi="標楷體" w:hint="eastAsia"/>
          <w:b/>
        </w:rPr>
        <w:t>；</w:t>
      </w:r>
      <w:r w:rsidRPr="004E7851">
        <w:rPr>
          <w:rFonts w:hAnsi="標楷體" w:hint="eastAsia"/>
          <w:b/>
          <w:lang w:eastAsia="zh-HK"/>
        </w:rPr>
        <w:t>另，經濟部應推廣、輔導新增納管食品業者善用該平臺解決繁複及龐大之申報資料問題，降低業者適法成本，擴散食品雲HUB平臺之服務能量。</w:t>
      </w:r>
    </w:p>
    <w:p w:rsidR="00B55ECF" w:rsidRPr="004E7851" w:rsidRDefault="00B55ECF" w:rsidP="00B55ECF">
      <w:pPr>
        <w:pStyle w:val="3"/>
        <w:numPr>
          <w:ilvl w:val="2"/>
          <w:numId w:val="1"/>
        </w:numPr>
        <w:rPr>
          <w:rFonts w:hAnsi="標楷體"/>
          <w:lang w:eastAsia="zh-HK"/>
        </w:rPr>
      </w:pPr>
      <w:r w:rsidRPr="004E7851">
        <w:rPr>
          <w:rFonts w:hAnsi="標楷體" w:hint="eastAsia"/>
          <w:lang w:eastAsia="zh-HK"/>
        </w:rPr>
        <w:t>按食安法第9條第2項及第4項規定略以，經衛福部公告類別與規模之食品業者，應依該部1</w:t>
      </w:r>
      <w:r w:rsidRPr="004E7851">
        <w:rPr>
          <w:rFonts w:hAnsi="標楷體"/>
          <w:lang w:eastAsia="zh-HK"/>
        </w:rPr>
        <w:t>07</w:t>
      </w:r>
      <w:r w:rsidRPr="004E7851">
        <w:rPr>
          <w:rFonts w:hAnsi="標楷體" w:hint="eastAsia"/>
          <w:lang w:eastAsia="zh-HK"/>
        </w:rPr>
        <w:t>年10月3日以衛授食字第1071302442號令發布修正之追溯追蹤系統管理辦法以書面或電子文件保存完整食品追溯追蹤憑證、文件</w:t>
      </w:r>
      <w:r w:rsidRPr="004E7851">
        <w:rPr>
          <w:rFonts w:hAnsi="標楷體" w:hint="eastAsia"/>
        </w:rPr>
        <w:t>(</w:t>
      </w:r>
      <w:r w:rsidRPr="004E7851">
        <w:rPr>
          <w:rFonts w:hAnsi="標楷體" w:hint="eastAsia"/>
          <w:lang w:eastAsia="zh-HK"/>
        </w:rPr>
        <w:t>如</w:t>
      </w:r>
      <w:r w:rsidRPr="004E7851">
        <w:rPr>
          <w:rFonts w:hAnsi="標楷體"/>
          <w:szCs w:val="32"/>
        </w:rPr>
        <w:t>原材料來源資訊、產品資訊、標記識別、產品流向資訊</w:t>
      </w:r>
      <w:r w:rsidRPr="004E7851">
        <w:rPr>
          <w:rFonts w:hAnsi="標楷體" w:hint="eastAsia"/>
        </w:rPr>
        <w:t>)</w:t>
      </w:r>
      <w:r w:rsidRPr="004E7851">
        <w:rPr>
          <w:rFonts w:hAnsi="標楷體" w:hint="eastAsia"/>
          <w:lang w:eastAsia="zh-HK"/>
        </w:rPr>
        <w:t>等紀錄，並於每月10日前以電子方式申報上一個月食品追溯追蹤資訊至非追不可。如公告指定規模及類別之食品業者建立追溯追蹤之資料不實或電子申報資料不實，依據同法第47條第3款規定</w:t>
      </w:r>
      <w:r w:rsidRPr="004E7851">
        <w:rPr>
          <w:rFonts w:hAnsi="標楷體" w:hint="eastAsia"/>
        </w:rPr>
        <w:t>，</w:t>
      </w:r>
      <w:r w:rsidRPr="004E7851">
        <w:rPr>
          <w:rFonts w:hAnsi="標楷體" w:hint="eastAsia"/>
          <w:lang w:eastAsia="zh-HK"/>
        </w:rPr>
        <w:t>處3萬元以上300萬元以下罰鍰</w:t>
      </w:r>
      <w:r w:rsidRPr="004E7851">
        <w:rPr>
          <w:rFonts w:hAnsi="標楷體" w:hint="eastAsia"/>
        </w:rPr>
        <w:t>；</w:t>
      </w:r>
      <w:r w:rsidRPr="004E7851">
        <w:rPr>
          <w:rFonts w:hAnsi="標楷體" w:hint="eastAsia"/>
          <w:lang w:eastAsia="zh-HK"/>
        </w:rPr>
        <w:t>未建立追溯或追蹤系統者</w:t>
      </w:r>
      <w:r w:rsidRPr="004E7851">
        <w:rPr>
          <w:rFonts w:hAnsi="標楷體" w:hint="eastAsia"/>
        </w:rPr>
        <w:t>，</w:t>
      </w:r>
      <w:r w:rsidRPr="004E7851">
        <w:rPr>
          <w:rFonts w:hAnsi="標楷體" w:hint="eastAsia"/>
          <w:lang w:eastAsia="zh-HK"/>
        </w:rPr>
        <w:t>或未以電子方式申報或未依中央主管機關所定之方式及規格申報</w:t>
      </w:r>
      <w:r w:rsidRPr="004E7851">
        <w:rPr>
          <w:rFonts w:hAnsi="標楷體" w:hint="eastAsia"/>
        </w:rPr>
        <w:t>，</w:t>
      </w:r>
      <w:r w:rsidRPr="004E7851">
        <w:rPr>
          <w:rFonts w:hAnsi="標楷體" w:hint="eastAsia"/>
          <w:lang w:eastAsia="zh-HK"/>
        </w:rPr>
        <w:t>分別依據同法第48條第4款及第6款規定</w:t>
      </w:r>
      <w:r w:rsidRPr="004E7851">
        <w:rPr>
          <w:rFonts w:hAnsi="標楷體" w:hint="eastAsia"/>
        </w:rPr>
        <w:t>，</w:t>
      </w:r>
      <w:r w:rsidRPr="004E7851">
        <w:rPr>
          <w:rFonts w:hAnsi="標楷體" w:hint="eastAsia"/>
          <w:lang w:eastAsia="zh-HK"/>
        </w:rPr>
        <w:t>經命限期</w:t>
      </w:r>
      <w:r w:rsidRPr="004E7851">
        <w:rPr>
          <w:rFonts w:hAnsi="標楷體" w:hint="eastAsia"/>
          <w:lang w:eastAsia="zh-HK"/>
        </w:rPr>
        <w:lastRenderedPageBreak/>
        <w:t>改正，屆期不改正者，處</w:t>
      </w:r>
      <w:r w:rsidRPr="004E7851">
        <w:rPr>
          <w:rFonts w:hAnsi="標楷體" w:hint="eastAsia"/>
        </w:rPr>
        <w:t>3</w:t>
      </w:r>
      <w:r w:rsidRPr="004E7851">
        <w:rPr>
          <w:rFonts w:hAnsi="標楷體" w:hint="eastAsia"/>
          <w:lang w:eastAsia="zh-HK"/>
        </w:rPr>
        <w:t>萬元以上</w:t>
      </w:r>
      <w:r w:rsidRPr="004E7851">
        <w:rPr>
          <w:rFonts w:hAnsi="標楷體" w:hint="eastAsia"/>
        </w:rPr>
        <w:t>300</w:t>
      </w:r>
      <w:r w:rsidRPr="004E7851">
        <w:rPr>
          <w:rFonts w:hAnsi="標楷體" w:hint="eastAsia"/>
          <w:lang w:eastAsia="zh-HK"/>
        </w:rPr>
        <w:t>萬元以下罰鍰</w:t>
      </w:r>
      <w:r w:rsidRPr="004E7851">
        <w:rPr>
          <w:rFonts w:hAnsi="標楷體" w:hint="eastAsia"/>
        </w:rPr>
        <w:t>；</w:t>
      </w:r>
      <w:r w:rsidRPr="004E7851">
        <w:rPr>
          <w:rFonts w:hAnsi="標楷體" w:hint="eastAsia"/>
          <w:lang w:eastAsia="zh-HK"/>
        </w:rPr>
        <w:t>情節重大者，並得命其歇業、停業一定期間、廢止其公司、商業、工廠之全部或部分登記事項，或食品業者之登錄；經廢止登錄者，1年內不得再申請重新登錄。另按追溯追蹤系統管理辦法第3條規定：「本辦法所稱之追溯追蹤系統，指食品業者於食品及其相關產品供應過程之各個環節，經由標記得以追溯產品供應來源或追蹤產品流向，建立其資訊及管理之措施。」合先敘明。</w:t>
      </w:r>
    </w:p>
    <w:p w:rsidR="00B55ECF" w:rsidRPr="004E7851" w:rsidRDefault="00B55ECF" w:rsidP="00B55ECF">
      <w:pPr>
        <w:pStyle w:val="3"/>
        <w:numPr>
          <w:ilvl w:val="2"/>
          <w:numId w:val="1"/>
        </w:numPr>
        <w:rPr>
          <w:rFonts w:hAnsi="標楷體"/>
          <w:lang w:eastAsia="zh-HK"/>
        </w:rPr>
      </w:pPr>
      <w:r w:rsidRPr="004E7851">
        <w:rPr>
          <w:rFonts w:hAnsi="標楷體" w:hint="eastAsia"/>
          <w:lang w:eastAsia="zh-HK"/>
        </w:rPr>
        <w:t>經查，</w:t>
      </w:r>
      <w:r w:rsidRPr="004E7851">
        <w:rPr>
          <w:rFonts w:hAnsi="標楷體" w:hint="eastAsia"/>
          <w:u w:val="single"/>
          <w:lang w:eastAsia="zh-HK"/>
        </w:rPr>
        <w:t>經濟</w:t>
      </w:r>
      <w:r w:rsidRPr="004E7851">
        <w:rPr>
          <w:rFonts w:hAnsi="標楷體"/>
          <w:u w:val="single"/>
          <w:lang w:eastAsia="zh-HK"/>
        </w:rPr>
        <w:t>部</w:t>
      </w:r>
      <w:r w:rsidRPr="004E7851">
        <w:rPr>
          <w:rFonts w:hAnsi="標楷體" w:hint="eastAsia"/>
          <w:u w:val="single"/>
          <w:lang w:eastAsia="zh-HK"/>
        </w:rPr>
        <w:t>為輔導食品業者依前開法規建立追溯或追蹤系統及電子化上傳非追不可，並解決業者面對法規、通路商或品牌商等客戶不同產製資料上傳格式要求，而須將類似資料重複登錄至多個系統之困擾，於</w:t>
      </w:r>
      <w:r w:rsidRPr="004E7851">
        <w:rPr>
          <w:rFonts w:hAnsi="標楷體"/>
          <w:u w:val="single"/>
          <w:lang w:eastAsia="zh-HK"/>
        </w:rPr>
        <w:t>105年</w:t>
      </w:r>
      <w:r w:rsidRPr="004E7851">
        <w:rPr>
          <w:rFonts w:hAnsi="標楷體" w:hint="eastAsia"/>
          <w:u w:val="single"/>
          <w:lang w:eastAsia="zh-HK"/>
        </w:rPr>
        <w:t>建置「食品雲B2B HUB 服務平臺」</w:t>
      </w:r>
      <w:r w:rsidRPr="004E7851">
        <w:rPr>
          <w:rFonts w:hAnsi="標楷體" w:hint="eastAsia"/>
          <w:lang w:eastAsia="zh-HK"/>
        </w:rPr>
        <w:t>(下稱食品雲HUB平臺)，並逐步與各食品相關公有及商業平臺串接，且自106年起，經濟部透過實機上線說明會、由食品及資訊專家組成之顧問團隊實際赴廠輔導等方式，協助食品業者導入食品雲HUB平臺進行整合申報，透過</w:t>
      </w:r>
      <w:r w:rsidRPr="004E7851">
        <w:rPr>
          <w:rFonts w:hAnsi="標楷體"/>
          <w:lang w:eastAsia="zh-HK"/>
        </w:rPr>
        <w:t>資訊通訊</w:t>
      </w:r>
      <w:r w:rsidRPr="004E7851">
        <w:rPr>
          <w:rFonts w:hAnsi="標楷體" w:hint="eastAsia"/>
          <w:lang w:eastAsia="zh-HK"/>
        </w:rPr>
        <w:t>科技</w:t>
      </w:r>
      <w:r w:rsidRPr="004E7851">
        <w:rPr>
          <w:rFonts w:hAnsi="標楷體"/>
          <w:lang w:eastAsia="zh-HK"/>
        </w:rPr>
        <w:t>(Information Communication Technology, ICT)</w:t>
      </w:r>
      <w:r w:rsidRPr="004E7851">
        <w:rPr>
          <w:rFonts w:hAnsi="標楷體" w:hint="eastAsia"/>
          <w:lang w:eastAsia="zh-HK"/>
        </w:rPr>
        <w:t>技術簡化資料整理與轉置之操作流程，提高業者申報效率，並降低人力作業成本。關於食品雲HUB平臺之建置</w:t>
      </w:r>
      <w:r w:rsidRPr="004E7851">
        <w:rPr>
          <w:rFonts w:hAnsi="標楷體"/>
          <w:lang w:eastAsia="zh-HK"/>
        </w:rPr>
        <w:t>依據</w:t>
      </w:r>
      <w:r w:rsidRPr="004E7851">
        <w:rPr>
          <w:rFonts w:hAnsi="標楷體" w:hint="eastAsia"/>
          <w:lang w:eastAsia="zh-HK"/>
        </w:rPr>
        <w:t>、預期效益、經費執行及運作成效，分列如下：</w:t>
      </w:r>
    </w:p>
    <w:p w:rsidR="00B55ECF" w:rsidRPr="004E7851" w:rsidRDefault="00B55ECF" w:rsidP="00B55ECF">
      <w:pPr>
        <w:pStyle w:val="4"/>
        <w:numPr>
          <w:ilvl w:val="3"/>
          <w:numId w:val="1"/>
        </w:numPr>
        <w:rPr>
          <w:rFonts w:hAnsi="標楷體"/>
        </w:rPr>
      </w:pPr>
      <w:r w:rsidRPr="004E7851">
        <w:rPr>
          <w:rFonts w:hAnsi="標楷體" w:hint="eastAsia"/>
          <w:lang w:eastAsia="zh-HK"/>
        </w:rPr>
        <w:t>建置</w:t>
      </w:r>
      <w:r w:rsidRPr="004E7851">
        <w:rPr>
          <w:rFonts w:hAnsi="標楷體"/>
        </w:rPr>
        <w:t>依據</w:t>
      </w:r>
      <w:r w:rsidRPr="004E7851">
        <w:rPr>
          <w:rFonts w:hAnsi="標楷體" w:hint="eastAsia"/>
        </w:rPr>
        <w:t>：</w:t>
      </w:r>
      <w:r w:rsidRPr="004E7851">
        <w:rPr>
          <w:rFonts w:hAnsi="標楷體" w:hint="eastAsia"/>
          <w:lang w:eastAsia="zh-HK"/>
        </w:rPr>
        <w:t>依照</w:t>
      </w:r>
      <w:r w:rsidRPr="004E7851">
        <w:rPr>
          <w:rFonts w:hAnsi="標楷體"/>
        </w:rPr>
        <w:t>行政院食品安全五環政策</w:t>
      </w:r>
      <w:r w:rsidRPr="004E7851">
        <w:rPr>
          <w:rFonts w:hAnsi="標楷體" w:hint="eastAsia"/>
        </w:rPr>
        <w:t>之第</w:t>
      </w:r>
      <w:r w:rsidRPr="004E7851">
        <w:rPr>
          <w:rFonts w:hAnsi="標楷體" w:hint="eastAsia"/>
          <w:lang w:eastAsia="zh-HK"/>
        </w:rPr>
        <w:t>二</w:t>
      </w:r>
      <w:r w:rsidRPr="004E7851">
        <w:rPr>
          <w:rFonts w:hAnsi="標楷體" w:hint="eastAsia"/>
        </w:rPr>
        <w:t>環</w:t>
      </w:r>
      <w:r w:rsidRPr="004E7851">
        <w:rPr>
          <w:rFonts w:hAnsi="標楷體"/>
        </w:rPr>
        <w:t>-「重建生產管理」行動策略及104年5月22日「食品管理精進策略第4次會議」決議</w:t>
      </w:r>
      <w:r w:rsidRPr="004E7851">
        <w:rPr>
          <w:rFonts w:hAnsi="標楷體" w:hint="eastAsia"/>
        </w:rPr>
        <w:t>，</w:t>
      </w:r>
      <w:r w:rsidRPr="004E7851">
        <w:rPr>
          <w:rFonts w:hAnsi="標楷體"/>
        </w:rPr>
        <w:t>協助國內食品業者建構供應鏈e化示範體系，強化</w:t>
      </w:r>
      <w:r w:rsidRPr="004E7851">
        <w:rPr>
          <w:rFonts w:hAnsi="標楷體" w:hint="eastAsia"/>
        </w:rPr>
        <w:t>自主</w:t>
      </w:r>
      <w:r w:rsidRPr="004E7851">
        <w:rPr>
          <w:rFonts w:hAnsi="標楷體"/>
        </w:rPr>
        <w:t>生產作業管理</w:t>
      </w:r>
      <w:r w:rsidRPr="004E7851">
        <w:rPr>
          <w:rFonts w:hAnsi="標楷體" w:hint="eastAsia"/>
        </w:rPr>
        <w:t>，</w:t>
      </w:r>
      <w:r w:rsidRPr="004E7851">
        <w:rPr>
          <w:rFonts w:hAnsi="標楷體"/>
        </w:rPr>
        <w:t>透過</w:t>
      </w:r>
      <w:r w:rsidRPr="004E7851">
        <w:rPr>
          <w:rFonts w:hAnsi="標楷體" w:hint="eastAsia"/>
        </w:rPr>
        <w:t>資訊系統</w:t>
      </w:r>
      <w:r w:rsidRPr="004E7851">
        <w:rPr>
          <w:rFonts w:hAnsi="標楷體"/>
        </w:rPr>
        <w:t>介接，提升</w:t>
      </w:r>
      <w:r w:rsidRPr="004E7851">
        <w:rPr>
          <w:rFonts w:hAnsi="標楷體" w:hint="eastAsia"/>
        </w:rPr>
        <w:t>管理</w:t>
      </w:r>
      <w:r w:rsidRPr="004E7851">
        <w:rPr>
          <w:rFonts w:hAnsi="標楷體"/>
        </w:rPr>
        <w:t>效率</w:t>
      </w:r>
      <w:r w:rsidRPr="004E7851">
        <w:rPr>
          <w:rFonts w:hAnsi="標楷體" w:hint="eastAsia"/>
        </w:rPr>
        <w:t>。</w:t>
      </w:r>
    </w:p>
    <w:p w:rsidR="00B55ECF" w:rsidRPr="004E7851" w:rsidRDefault="00B55ECF" w:rsidP="00B55ECF">
      <w:pPr>
        <w:pStyle w:val="4"/>
        <w:numPr>
          <w:ilvl w:val="3"/>
          <w:numId w:val="1"/>
        </w:numPr>
        <w:rPr>
          <w:rFonts w:hAnsi="標楷體"/>
          <w:lang w:eastAsia="zh-HK"/>
        </w:rPr>
      </w:pPr>
      <w:r w:rsidRPr="004E7851">
        <w:rPr>
          <w:rFonts w:hAnsi="標楷體" w:hint="eastAsia"/>
          <w:lang w:eastAsia="zh-HK"/>
        </w:rPr>
        <w:t>預期效益</w:t>
      </w:r>
      <w:r w:rsidRPr="004E7851">
        <w:rPr>
          <w:rFonts w:hAnsi="標楷體" w:hint="eastAsia"/>
        </w:rPr>
        <w:t>：</w:t>
      </w:r>
    </w:p>
    <w:p w:rsidR="00B55ECF" w:rsidRPr="004E7851" w:rsidRDefault="00B55ECF" w:rsidP="00B55ECF">
      <w:pPr>
        <w:pStyle w:val="5"/>
        <w:numPr>
          <w:ilvl w:val="4"/>
          <w:numId w:val="1"/>
        </w:numPr>
        <w:rPr>
          <w:rFonts w:hAnsi="標楷體"/>
          <w:lang w:eastAsia="zh-HK"/>
        </w:rPr>
      </w:pPr>
      <w:r w:rsidRPr="004E7851">
        <w:rPr>
          <w:rFonts w:hAnsi="標楷體" w:hint="eastAsia"/>
          <w:lang w:eastAsia="zh-HK"/>
        </w:rPr>
        <w:t>重建生產管理</w:t>
      </w:r>
      <w:r w:rsidRPr="004E7851">
        <w:rPr>
          <w:rFonts w:hAnsi="標楷體" w:hint="eastAsia"/>
        </w:rPr>
        <w:t>：</w:t>
      </w:r>
      <w:r w:rsidRPr="004E7851">
        <w:rPr>
          <w:rFonts w:hAnsi="標楷體" w:hint="eastAsia"/>
          <w:lang w:eastAsia="zh-HK"/>
        </w:rPr>
        <w:t>食品雲資料透過系統自動介</w:t>
      </w:r>
      <w:r w:rsidRPr="004E7851">
        <w:rPr>
          <w:rFonts w:hAnsi="標楷體" w:hint="eastAsia"/>
          <w:lang w:eastAsia="zh-HK"/>
        </w:rPr>
        <w:lastRenderedPageBreak/>
        <w:t>接</w:t>
      </w:r>
      <w:r w:rsidRPr="004E7851">
        <w:rPr>
          <w:rFonts w:hAnsi="標楷體" w:hint="eastAsia"/>
        </w:rPr>
        <w:t>，</w:t>
      </w:r>
      <w:r w:rsidRPr="004E7851">
        <w:rPr>
          <w:rFonts w:hAnsi="標楷體" w:hint="eastAsia"/>
          <w:lang w:eastAsia="zh-HK"/>
        </w:rPr>
        <w:t>優化食品產業供應鏈</w:t>
      </w:r>
      <w:r w:rsidRPr="004E7851">
        <w:rPr>
          <w:rFonts w:hAnsi="標楷體" w:hint="eastAsia"/>
        </w:rPr>
        <w:t>，</w:t>
      </w:r>
      <w:r w:rsidRPr="004E7851">
        <w:rPr>
          <w:rFonts w:hAnsi="標楷體" w:hint="eastAsia"/>
          <w:lang w:eastAsia="zh-HK"/>
        </w:rPr>
        <w:t>強化生產管理</w:t>
      </w:r>
      <w:r w:rsidRPr="004E7851">
        <w:rPr>
          <w:rFonts w:hAnsi="標楷體" w:hint="eastAsia"/>
        </w:rPr>
        <w:t>。</w:t>
      </w:r>
    </w:p>
    <w:p w:rsidR="00B55ECF" w:rsidRPr="004E7851" w:rsidRDefault="00B55ECF" w:rsidP="00B55ECF">
      <w:pPr>
        <w:pStyle w:val="5"/>
        <w:numPr>
          <w:ilvl w:val="4"/>
          <w:numId w:val="1"/>
        </w:numPr>
        <w:rPr>
          <w:rFonts w:hAnsi="標楷體"/>
          <w:lang w:eastAsia="zh-HK"/>
        </w:rPr>
      </w:pPr>
      <w:r w:rsidRPr="004E7851">
        <w:rPr>
          <w:rFonts w:hAnsi="標楷體" w:hint="eastAsia"/>
          <w:lang w:eastAsia="zh-HK"/>
        </w:rPr>
        <w:t>降低</w:t>
      </w:r>
      <w:r w:rsidRPr="004E7851">
        <w:rPr>
          <w:rFonts w:hAnsi="標楷體" w:hint="eastAsia"/>
        </w:rPr>
        <w:t>廠商</w:t>
      </w:r>
      <w:r w:rsidRPr="004E7851">
        <w:rPr>
          <w:rFonts w:hAnsi="標楷體" w:hint="eastAsia"/>
          <w:lang w:eastAsia="zh-HK"/>
        </w:rPr>
        <w:t>作業成本</w:t>
      </w:r>
      <w:r w:rsidRPr="004E7851">
        <w:rPr>
          <w:rFonts w:hAnsi="標楷體" w:hint="eastAsia"/>
        </w:rPr>
        <w:t>：</w:t>
      </w:r>
      <w:r w:rsidRPr="004E7851">
        <w:rPr>
          <w:rFonts w:hAnsi="標楷體" w:hint="eastAsia"/>
          <w:lang w:eastAsia="zh-HK"/>
        </w:rPr>
        <w:t>提供整合申報平臺，協助食品廠商減少重複作業</w:t>
      </w:r>
      <w:r w:rsidRPr="004E7851">
        <w:rPr>
          <w:rFonts w:hAnsi="標楷體" w:hint="eastAsia"/>
        </w:rPr>
        <w:t>，</w:t>
      </w:r>
      <w:r w:rsidRPr="004E7851">
        <w:rPr>
          <w:rFonts w:hAnsi="標楷體" w:hint="eastAsia"/>
          <w:lang w:eastAsia="zh-HK"/>
        </w:rPr>
        <w:t>降低人力負荷，而專注於產品開發與品質提升</w:t>
      </w:r>
      <w:r w:rsidRPr="004E7851">
        <w:rPr>
          <w:rFonts w:hAnsi="標楷體" w:hint="eastAsia"/>
        </w:rPr>
        <w:t>。</w:t>
      </w:r>
    </w:p>
    <w:p w:rsidR="00B55ECF" w:rsidRPr="004E7851" w:rsidRDefault="00B55ECF" w:rsidP="00B55ECF">
      <w:pPr>
        <w:pStyle w:val="5"/>
        <w:numPr>
          <w:ilvl w:val="4"/>
          <w:numId w:val="1"/>
        </w:numPr>
        <w:rPr>
          <w:rFonts w:hAnsi="標楷體"/>
          <w:lang w:eastAsia="zh-HK"/>
        </w:rPr>
      </w:pPr>
      <w:r w:rsidRPr="004E7851">
        <w:rPr>
          <w:rFonts w:hAnsi="標楷體" w:hint="eastAsia"/>
          <w:lang w:eastAsia="zh-HK"/>
        </w:rPr>
        <w:t>完善食品溯源</w:t>
      </w:r>
      <w:r w:rsidRPr="004E7851">
        <w:rPr>
          <w:rFonts w:hAnsi="標楷體" w:hint="eastAsia"/>
        </w:rPr>
        <w:t>：</w:t>
      </w:r>
      <w:r w:rsidRPr="004E7851">
        <w:rPr>
          <w:rFonts w:hAnsi="標楷體" w:hint="eastAsia"/>
          <w:lang w:eastAsia="zh-HK"/>
        </w:rPr>
        <w:t>為中小食品廠商提供技術導入服務，並完成介接上線，有效補強弱鏈之食品安全防線。</w:t>
      </w:r>
    </w:p>
    <w:p w:rsidR="00B55ECF" w:rsidRPr="004E7851" w:rsidRDefault="00B55ECF" w:rsidP="00B55ECF">
      <w:pPr>
        <w:pStyle w:val="4"/>
        <w:numPr>
          <w:ilvl w:val="3"/>
          <w:numId w:val="1"/>
        </w:numPr>
        <w:rPr>
          <w:rFonts w:hAnsi="標楷體"/>
          <w:lang w:eastAsia="zh-HK"/>
        </w:rPr>
      </w:pPr>
      <w:r w:rsidRPr="004E7851">
        <w:rPr>
          <w:rFonts w:hAnsi="標楷體" w:hint="eastAsia"/>
          <w:bCs/>
          <w:lang w:eastAsia="zh-HK"/>
        </w:rPr>
        <w:t>經費執行（截至108年底）：105年至108年實支數各為4</w:t>
      </w:r>
      <w:r w:rsidRPr="004E7851">
        <w:rPr>
          <w:rFonts w:hAnsi="標楷體"/>
          <w:bCs/>
          <w:lang w:eastAsia="zh-HK"/>
        </w:rPr>
        <w:t>4</w:t>
      </w:r>
      <w:r w:rsidRPr="004E7851">
        <w:rPr>
          <w:rFonts w:hAnsi="標楷體" w:hint="eastAsia"/>
          <w:bCs/>
          <w:lang w:eastAsia="zh-HK"/>
        </w:rPr>
        <w:t>,</w:t>
      </w:r>
      <w:r w:rsidRPr="004E7851">
        <w:rPr>
          <w:rFonts w:hAnsi="標楷體"/>
          <w:bCs/>
          <w:lang w:eastAsia="zh-HK"/>
        </w:rPr>
        <w:t>749</w:t>
      </w:r>
      <w:r w:rsidRPr="004E7851">
        <w:rPr>
          <w:rFonts w:hAnsi="標楷體" w:hint="eastAsia"/>
          <w:bCs/>
          <w:lang w:eastAsia="zh-HK"/>
        </w:rPr>
        <w:t>千元</w:t>
      </w:r>
      <w:r w:rsidRPr="004E7851">
        <w:rPr>
          <w:rFonts w:hAnsi="標楷體" w:hint="eastAsia"/>
        </w:rPr>
        <w:t>、20,752</w:t>
      </w:r>
      <w:r w:rsidRPr="004E7851">
        <w:rPr>
          <w:rFonts w:hAnsi="標楷體" w:hint="eastAsia"/>
          <w:lang w:eastAsia="zh-HK"/>
        </w:rPr>
        <w:t>千元</w:t>
      </w:r>
      <w:r w:rsidRPr="004E7851">
        <w:rPr>
          <w:rFonts w:hAnsi="標楷體" w:hint="eastAsia"/>
        </w:rPr>
        <w:t>、20,920</w:t>
      </w:r>
      <w:r w:rsidRPr="004E7851">
        <w:rPr>
          <w:rFonts w:hAnsi="標楷體" w:hint="eastAsia"/>
          <w:lang w:eastAsia="zh-HK"/>
        </w:rPr>
        <w:t>千元及</w:t>
      </w:r>
      <w:r w:rsidRPr="004E7851">
        <w:rPr>
          <w:rFonts w:hAnsi="標楷體" w:hint="eastAsia"/>
        </w:rPr>
        <w:t>21,099</w:t>
      </w:r>
      <w:r w:rsidRPr="004E7851">
        <w:rPr>
          <w:rFonts w:hAnsi="標楷體" w:hint="eastAsia"/>
          <w:lang w:eastAsia="zh-HK"/>
        </w:rPr>
        <w:t>千元</w:t>
      </w:r>
      <w:r w:rsidRPr="004E7851">
        <w:rPr>
          <w:rFonts w:hAnsi="標楷體" w:hint="eastAsia"/>
        </w:rPr>
        <w:t>，</w:t>
      </w:r>
      <w:r w:rsidRPr="004E7851">
        <w:rPr>
          <w:rFonts w:hAnsi="標楷體" w:hint="eastAsia"/>
          <w:lang w:eastAsia="zh-HK"/>
        </w:rPr>
        <w:t>合計</w:t>
      </w:r>
      <w:r w:rsidRPr="004E7851">
        <w:rPr>
          <w:rFonts w:hAnsi="標楷體" w:hint="eastAsia"/>
        </w:rPr>
        <w:t>107,520</w:t>
      </w:r>
      <w:r w:rsidRPr="004E7851">
        <w:rPr>
          <w:rFonts w:hAnsi="標楷體" w:hint="eastAsia"/>
          <w:lang w:eastAsia="zh-HK"/>
        </w:rPr>
        <w:t>千元</w:t>
      </w:r>
      <w:r w:rsidRPr="004E7851">
        <w:rPr>
          <w:rFonts w:hAnsi="標楷體" w:hint="eastAsia"/>
        </w:rPr>
        <w:t>。</w:t>
      </w:r>
    </w:p>
    <w:p w:rsidR="00B55ECF" w:rsidRPr="004E7851" w:rsidRDefault="00B55ECF" w:rsidP="00B55ECF">
      <w:pPr>
        <w:pStyle w:val="4"/>
        <w:numPr>
          <w:ilvl w:val="3"/>
          <w:numId w:val="1"/>
        </w:numPr>
        <w:rPr>
          <w:rFonts w:hAnsi="標楷體"/>
        </w:rPr>
      </w:pPr>
      <w:r w:rsidRPr="004E7851">
        <w:rPr>
          <w:rFonts w:hAnsi="標楷體" w:hint="eastAsia"/>
        </w:rPr>
        <w:t>運作成效(</w:t>
      </w:r>
      <w:r w:rsidRPr="004E7851">
        <w:rPr>
          <w:rFonts w:hAnsi="標楷體" w:hint="eastAsia"/>
          <w:bCs/>
          <w:lang w:eastAsia="zh-HK"/>
        </w:rPr>
        <w:t>截至</w:t>
      </w:r>
      <w:r w:rsidRPr="004E7851">
        <w:rPr>
          <w:rFonts w:hAnsi="標楷體" w:hint="eastAsia"/>
        </w:rPr>
        <w:t>108</w:t>
      </w:r>
      <w:r w:rsidRPr="004E7851">
        <w:rPr>
          <w:rFonts w:hAnsi="標楷體" w:hint="eastAsia"/>
          <w:lang w:eastAsia="zh-HK"/>
        </w:rPr>
        <w:t>年底</w:t>
      </w:r>
      <w:r w:rsidRPr="004E7851">
        <w:rPr>
          <w:rFonts w:hAnsi="標楷體" w:hint="eastAsia"/>
        </w:rPr>
        <w:t>）：</w:t>
      </w:r>
    </w:p>
    <w:p w:rsidR="00B55ECF" w:rsidRPr="004E7851" w:rsidRDefault="00B55ECF" w:rsidP="00B55ECF">
      <w:pPr>
        <w:pStyle w:val="5"/>
        <w:numPr>
          <w:ilvl w:val="4"/>
          <w:numId w:val="1"/>
        </w:numPr>
        <w:rPr>
          <w:rFonts w:hAnsi="標楷體"/>
        </w:rPr>
      </w:pPr>
      <w:r w:rsidRPr="004E7851">
        <w:rPr>
          <w:rFonts w:hAnsi="標楷體" w:hint="eastAsia"/>
          <w:lang w:eastAsia="zh-HK"/>
        </w:rPr>
        <w:t>食品雲HUB平臺累計介接7個公有及商業平臺</w:t>
      </w:r>
      <w:r w:rsidRPr="004E7851">
        <w:rPr>
          <w:rFonts w:hAnsi="標楷體" w:hint="eastAsia"/>
        </w:rPr>
        <w:t>（</w:t>
      </w:r>
      <w:r w:rsidRPr="004E7851">
        <w:rPr>
          <w:rFonts w:hAnsi="標楷體" w:hint="eastAsia"/>
          <w:lang w:eastAsia="zh-HK"/>
        </w:rPr>
        <w:t>分述如下</w:t>
      </w:r>
      <w:r w:rsidRPr="004E7851">
        <w:rPr>
          <w:rFonts w:hAnsi="標楷體" w:hint="eastAsia"/>
        </w:rPr>
        <w:t>）</w:t>
      </w:r>
      <w:r w:rsidRPr="004E7851">
        <w:rPr>
          <w:rFonts w:hAnsi="標楷體" w:hint="eastAsia"/>
          <w:lang w:eastAsia="zh-HK"/>
        </w:rPr>
        <w:t>，提供食品業者透過單一登錄之雲端申報平臺，減少業者重複登打及等待時間33%以上</w:t>
      </w:r>
      <w:r w:rsidRPr="004E7851">
        <w:rPr>
          <w:rFonts w:hAnsi="標楷體" w:hint="eastAsia"/>
        </w:rPr>
        <w:t>，</w:t>
      </w:r>
      <w:r w:rsidRPr="004E7851">
        <w:rPr>
          <w:rFonts w:hAnsi="標楷體" w:hint="eastAsia"/>
          <w:lang w:eastAsia="zh-HK"/>
        </w:rPr>
        <w:t>解決跨平臺申報問題</w:t>
      </w:r>
      <w:r w:rsidRPr="004E7851">
        <w:rPr>
          <w:rFonts w:hAnsi="標楷體" w:hint="eastAsia"/>
        </w:rPr>
        <w:t>，</w:t>
      </w:r>
      <w:r w:rsidRPr="004E7851">
        <w:rPr>
          <w:rFonts w:hAnsi="標楷體" w:hint="eastAsia"/>
          <w:lang w:eastAsia="zh-HK"/>
        </w:rPr>
        <w:t>整體而言每月平均約可節省申報工時約1.5個工作人天。</w:t>
      </w:r>
    </w:p>
    <w:p w:rsidR="00B55ECF" w:rsidRPr="004E7851" w:rsidRDefault="00B55ECF" w:rsidP="00B55ECF">
      <w:pPr>
        <w:pStyle w:val="6"/>
        <w:numPr>
          <w:ilvl w:val="5"/>
          <w:numId w:val="1"/>
        </w:numPr>
        <w:rPr>
          <w:rFonts w:hAnsi="標楷體"/>
        </w:rPr>
      </w:pPr>
      <w:r w:rsidRPr="004E7851">
        <w:rPr>
          <w:rFonts w:hAnsi="標楷體" w:hint="eastAsia"/>
        </w:rPr>
        <w:t>公有平臺：衛福部</w:t>
      </w:r>
      <w:r w:rsidRPr="004E7851">
        <w:rPr>
          <w:rFonts w:hAnsi="標楷體"/>
        </w:rPr>
        <w:t>非追不可</w:t>
      </w:r>
      <w:r w:rsidRPr="004E7851">
        <w:rPr>
          <w:rFonts w:hAnsi="標楷體" w:hint="eastAsia"/>
        </w:rPr>
        <w:t>（含輸入產品之邊境查驗資訊</w:t>
      </w:r>
      <w:r w:rsidRPr="004E7851">
        <w:rPr>
          <w:rStyle w:val="aff4"/>
          <w:rFonts w:hAnsi="標楷體"/>
        </w:rPr>
        <w:footnoteReference w:id="8"/>
      </w:r>
      <w:r w:rsidRPr="004E7851">
        <w:rPr>
          <w:rFonts w:hAnsi="標楷體" w:hint="eastAsia"/>
        </w:rPr>
        <w:t>）</w:t>
      </w:r>
      <w:r w:rsidRPr="004E7851">
        <w:rPr>
          <w:rFonts w:hAnsi="標楷體"/>
        </w:rPr>
        <w:t>、教育部校園食材登錄平臺、財政部電子發票整合平臺</w:t>
      </w:r>
      <w:r w:rsidRPr="004E7851">
        <w:rPr>
          <w:rFonts w:hAnsi="標楷體" w:hint="eastAsia"/>
        </w:rPr>
        <w:t>、臺</w:t>
      </w:r>
      <w:r w:rsidRPr="004E7851">
        <w:rPr>
          <w:rFonts w:hAnsi="標楷體"/>
        </w:rPr>
        <w:t>北市食材登錄平臺、高雄市政府食品追蹤追溯平臺</w:t>
      </w:r>
      <w:r w:rsidRPr="004E7851">
        <w:rPr>
          <w:rFonts w:hAnsi="標楷體" w:hint="eastAsia"/>
        </w:rPr>
        <w:t>。</w:t>
      </w:r>
    </w:p>
    <w:p w:rsidR="00B55ECF" w:rsidRPr="004E7851" w:rsidRDefault="00B55ECF" w:rsidP="00B55ECF">
      <w:pPr>
        <w:pStyle w:val="6"/>
        <w:numPr>
          <w:ilvl w:val="5"/>
          <w:numId w:val="1"/>
        </w:numPr>
        <w:rPr>
          <w:rFonts w:hAnsi="標楷體"/>
        </w:rPr>
      </w:pPr>
      <w:r w:rsidRPr="004E7851">
        <w:rPr>
          <w:rFonts w:hAnsi="標楷體" w:hint="eastAsia"/>
        </w:rPr>
        <w:t>商業平臺：</w:t>
      </w:r>
      <w:r w:rsidRPr="004E7851">
        <w:rPr>
          <w:rFonts w:hAnsi="標楷體"/>
        </w:rPr>
        <w:t>全家</w:t>
      </w:r>
      <w:r w:rsidRPr="004E7851">
        <w:rPr>
          <w:rFonts w:hAnsi="標楷體" w:hint="eastAsia"/>
        </w:rPr>
        <w:t>超商資訊平臺</w:t>
      </w:r>
      <w:r w:rsidRPr="004E7851">
        <w:rPr>
          <w:rFonts w:hAnsi="標楷體"/>
        </w:rPr>
        <w:t>、有心溯源企業平臺</w:t>
      </w:r>
      <w:r w:rsidRPr="004E7851">
        <w:rPr>
          <w:rFonts w:hAnsi="標楷體" w:hint="eastAsia"/>
        </w:rPr>
        <w:t>。</w:t>
      </w:r>
    </w:p>
    <w:p w:rsidR="00B55ECF" w:rsidRPr="004E7851" w:rsidRDefault="00B55ECF" w:rsidP="00B55ECF">
      <w:pPr>
        <w:pStyle w:val="5"/>
        <w:numPr>
          <w:ilvl w:val="4"/>
          <w:numId w:val="1"/>
        </w:numPr>
        <w:rPr>
          <w:rFonts w:hAnsi="標楷體"/>
        </w:rPr>
      </w:pPr>
      <w:r w:rsidRPr="004E7851">
        <w:rPr>
          <w:rFonts w:hAnsi="標楷體" w:hint="eastAsia"/>
          <w:lang w:eastAsia="zh-HK"/>
        </w:rPr>
        <w:t>根據食品業者資訊化程度</w:t>
      </w:r>
      <w:r w:rsidRPr="004E7851">
        <w:rPr>
          <w:rFonts w:hAnsi="標楷體" w:hint="eastAsia"/>
        </w:rPr>
        <w:t>，</w:t>
      </w:r>
      <w:r w:rsidRPr="004E7851">
        <w:rPr>
          <w:rFonts w:hAnsi="標楷體" w:hint="eastAsia"/>
          <w:lang w:eastAsia="zh-HK"/>
        </w:rPr>
        <w:t>提供多元解決方案，滿足不同食品業者自</w:t>
      </w:r>
      <w:r w:rsidRPr="004E7851">
        <w:rPr>
          <w:rFonts w:hAnsi="標楷體" w:hint="eastAsia"/>
        </w:rPr>
        <w:t>主管理需求：</w:t>
      </w:r>
    </w:p>
    <w:p w:rsidR="00B55ECF" w:rsidRPr="004E7851" w:rsidRDefault="00B55ECF" w:rsidP="00B55ECF">
      <w:pPr>
        <w:pStyle w:val="6"/>
        <w:numPr>
          <w:ilvl w:val="5"/>
          <w:numId w:val="1"/>
        </w:numPr>
        <w:rPr>
          <w:rFonts w:hAnsi="標楷體"/>
        </w:rPr>
      </w:pPr>
      <w:r w:rsidRPr="004E7851">
        <w:rPr>
          <w:rFonts w:hAnsi="標楷體" w:hint="eastAsia"/>
        </w:rPr>
        <w:t>所有類型企業：透過瀏覽器使用</w:t>
      </w:r>
      <w:r w:rsidRPr="004E7851">
        <w:rPr>
          <w:rFonts w:hAnsi="標楷體" w:hint="eastAsia"/>
          <w:lang w:eastAsia="zh-HK"/>
        </w:rPr>
        <w:t>食品雲</w:t>
      </w:r>
      <w:r w:rsidRPr="004E7851">
        <w:rPr>
          <w:rFonts w:hAnsi="標楷體" w:hint="eastAsia"/>
        </w:rPr>
        <w:t>HUB平臺即能進行資料轉置/編輯申報。</w:t>
      </w:r>
    </w:p>
    <w:p w:rsidR="00B55ECF" w:rsidRPr="004E7851" w:rsidRDefault="00B55ECF" w:rsidP="00B55ECF">
      <w:pPr>
        <w:pStyle w:val="6"/>
        <w:numPr>
          <w:ilvl w:val="5"/>
          <w:numId w:val="1"/>
        </w:numPr>
        <w:rPr>
          <w:rFonts w:hAnsi="標楷體"/>
        </w:rPr>
      </w:pPr>
      <w:r w:rsidRPr="004E7851">
        <w:rPr>
          <w:rFonts w:hAnsi="標楷體" w:hint="eastAsia"/>
        </w:rPr>
        <w:t>中型或大型企業：發展整合申報的外掛及內</w:t>
      </w:r>
      <w:r w:rsidRPr="004E7851">
        <w:rPr>
          <w:rFonts w:hAnsi="標楷體" w:hint="eastAsia"/>
        </w:rPr>
        <w:lastRenderedPageBreak/>
        <w:t>嵌</w:t>
      </w:r>
      <w:r w:rsidRPr="004E7851">
        <w:rPr>
          <w:rFonts w:hAnsi="標楷體"/>
        </w:rPr>
        <w:t>應用程式介面(</w:t>
      </w:r>
      <w:r w:rsidRPr="004E7851">
        <w:rPr>
          <w:rFonts w:hAnsi="標楷體" w:hint="eastAsia"/>
        </w:rPr>
        <w:t>A</w:t>
      </w:r>
      <w:r w:rsidRPr="004E7851">
        <w:rPr>
          <w:rFonts w:hAnsi="標楷體"/>
        </w:rPr>
        <w:t xml:space="preserve">pplication </w:t>
      </w:r>
      <w:r w:rsidRPr="004E7851">
        <w:rPr>
          <w:rFonts w:hAnsi="標楷體" w:hint="eastAsia"/>
        </w:rPr>
        <w:t>P</w:t>
      </w:r>
      <w:r w:rsidRPr="004E7851">
        <w:rPr>
          <w:rFonts w:hAnsi="標楷體"/>
        </w:rPr>
        <w:t xml:space="preserve">rogramming </w:t>
      </w:r>
      <w:r w:rsidRPr="004E7851">
        <w:rPr>
          <w:rFonts w:hAnsi="標楷體" w:hint="eastAsia"/>
        </w:rPr>
        <w:t>I</w:t>
      </w:r>
      <w:r w:rsidRPr="004E7851">
        <w:rPr>
          <w:rFonts w:hAnsi="標楷體"/>
        </w:rPr>
        <w:t>nterface</w:t>
      </w:r>
      <w:r w:rsidRPr="004E7851">
        <w:rPr>
          <w:rFonts w:hAnsi="標楷體" w:hint="eastAsia"/>
        </w:rPr>
        <w:t>，下稱API</w:t>
      </w:r>
      <w:r w:rsidRPr="004E7851">
        <w:rPr>
          <w:rFonts w:hAnsi="標楷體"/>
        </w:rPr>
        <w:t>)</w:t>
      </w:r>
      <w:r w:rsidRPr="004E7851">
        <w:rPr>
          <w:rFonts w:hAnsi="標楷體" w:hint="eastAsia"/>
        </w:rPr>
        <w:t>，提供開發</w:t>
      </w:r>
      <w:r w:rsidRPr="004E7851">
        <w:rPr>
          <w:rFonts w:hAnsi="標楷體"/>
        </w:rPr>
        <w:t>企業資源規劃(</w:t>
      </w:r>
      <w:r w:rsidRPr="004E7851">
        <w:rPr>
          <w:rFonts w:hAnsi="標楷體" w:hint="eastAsia"/>
        </w:rPr>
        <w:t>E</w:t>
      </w:r>
      <w:r w:rsidRPr="004E7851">
        <w:rPr>
          <w:rFonts w:hAnsi="標楷體"/>
        </w:rPr>
        <w:t>nterprise Resource Planning</w:t>
      </w:r>
      <w:r w:rsidRPr="004E7851">
        <w:rPr>
          <w:rFonts w:hAnsi="標楷體" w:hint="eastAsia"/>
        </w:rPr>
        <w:t>，</w:t>
      </w:r>
      <w:r w:rsidRPr="004E7851">
        <w:rPr>
          <w:rFonts w:hAnsi="標楷體" w:hint="eastAsia"/>
          <w:lang w:eastAsia="zh-HK"/>
        </w:rPr>
        <w:t>下稱</w:t>
      </w:r>
      <w:r w:rsidRPr="004E7851">
        <w:rPr>
          <w:rFonts w:hAnsi="標楷體"/>
        </w:rPr>
        <w:t>ERP)</w:t>
      </w:r>
      <w:r w:rsidRPr="004E7851">
        <w:rPr>
          <w:rFonts w:hAnsi="標楷體" w:hint="eastAsia"/>
          <w:lang w:eastAsia="zh-HK"/>
        </w:rPr>
        <w:t>系統</w:t>
      </w:r>
      <w:r w:rsidRPr="004E7851">
        <w:rPr>
          <w:rFonts w:hAnsi="標楷體" w:hint="eastAsia"/>
        </w:rPr>
        <w:t>加值</w:t>
      </w:r>
      <w:r w:rsidRPr="004E7851">
        <w:rPr>
          <w:rFonts w:hAnsi="標楷體" w:hint="eastAsia"/>
          <w:lang w:eastAsia="zh-HK"/>
        </w:rPr>
        <w:t>食品申報模組</w:t>
      </w:r>
      <w:r w:rsidRPr="004E7851">
        <w:rPr>
          <w:rFonts w:hAnsi="標楷體" w:hint="eastAsia"/>
        </w:rPr>
        <w:t>，</w:t>
      </w:r>
      <w:r w:rsidRPr="004E7851">
        <w:rPr>
          <w:rFonts w:hAnsi="標楷體" w:hint="eastAsia"/>
          <w:lang w:eastAsia="zh-HK"/>
        </w:rPr>
        <w:t>並節省業者開發申報模組約2.5個投入人月</w:t>
      </w:r>
      <w:r w:rsidRPr="004E7851">
        <w:rPr>
          <w:rFonts w:hAnsi="標楷體" w:hint="eastAsia"/>
        </w:rPr>
        <w:t>。</w:t>
      </w:r>
    </w:p>
    <w:p w:rsidR="00B55ECF" w:rsidRPr="004E7851" w:rsidRDefault="00B55ECF" w:rsidP="00B55ECF">
      <w:pPr>
        <w:pStyle w:val="6"/>
        <w:numPr>
          <w:ilvl w:val="5"/>
          <w:numId w:val="1"/>
        </w:numPr>
        <w:rPr>
          <w:rFonts w:hAnsi="標楷體"/>
        </w:rPr>
      </w:pPr>
      <w:r w:rsidRPr="004E7851">
        <w:rPr>
          <w:rFonts w:hAnsi="標楷體" w:hint="eastAsia"/>
        </w:rPr>
        <w:t>小型或微型企業（無ERP系統）：開發整合申報Web API供企業自主使用。</w:t>
      </w:r>
    </w:p>
    <w:p w:rsidR="00B55ECF" w:rsidRPr="004E7851" w:rsidRDefault="00B55ECF" w:rsidP="00B55ECF">
      <w:pPr>
        <w:pStyle w:val="5"/>
        <w:numPr>
          <w:ilvl w:val="4"/>
          <w:numId w:val="1"/>
        </w:numPr>
        <w:rPr>
          <w:rFonts w:hAnsi="標楷體"/>
          <w:lang w:eastAsia="zh-HK"/>
        </w:rPr>
      </w:pPr>
      <w:r w:rsidRPr="004E7851">
        <w:rPr>
          <w:rFonts w:hAnsi="標楷體" w:hint="eastAsia"/>
          <w:lang w:eastAsia="zh-HK"/>
        </w:rPr>
        <w:t>以多元輔導模式，促進食品業者資訊化程度提升：</w:t>
      </w:r>
    </w:p>
    <w:p w:rsidR="00B55ECF" w:rsidRPr="004E7851" w:rsidRDefault="00B55ECF" w:rsidP="00B55ECF">
      <w:pPr>
        <w:pStyle w:val="6"/>
        <w:numPr>
          <w:ilvl w:val="5"/>
          <w:numId w:val="1"/>
        </w:numPr>
        <w:rPr>
          <w:rFonts w:hAnsi="標楷體"/>
          <w:lang w:eastAsia="zh-HK"/>
        </w:rPr>
      </w:pPr>
      <w:r w:rsidRPr="004E7851">
        <w:rPr>
          <w:rFonts w:hAnsi="標楷體" w:hint="eastAsia"/>
          <w:lang w:eastAsia="zh-HK"/>
        </w:rPr>
        <w:t>以遠端諮詢、現場訪視及說明會方式，協助食品業者快速熟悉申報流程及功能。</w:t>
      </w:r>
    </w:p>
    <w:p w:rsidR="00B55ECF" w:rsidRPr="004E7851" w:rsidRDefault="00B55ECF" w:rsidP="00B55ECF">
      <w:pPr>
        <w:pStyle w:val="6"/>
        <w:numPr>
          <w:ilvl w:val="5"/>
          <w:numId w:val="1"/>
        </w:numPr>
        <w:rPr>
          <w:rFonts w:hAnsi="標楷體"/>
          <w:lang w:eastAsia="zh-HK"/>
        </w:rPr>
      </w:pPr>
      <w:r w:rsidRPr="004E7851">
        <w:rPr>
          <w:rFonts w:hAnsi="標楷體" w:hint="eastAsia"/>
          <w:lang w:eastAsia="zh-HK"/>
        </w:rPr>
        <w:t>與資訊服務業者/平臺營運商技術合作，提供介接及內嵌API加值ERP系統，協助業者發展資訊應用服務。</w:t>
      </w:r>
    </w:p>
    <w:p w:rsidR="00B55ECF" w:rsidRPr="004E7851" w:rsidRDefault="00B55ECF" w:rsidP="00B55ECF">
      <w:pPr>
        <w:pStyle w:val="3"/>
        <w:numPr>
          <w:ilvl w:val="2"/>
          <w:numId w:val="1"/>
        </w:numPr>
        <w:rPr>
          <w:rFonts w:hAnsi="標楷體"/>
        </w:rPr>
      </w:pPr>
      <w:r w:rsidRPr="004E7851">
        <w:rPr>
          <w:rFonts w:hAnsi="標楷體" w:hint="eastAsia"/>
          <w:lang w:eastAsia="zh-HK"/>
        </w:rPr>
        <w:t>惟查，</w:t>
      </w:r>
      <w:r w:rsidRPr="004E7851">
        <w:rPr>
          <w:rFonts w:hAnsi="標楷體" w:hint="eastAsia"/>
          <w:u w:val="single"/>
          <w:lang w:eastAsia="zh-HK"/>
        </w:rPr>
        <w:t>經濟部所建置之食品雲HUB平臺使用效益不彰，以致108年度食品</w:t>
      </w:r>
      <w:r w:rsidRPr="004E7851">
        <w:rPr>
          <w:rFonts w:hAnsi="標楷體" w:cs="標楷體" w:hint="eastAsia"/>
          <w:kern w:val="0"/>
          <w:szCs w:val="24"/>
          <w:u w:val="single"/>
        </w:rPr>
        <w:t>業者</w:t>
      </w:r>
      <w:r w:rsidRPr="004E7851">
        <w:rPr>
          <w:rFonts w:hAnsi="標楷體" w:hint="eastAsia"/>
          <w:u w:val="single"/>
          <w:lang w:eastAsia="zh-HK"/>
        </w:rPr>
        <w:t>續用(連續使用3個月以上)該平臺僅65家</w:t>
      </w:r>
      <w:r w:rsidRPr="004E7851">
        <w:rPr>
          <w:rFonts w:hAnsi="標楷體" w:hint="eastAsia"/>
          <w:lang w:eastAsia="zh-HK"/>
        </w:rPr>
        <w:t>，相較於經濟部去</w:t>
      </w:r>
      <w:r w:rsidRPr="004E7851">
        <w:rPr>
          <w:rFonts w:hAnsi="標楷體" w:hint="eastAsia"/>
        </w:rPr>
        <w:t>（107）</w:t>
      </w:r>
      <w:r w:rsidRPr="004E7851">
        <w:rPr>
          <w:rFonts w:hAnsi="標楷體" w:hint="eastAsia"/>
          <w:lang w:eastAsia="zh-HK"/>
        </w:rPr>
        <w:t>年度實際協助126家</w:t>
      </w:r>
      <w:r w:rsidRPr="004E7851">
        <w:rPr>
          <w:rFonts w:hAnsi="標楷體" w:cs="標楷體" w:hint="eastAsia"/>
          <w:kern w:val="0"/>
          <w:szCs w:val="24"/>
        </w:rPr>
        <w:t>業者</w:t>
      </w:r>
      <w:r w:rsidRPr="004E7851">
        <w:rPr>
          <w:rFonts w:hAnsi="標楷體" w:hint="eastAsia"/>
          <w:lang w:eastAsia="zh-HK"/>
        </w:rPr>
        <w:t>持續使用達3個月以上</w:t>
      </w:r>
      <w:r w:rsidRPr="004E7851">
        <w:rPr>
          <w:rFonts w:hAnsi="標楷體" w:hint="eastAsia"/>
        </w:rPr>
        <w:t>，</w:t>
      </w:r>
      <w:r w:rsidRPr="004E7851">
        <w:rPr>
          <w:rFonts w:hAnsi="標楷體" w:hint="eastAsia"/>
          <w:lang w:eastAsia="zh-HK"/>
        </w:rPr>
        <w:t>以及</w:t>
      </w:r>
      <w:r w:rsidRPr="004E7851">
        <w:rPr>
          <w:rFonts w:hAnsi="標楷體" w:hint="eastAsia"/>
        </w:rPr>
        <w:t>107</w:t>
      </w:r>
      <w:r w:rsidRPr="004E7851">
        <w:rPr>
          <w:rFonts w:hAnsi="標楷體" w:hint="eastAsia"/>
          <w:lang w:eastAsia="zh-HK"/>
        </w:rPr>
        <w:t>年「完成續用輔導服務100家次以上」之工作目標值，足見食品業者使用該平臺之黏著度下滑。復查，</w:t>
      </w:r>
      <w:r w:rsidRPr="004E7851">
        <w:rPr>
          <w:rFonts w:hAnsi="標楷體"/>
          <w:lang w:eastAsia="zh-HK"/>
        </w:rPr>
        <w:t>截至10</w:t>
      </w:r>
      <w:r w:rsidRPr="004E7851">
        <w:rPr>
          <w:rFonts w:hAnsi="標楷體" w:hint="eastAsia"/>
          <w:lang w:eastAsia="zh-HK"/>
        </w:rPr>
        <w:t>9</w:t>
      </w:r>
      <w:r w:rsidRPr="004E7851">
        <w:rPr>
          <w:rFonts w:hAnsi="標楷體"/>
          <w:lang w:eastAsia="zh-HK"/>
        </w:rPr>
        <w:t>年</w:t>
      </w:r>
      <w:r w:rsidRPr="004E7851">
        <w:rPr>
          <w:rFonts w:hAnsi="標楷體" w:hint="eastAsia"/>
          <w:lang w:eastAsia="zh-HK"/>
        </w:rPr>
        <w:t>1月1日</w:t>
      </w:r>
      <w:r w:rsidRPr="004E7851">
        <w:rPr>
          <w:rFonts w:hAnsi="標楷體"/>
          <w:lang w:eastAsia="zh-HK"/>
        </w:rPr>
        <w:t>止，</w:t>
      </w:r>
      <w:r w:rsidRPr="004E7851">
        <w:rPr>
          <w:rFonts w:hAnsi="標楷體" w:hint="eastAsia"/>
          <w:lang w:eastAsia="zh-HK"/>
        </w:rPr>
        <w:t>衛福部</w:t>
      </w:r>
      <w:r w:rsidRPr="004E7851">
        <w:rPr>
          <w:rFonts w:hAnsi="標楷體"/>
          <w:lang w:eastAsia="zh-HK"/>
        </w:rPr>
        <w:t>公告應建立</w:t>
      </w:r>
      <w:r w:rsidRPr="004E7851">
        <w:rPr>
          <w:rFonts w:hAnsi="標楷體" w:hint="eastAsia"/>
          <w:lang w:eastAsia="zh-HK"/>
        </w:rPr>
        <w:t>食品</w:t>
      </w:r>
      <w:r w:rsidRPr="004E7851">
        <w:rPr>
          <w:rFonts w:hAnsi="標楷體"/>
          <w:lang w:eastAsia="zh-HK"/>
        </w:rPr>
        <w:t>追溯追蹤系統之業者</w:t>
      </w:r>
      <w:r w:rsidRPr="004E7851">
        <w:rPr>
          <w:rFonts w:hAnsi="標楷體" w:hint="eastAsia"/>
          <w:lang w:eastAsia="zh-HK"/>
        </w:rPr>
        <w:t>共10,099</w:t>
      </w:r>
      <w:r w:rsidRPr="004E7851">
        <w:rPr>
          <w:rFonts w:hAnsi="標楷體"/>
          <w:lang w:eastAsia="zh-HK"/>
        </w:rPr>
        <w:t>家次</w:t>
      </w:r>
      <w:r w:rsidRPr="004E7851">
        <w:rPr>
          <w:rFonts w:hAnsi="標楷體" w:hint="eastAsia"/>
          <w:lang w:eastAsia="zh-HK"/>
        </w:rPr>
        <w:t>，其中，尚未依法完成</w:t>
      </w:r>
      <w:r w:rsidRPr="004E7851">
        <w:rPr>
          <w:rFonts w:hAnsi="標楷體"/>
          <w:lang w:eastAsia="zh-HK"/>
        </w:rPr>
        <w:t>建立</w:t>
      </w:r>
      <w:r w:rsidRPr="004E7851">
        <w:rPr>
          <w:rFonts w:hAnsi="標楷體" w:hint="eastAsia"/>
          <w:lang w:eastAsia="zh-HK"/>
        </w:rPr>
        <w:t>者計</w:t>
      </w:r>
      <w:r w:rsidR="00053C0D" w:rsidRPr="004E7851">
        <w:rPr>
          <w:rFonts w:hAnsi="標楷體" w:hint="eastAsia"/>
        </w:rPr>
        <w:t>399</w:t>
      </w:r>
      <w:r w:rsidRPr="004E7851">
        <w:rPr>
          <w:rFonts w:hAnsi="標楷體"/>
          <w:lang w:eastAsia="zh-HK"/>
        </w:rPr>
        <w:t>家</w:t>
      </w:r>
      <w:r w:rsidRPr="004E7851">
        <w:rPr>
          <w:rFonts w:hAnsi="標楷體" w:hint="eastAsia"/>
          <w:lang w:eastAsia="zh-HK"/>
        </w:rPr>
        <w:t>次</w:t>
      </w:r>
      <w:r w:rsidRPr="004E7851">
        <w:rPr>
          <w:rFonts w:hAnsi="標楷體" w:hint="eastAsia"/>
        </w:rPr>
        <w:t>，</w:t>
      </w:r>
      <w:r w:rsidRPr="004E7851">
        <w:rPr>
          <w:rFonts w:hAnsi="標楷體" w:hint="eastAsia"/>
          <w:lang w:eastAsia="zh-HK"/>
        </w:rPr>
        <w:t>鑒於經濟部建置食品雲HUB平臺之目的係為協助食品產業符合追溯追蹤規範，提供業者單一登錄窗口</w:t>
      </w:r>
      <w:r w:rsidRPr="004E7851">
        <w:rPr>
          <w:rFonts w:hAnsi="標楷體" w:hint="eastAsia"/>
        </w:rPr>
        <w:t>，</w:t>
      </w:r>
      <w:r w:rsidRPr="004E7851">
        <w:rPr>
          <w:rFonts w:hAnsi="標楷體" w:hint="eastAsia"/>
          <w:lang w:eastAsia="zh-HK"/>
        </w:rPr>
        <w:t>建構資訊通透之食品產業供應鏈，補強弱鏈食品安全防護線</w:t>
      </w:r>
      <w:r w:rsidRPr="004E7851">
        <w:rPr>
          <w:rFonts w:hAnsi="標楷體" w:hint="eastAsia"/>
        </w:rPr>
        <w:t>。</w:t>
      </w:r>
      <w:r w:rsidRPr="004E7851">
        <w:rPr>
          <w:rFonts w:hAnsi="標楷體" w:hint="eastAsia"/>
          <w:lang w:eastAsia="zh-HK"/>
        </w:rPr>
        <w:t>基此</w:t>
      </w:r>
      <w:r w:rsidRPr="004E7851">
        <w:rPr>
          <w:rFonts w:hAnsi="標楷體" w:hint="eastAsia"/>
        </w:rPr>
        <w:t>，</w:t>
      </w:r>
      <w:r w:rsidRPr="004E7851">
        <w:rPr>
          <w:rFonts w:hAnsi="標楷體" w:hint="eastAsia"/>
          <w:u w:val="single"/>
          <w:lang w:eastAsia="zh-HK"/>
        </w:rPr>
        <w:t>經濟部尤應優先輔導、協助上開</w:t>
      </w:r>
      <w:r w:rsidR="00053C0D" w:rsidRPr="004E7851">
        <w:rPr>
          <w:rFonts w:hAnsi="標楷體" w:hint="eastAsia"/>
          <w:u w:val="single"/>
        </w:rPr>
        <w:t>399</w:t>
      </w:r>
      <w:r w:rsidRPr="004E7851">
        <w:rPr>
          <w:rFonts w:hAnsi="標楷體"/>
          <w:u w:val="single"/>
          <w:lang w:eastAsia="zh-HK"/>
        </w:rPr>
        <w:t>家</w:t>
      </w:r>
      <w:r w:rsidRPr="004E7851">
        <w:rPr>
          <w:rFonts w:hAnsi="標楷體" w:hint="eastAsia"/>
          <w:u w:val="single"/>
          <w:lang w:eastAsia="zh-HK"/>
        </w:rPr>
        <w:t>業者善用該平臺功能，正確建立食品</w:t>
      </w:r>
      <w:r w:rsidRPr="004E7851">
        <w:rPr>
          <w:rFonts w:hAnsi="標楷體"/>
          <w:u w:val="single"/>
          <w:lang w:eastAsia="zh-HK"/>
        </w:rPr>
        <w:t>追溯追蹤系統</w:t>
      </w:r>
      <w:r w:rsidRPr="004E7851">
        <w:rPr>
          <w:rFonts w:hAnsi="標楷體" w:hint="eastAsia"/>
          <w:u w:val="single"/>
          <w:lang w:eastAsia="zh-HK"/>
        </w:rPr>
        <w:t>，並快速完成電子申報作業</w:t>
      </w:r>
      <w:r w:rsidRPr="004E7851">
        <w:rPr>
          <w:rFonts w:hAnsi="標楷體" w:hint="eastAsia"/>
          <w:lang w:eastAsia="zh-HK"/>
        </w:rPr>
        <w:t>，以收執簡馭繁之效。又查，為落實</w:t>
      </w:r>
      <w:r w:rsidRPr="004E7851">
        <w:rPr>
          <w:rFonts w:hAnsi="標楷體"/>
          <w:lang w:eastAsia="zh-HK"/>
        </w:rPr>
        <w:t>行政院食品安全五環政策</w:t>
      </w:r>
      <w:r w:rsidRPr="004E7851">
        <w:rPr>
          <w:rFonts w:hAnsi="標楷體" w:hint="eastAsia"/>
          <w:lang w:eastAsia="zh-HK"/>
        </w:rPr>
        <w:t>之第二環</w:t>
      </w:r>
      <w:r w:rsidRPr="004E7851">
        <w:rPr>
          <w:rFonts w:hAnsi="標楷體"/>
          <w:lang w:eastAsia="zh-HK"/>
        </w:rPr>
        <w:t>-「重建生產管理」行動策</w:t>
      </w:r>
      <w:r w:rsidRPr="004E7851">
        <w:rPr>
          <w:rFonts w:hAnsi="標楷體"/>
          <w:lang w:eastAsia="zh-HK"/>
        </w:rPr>
        <w:lastRenderedPageBreak/>
        <w:t>略</w:t>
      </w:r>
      <w:r w:rsidRPr="004E7851">
        <w:rPr>
          <w:rFonts w:hAnsi="標楷體" w:hint="eastAsia"/>
          <w:lang w:eastAsia="zh-HK"/>
        </w:rPr>
        <w:t>，衛福部未來將依照食安法第</w:t>
      </w:r>
      <w:r w:rsidRPr="004E7851">
        <w:rPr>
          <w:rFonts w:hAnsi="標楷體"/>
          <w:lang w:eastAsia="zh-HK"/>
        </w:rPr>
        <w:t>9</w:t>
      </w:r>
      <w:r w:rsidRPr="004E7851">
        <w:rPr>
          <w:rFonts w:hAnsi="標楷體" w:hint="eastAsia"/>
          <w:lang w:eastAsia="zh-HK"/>
        </w:rPr>
        <w:t>條第2項及第4項規定</w:t>
      </w:r>
      <w:r w:rsidRPr="004E7851">
        <w:rPr>
          <w:rFonts w:hAnsi="標楷體" w:hint="eastAsia"/>
        </w:rPr>
        <w:t>，</w:t>
      </w:r>
      <w:r w:rsidRPr="004E7851">
        <w:rPr>
          <w:rFonts w:hAnsi="標楷體" w:hint="eastAsia"/>
          <w:lang w:eastAsia="zh-HK"/>
        </w:rPr>
        <w:t>新增納管應建立追溯追蹤系統之業者類別與規模，並擴大電子化上傳追溯或追蹤資料至非追不可之實施對象</w:t>
      </w:r>
      <w:r w:rsidR="001120A0" w:rsidRPr="004E7851">
        <w:rPr>
          <w:rFonts w:hAnsi="標楷體" w:hint="eastAsia"/>
          <w:lang w:eastAsia="zh-HK"/>
        </w:rPr>
        <w:t>（包括農產植物製品、菇(蕈)類及藻類之冷凍、冷藏、脫水、醃漬、凝膠及餡料製品、植物蛋白及其製品之輸入業者，以及達3家以上非百貨公司之綜合商品零售業獨立門市之連鎖品牌，且資本額3,000萬元以上之餐盒食品販售業者，均自110年1月1日實施）</w:t>
      </w:r>
      <w:r w:rsidRPr="004E7851">
        <w:rPr>
          <w:rFonts w:hAnsi="標楷體" w:hint="eastAsia"/>
          <w:lang w:eastAsia="zh-HK"/>
        </w:rPr>
        <w:t>，是以，</w:t>
      </w:r>
      <w:r w:rsidRPr="004E7851">
        <w:rPr>
          <w:rFonts w:hAnsi="標楷體" w:hint="eastAsia"/>
          <w:u w:val="single"/>
          <w:lang w:eastAsia="zh-HK"/>
        </w:rPr>
        <w:t>經濟部除應持續針對原有使用食品雲HUB平臺業者提供服務需求，更應推廣、輔導新增納管業者善用該平臺單登錄窗口及便利功能，完成追溯追蹤系統之建構，提高線上整合申報效率，解決非追不可繁複及龐大之申報資料問題，降低業者適法成本，擴展食品雲HUB平臺之普及率</w:t>
      </w:r>
      <w:r w:rsidRPr="004E7851">
        <w:rPr>
          <w:rFonts w:hAnsi="標楷體" w:hint="eastAsia"/>
        </w:rPr>
        <w:t>。</w:t>
      </w:r>
    </w:p>
    <w:p w:rsidR="00B55ECF" w:rsidRPr="004E7851" w:rsidRDefault="00B55ECF" w:rsidP="00B55ECF">
      <w:pPr>
        <w:pStyle w:val="3"/>
        <w:numPr>
          <w:ilvl w:val="2"/>
          <w:numId w:val="1"/>
        </w:numPr>
        <w:rPr>
          <w:rFonts w:hAnsi="標楷體"/>
          <w:b/>
          <w:lang w:eastAsia="zh-HK"/>
        </w:rPr>
      </w:pPr>
      <w:r w:rsidRPr="004E7851">
        <w:rPr>
          <w:rFonts w:hAnsi="標楷體" w:hint="eastAsia"/>
          <w:lang w:eastAsia="zh-HK"/>
        </w:rPr>
        <w:t>綜上</w:t>
      </w:r>
      <w:r w:rsidRPr="004E7851">
        <w:rPr>
          <w:rFonts w:hAnsi="標楷體" w:hint="eastAsia"/>
        </w:rPr>
        <w:t>，</w:t>
      </w:r>
      <w:r w:rsidRPr="004E7851">
        <w:rPr>
          <w:rFonts w:hAnsi="標楷體" w:hint="eastAsia"/>
          <w:lang w:eastAsia="zh-HK"/>
        </w:rPr>
        <w:t>經濟</w:t>
      </w:r>
      <w:r w:rsidRPr="004E7851">
        <w:rPr>
          <w:rFonts w:hAnsi="標楷體"/>
          <w:lang w:eastAsia="zh-HK"/>
        </w:rPr>
        <w:t>部</w:t>
      </w:r>
      <w:r w:rsidRPr="004E7851">
        <w:rPr>
          <w:rFonts w:hAnsi="標楷體" w:hint="eastAsia"/>
          <w:lang w:eastAsia="zh-HK"/>
        </w:rPr>
        <w:t>為有效補強弱鏈之食品安全防線</w:t>
      </w:r>
      <w:r w:rsidRPr="004E7851">
        <w:rPr>
          <w:rFonts w:hAnsi="標楷體" w:hint="eastAsia"/>
        </w:rPr>
        <w:t>，</w:t>
      </w:r>
      <w:r w:rsidRPr="004E7851">
        <w:rPr>
          <w:rFonts w:hAnsi="標楷體" w:hint="eastAsia"/>
          <w:lang w:eastAsia="zh-HK"/>
        </w:rPr>
        <w:t>輔導經衛福部</w:t>
      </w:r>
      <w:r w:rsidRPr="004E7851">
        <w:rPr>
          <w:rFonts w:hAnsi="標楷體" w:cs="Arial" w:hint="eastAsia"/>
          <w:lang w:eastAsia="zh-HK"/>
        </w:rPr>
        <w:t>公告指定特定類別或一定規模之食品業者</w:t>
      </w:r>
      <w:r w:rsidRPr="004E7851">
        <w:rPr>
          <w:rFonts w:hAnsi="標楷體" w:hint="eastAsia"/>
          <w:lang w:eastAsia="zh-HK"/>
        </w:rPr>
        <w:t>依照食安法第9條第2項</w:t>
      </w:r>
      <w:r w:rsidRPr="004E7851">
        <w:rPr>
          <w:rFonts w:hAnsi="標楷體" w:hint="eastAsia"/>
        </w:rPr>
        <w:t>、</w:t>
      </w:r>
      <w:r w:rsidRPr="004E7851">
        <w:rPr>
          <w:rFonts w:hAnsi="標楷體" w:hint="eastAsia"/>
          <w:lang w:eastAsia="zh-HK"/>
        </w:rPr>
        <w:t>第4項規定建立追溯或追蹤系統及電子化上傳非追不可</w:t>
      </w:r>
      <w:r w:rsidR="001D56C8" w:rsidRPr="004E7851">
        <w:rPr>
          <w:rFonts w:hAnsi="標楷體" w:hint="eastAsia"/>
          <w:lang w:eastAsia="zh-HK"/>
        </w:rPr>
        <w:t>系統</w:t>
      </w:r>
      <w:r w:rsidRPr="004E7851">
        <w:rPr>
          <w:rFonts w:hAnsi="標楷體" w:hint="eastAsia"/>
          <w:lang w:eastAsia="zh-HK"/>
        </w:rPr>
        <w:t>，並解決業者面對法規、通路商或品牌商等客戶不同產製資料上傳格式要求，而須將類似資料重複登錄至多個系統之困擾，協助業者簡化人力作業，降低錯誤申報機率，減輕業者系統購置及設備維護之成本</w:t>
      </w:r>
      <w:r w:rsidRPr="004E7851">
        <w:rPr>
          <w:rFonts w:hAnsi="標楷體" w:hint="eastAsia"/>
        </w:rPr>
        <w:t>，</w:t>
      </w:r>
      <w:r w:rsidRPr="004E7851">
        <w:rPr>
          <w:rFonts w:hAnsi="標楷體" w:hint="eastAsia"/>
          <w:lang w:eastAsia="zh-HK"/>
        </w:rPr>
        <w:t>爰於</w:t>
      </w:r>
      <w:r w:rsidRPr="004E7851">
        <w:rPr>
          <w:rFonts w:hAnsi="標楷體"/>
          <w:lang w:eastAsia="zh-HK"/>
        </w:rPr>
        <w:t>105年</w:t>
      </w:r>
      <w:r w:rsidRPr="004E7851">
        <w:rPr>
          <w:rFonts w:hAnsi="標楷體" w:hint="eastAsia"/>
          <w:lang w:eastAsia="zh-HK"/>
        </w:rPr>
        <w:t>建置食品雲HUB平臺，惟該平臺使用效益不彰，以致108年度食品</w:t>
      </w:r>
      <w:r w:rsidRPr="004E7851">
        <w:rPr>
          <w:rFonts w:hAnsi="標楷體" w:cs="標楷體" w:hint="eastAsia"/>
          <w:kern w:val="0"/>
          <w:szCs w:val="24"/>
        </w:rPr>
        <w:t>業者</w:t>
      </w:r>
      <w:r w:rsidRPr="004E7851">
        <w:rPr>
          <w:rFonts w:hAnsi="標楷體" w:hint="eastAsia"/>
          <w:lang w:eastAsia="zh-HK"/>
        </w:rPr>
        <w:t>續用(連續使用3個月以上)該平臺僅65家</w:t>
      </w:r>
      <w:r w:rsidRPr="004E7851">
        <w:rPr>
          <w:rFonts w:hAnsi="標楷體" w:hint="eastAsia"/>
        </w:rPr>
        <w:t>，</w:t>
      </w:r>
      <w:r w:rsidRPr="004E7851">
        <w:rPr>
          <w:rFonts w:hAnsi="標楷體" w:hint="eastAsia"/>
          <w:lang w:eastAsia="zh-HK"/>
        </w:rPr>
        <w:t>相較於經濟部去</w:t>
      </w:r>
      <w:r w:rsidRPr="004E7851">
        <w:rPr>
          <w:rFonts w:hAnsi="標楷體" w:hint="eastAsia"/>
        </w:rPr>
        <w:t>（107）</w:t>
      </w:r>
      <w:r w:rsidRPr="004E7851">
        <w:rPr>
          <w:rFonts w:hAnsi="標楷體" w:hint="eastAsia"/>
          <w:lang w:eastAsia="zh-HK"/>
        </w:rPr>
        <w:t>年度實際協助126家</w:t>
      </w:r>
      <w:r w:rsidRPr="004E7851">
        <w:rPr>
          <w:rFonts w:hAnsi="標楷體" w:cs="標楷體" w:hint="eastAsia"/>
          <w:kern w:val="0"/>
          <w:szCs w:val="24"/>
        </w:rPr>
        <w:t>業者</w:t>
      </w:r>
      <w:r w:rsidRPr="004E7851">
        <w:rPr>
          <w:rFonts w:hAnsi="標楷體" w:hint="eastAsia"/>
          <w:lang w:eastAsia="zh-HK"/>
        </w:rPr>
        <w:t>持續使用達3個月以上</w:t>
      </w:r>
      <w:r w:rsidRPr="004E7851">
        <w:rPr>
          <w:rFonts w:hAnsi="標楷體" w:hint="eastAsia"/>
        </w:rPr>
        <w:t>，</w:t>
      </w:r>
      <w:r w:rsidRPr="004E7851">
        <w:rPr>
          <w:rFonts w:hAnsi="標楷體" w:hint="eastAsia"/>
          <w:lang w:eastAsia="zh-HK"/>
        </w:rPr>
        <w:t>以及</w:t>
      </w:r>
      <w:r w:rsidRPr="004E7851">
        <w:rPr>
          <w:rFonts w:hAnsi="標楷體" w:hint="eastAsia"/>
        </w:rPr>
        <w:t>107</w:t>
      </w:r>
      <w:r w:rsidRPr="004E7851">
        <w:rPr>
          <w:rFonts w:hAnsi="標楷體" w:hint="eastAsia"/>
          <w:lang w:eastAsia="zh-HK"/>
        </w:rPr>
        <w:t>年「完成續用輔導服務100家次以上」之工作目標值，足見食品業者使用該平臺之黏著度下滑</w:t>
      </w:r>
      <w:r w:rsidRPr="004E7851">
        <w:rPr>
          <w:rFonts w:hAnsi="標楷體" w:hint="eastAsia"/>
        </w:rPr>
        <w:t>；</w:t>
      </w:r>
      <w:r w:rsidRPr="004E7851">
        <w:rPr>
          <w:rFonts w:hAnsi="標楷體" w:hint="eastAsia"/>
          <w:lang w:eastAsia="zh-HK"/>
        </w:rPr>
        <w:t>且</w:t>
      </w:r>
      <w:r w:rsidRPr="004E7851">
        <w:rPr>
          <w:rFonts w:hAnsi="標楷體" w:hint="eastAsia"/>
        </w:rPr>
        <w:t>，</w:t>
      </w:r>
      <w:r w:rsidRPr="004E7851">
        <w:rPr>
          <w:rFonts w:hAnsi="標楷體"/>
          <w:lang w:eastAsia="zh-HK"/>
        </w:rPr>
        <w:t>截至10</w:t>
      </w:r>
      <w:r w:rsidRPr="004E7851">
        <w:rPr>
          <w:rFonts w:hAnsi="標楷體" w:hint="eastAsia"/>
          <w:lang w:eastAsia="zh-HK"/>
        </w:rPr>
        <w:t>9</w:t>
      </w:r>
      <w:r w:rsidRPr="004E7851">
        <w:rPr>
          <w:rFonts w:hAnsi="標楷體"/>
          <w:lang w:eastAsia="zh-HK"/>
        </w:rPr>
        <w:t>年</w:t>
      </w:r>
      <w:r w:rsidRPr="004E7851">
        <w:rPr>
          <w:rFonts w:hAnsi="標楷體" w:hint="eastAsia"/>
          <w:lang w:eastAsia="zh-HK"/>
        </w:rPr>
        <w:t>1月1日</w:t>
      </w:r>
      <w:r w:rsidRPr="004E7851">
        <w:rPr>
          <w:rFonts w:hAnsi="標楷體"/>
          <w:lang w:eastAsia="zh-HK"/>
        </w:rPr>
        <w:t>止，</w:t>
      </w:r>
      <w:r w:rsidRPr="004E7851">
        <w:rPr>
          <w:rFonts w:hAnsi="標楷體" w:hint="eastAsia"/>
          <w:lang w:eastAsia="zh-HK"/>
        </w:rPr>
        <w:t>尚未依上開規定完成</w:t>
      </w:r>
      <w:r w:rsidRPr="004E7851">
        <w:rPr>
          <w:rFonts w:hAnsi="標楷體"/>
          <w:lang w:eastAsia="zh-HK"/>
        </w:rPr>
        <w:t>建立</w:t>
      </w:r>
      <w:r w:rsidRPr="004E7851">
        <w:rPr>
          <w:rFonts w:hAnsi="標楷體" w:hint="eastAsia"/>
          <w:lang w:eastAsia="zh-HK"/>
        </w:rPr>
        <w:t>者</w:t>
      </w:r>
      <w:r w:rsidRPr="004E7851">
        <w:rPr>
          <w:rFonts w:hAnsi="標楷體" w:hint="eastAsia"/>
          <w:lang w:eastAsia="zh-HK"/>
        </w:rPr>
        <w:lastRenderedPageBreak/>
        <w:t>計</w:t>
      </w:r>
      <w:r w:rsidR="002779A8" w:rsidRPr="004E7851">
        <w:rPr>
          <w:rFonts w:hAnsi="標楷體" w:hint="eastAsia"/>
        </w:rPr>
        <w:t>399</w:t>
      </w:r>
      <w:r w:rsidRPr="004E7851">
        <w:rPr>
          <w:rFonts w:hAnsi="標楷體"/>
          <w:lang w:eastAsia="zh-HK"/>
        </w:rPr>
        <w:t>家</w:t>
      </w:r>
      <w:r w:rsidRPr="004E7851">
        <w:rPr>
          <w:rFonts w:hAnsi="標楷體" w:hint="eastAsia"/>
          <w:lang w:eastAsia="zh-HK"/>
        </w:rPr>
        <w:t>次</w:t>
      </w:r>
      <w:r w:rsidRPr="004E7851">
        <w:rPr>
          <w:rFonts w:hAnsi="標楷體" w:hint="eastAsia"/>
        </w:rPr>
        <w:t>，</w:t>
      </w:r>
      <w:r w:rsidRPr="004E7851">
        <w:rPr>
          <w:rFonts w:hAnsi="標楷體" w:hint="eastAsia"/>
          <w:lang w:eastAsia="zh-HK"/>
        </w:rPr>
        <w:t>經濟部尤應優先輔導、協助該等業者善用該平臺功能，正確建立食品</w:t>
      </w:r>
      <w:r w:rsidRPr="004E7851">
        <w:rPr>
          <w:rFonts w:hAnsi="標楷體"/>
          <w:lang w:eastAsia="zh-HK"/>
        </w:rPr>
        <w:t>追溯追蹤系統</w:t>
      </w:r>
      <w:r w:rsidRPr="004E7851">
        <w:rPr>
          <w:rFonts w:hAnsi="標楷體" w:hint="eastAsia"/>
          <w:lang w:eastAsia="zh-HK"/>
        </w:rPr>
        <w:t>，並快速完成電子申報作業</w:t>
      </w:r>
      <w:r w:rsidRPr="004E7851">
        <w:rPr>
          <w:rFonts w:hAnsi="標楷體" w:hint="eastAsia"/>
        </w:rPr>
        <w:t>；</w:t>
      </w:r>
      <w:r w:rsidRPr="004E7851">
        <w:rPr>
          <w:rFonts w:hAnsi="標楷體" w:hint="eastAsia"/>
          <w:lang w:eastAsia="zh-HK"/>
        </w:rPr>
        <w:t>另，為落實</w:t>
      </w:r>
      <w:r w:rsidRPr="004E7851">
        <w:rPr>
          <w:rFonts w:hAnsi="標楷體"/>
          <w:lang w:eastAsia="zh-HK"/>
        </w:rPr>
        <w:t>行政院食品安全五環政策</w:t>
      </w:r>
      <w:r w:rsidRPr="004E7851">
        <w:rPr>
          <w:rFonts w:hAnsi="標楷體" w:hint="eastAsia"/>
          <w:lang w:eastAsia="zh-HK"/>
        </w:rPr>
        <w:t>之第二環</w:t>
      </w:r>
      <w:r w:rsidRPr="004E7851">
        <w:rPr>
          <w:rFonts w:hAnsi="標楷體"/>
          <w:lang w:eastAsia="zh-HK"/>
        </w:rPr>
        <w:t>-「重建生產管理」行動策略</w:t>
      </w:r>
      <w:r w:rsidRPr="004E7851">
        <w:rPr>
          <w:rFonts w:hAnsi="標楷體" w:hint="eastAsia"/>
          <w:lang w:eastAsia="zh-HK"/>
        </w:rPr>
        <w:t>，衛福部未來將新增納管應建立追溯追蹤系統之業者類別及規模，並擴大電子化上傳追溯或追蹤資料至非追不可</w:t>
      </w:r>
      <w:r w:rsidR="00F23493" w:rsidRPr="004E7851">
        <w:rPr>
          <w:rFonts w:hAnsi="標楷體" w:hint="eastAsia"/>
          <w:lang w:eastAsia="zh-HK"/>
        </w:rPr>
        <w:t>系統</w:t>
      </w:r>
      <w:r w:rsidRPr="004E7851">
        <w:rPr>
          <w:rFonts w:hAnsi="標楷體" w:hint="eastAsia"/>
          <w:lang w:eastAsia="zh-HK"/>
        </w:rPr>
        <w:t>之實施對象</w:t>
      </w:r>
      <w:r w:rsidR="003F13F6" w:rsidRPr="004E7851">
        <w:rPr>
          <w:rFonts w:hAnsi="標楷體" w:hint="eastAsia"/>
          <w:lang w:eastAsia="zh-HK"/>
        </w:rPr>
        <w:t>（包括農產植物製品、菇(蕈)類及藻類之冷凍、冷藏、脫水、醃漬、凝膠及餡料製品、植物蛋白及其製品之輸入業者，以及達3家以上非百貨公司之綜合商品零售業獨立門市之連鎖品牌，且資本額3,000萬元以上之餐盒食品販售業者，均自110年1月1日實施）</w:t>
      </w:r>
      <w:r w:rsidRPr="004E7851">
        <w:rPr>
          <w:rFonts w:hAnsi="標楷體" w:hint="eastAsia"/>
          <w:lang w:eastAsia="zh-HK"/>
        </w:rPr>
        <w:t>，是以，經濟部更應推廣、輔導新增納管業者善用該平臺單一登錄窗口與便利功能，解決非追不可</w:t>
      </w:r>
      <w:r w:rsidR="00F23493" w:rsidRPr="004E7851">
        <w:rPr>
          <w:rFonts w:hAnsi="標楷體" w:hint="eastAsia"/>
          <w:lang w:eastAsia="zh-HK"/>
        </w:rPr>
        <w:t>系統</w:t>
      </w:r>
      <w:r w:rsidRPr="004E7851">
        <w:rPr>
          <w:rFonts w:hAnsi="標楷體" w:hint="eastAsia"/>
          <w:lang w:eastAsia="zh-HK"/>
        </w:rPr>
        <w:t>繁複及龐大之申報資料問題，降低業者適法成本，擴散食品雲HUB平臺之服務能量</w:t>
      </w:r>
      <w:r w:rsidRPr="004E7851">
        <w:rPr>
          <w:rFonts w:hAnsi="標楷體" w:hint="eastAsia"/>
        </w:rPr>
        <w:t>。</w:t>
      </w:r>
    </w:p>
    <w:p w:rsidR="0042546C" w:rsidRPr="004E7851" w:rsidRDefault="00FC3D65" w:rsidP="00B55ECF">
      <w:pPr>
        <w:pStyle w:val="2"/>
        <w:numPr>
          <w:ilvl w:val="1"/>
          <w:numId w:val="1"/>
        </w:numPr>
        <w:rPr>
          <w:rFonts w:hAnsi="標楷體"/>
          <w:b/>
          <w:lang w:eastAsia="zh-HK"/>
        </w:rPr>
      </w:pPr>
      <w:r w:rsidRPr="004E7851">
        <w:rPr>
          <w:rFonts w:hAnsi="標楷體" w:hint="eastAsia"/>
          <w:b/>
        </w:rPr>
        <w:t>國內部分學校興起自動販賣機販售食品風氣，惟教育部尚未能瞭解及掌握設置情形及數量；且該部雖訂定有「學校餐廳廚房員生消費合作社衛生管理辦法」及「校園飲品及點心販售範圍」等規定，使業者將食材原料、品名等資訊登在於「校園食品登錄平台」，惟校方仍欠缺食藥署食品雲相關資料回饋，尤其係該署對於該等業者及產品之稽查結果等非驗不可系統資訊，有礙校方同步勾稽及把關，亟待教育部及食藥署檢討改善。</w:t>
      </w:r>
    </w:p>
    <w:p w:rsidR="00735412" w:rsidRPr="004E7851" w:rsidRDefault="00735412" w:rsidP="00C74FF4">
      <w:pPr>
        <w:pStyle w:val="3"/>
        <w:rPr>
          <w:rFonts w:hAnsi="標楷體"/>
          <w:lang w:eastAsia="zh-HK"/>
        </w:rPr>
      </w:pPr>
      <w:r w:rsidRPr="004E7851">
        <w:rPr>
          <w:rFonts w:hAnsi="標楷體" w:hint="eastAsia"/>
        </w:rPr>
        <w:t>按學校衛生法第22條規定：「</w:t>
      </w:r>
      <w:r w:rsidR="00027D30" w:rsidRPr="004E7851">
        <w:rPr>
          <w:rFonts w:hAnsi="標楷體" w:hint="eastAsia"/>
        </w:rPr>
        <w:t>(第1項)學校應加強餐廳、廚房、員生消費合作社之衛生管理。(第2項)各級主管機關或學校應辦理前項設施相關人員之衛生訓練、進修及研習。(第3項)學校餐飲衛生管理，應符合食品安全衛生管理法第8條第1項所定食品</w:t>
      </w:r>
      <w:r w:rsidR="00027D30" w:rsidRPr="004E7851">
        <w:rPr>
          <w:rFonts w:hAnsi="標楷體" w:hint="eastAsia"/>
        </w:rPr>
        <w:lastRenderedPageBreak/>
        <w:t>之良好衛生規範準則。……(第6項) 第1項及第4項之管理及督導項目、方法、稽查及其他應遵行事項之辦法，由中央主管機關會同中央衛生主管機關定之。</w:t>
      </w:r>
      <w:r w:rsidRPr="004E7851">
        <w:rPr>
          <w:rFonts w:hAnsi="標楷體" w:hint="eastAsia"/>
        </w:rPr>
        <w:t>」</w:t>
      </w:r>
      <w:r w:rsidR="00027D30" w:rsidRPr="004E7851">
        <w:rPr>
          <w:rFonts w:hAnsi="標楷體" w:hint="eastAsia"/>
        </w:rPr>
        <w:t>次按「學校餐廳廚房員生消費合作社衛生管理辦法」第9條第1項規定：「供售學校食品之廠商，應至中央主管機關指定之系統平臺登載當日供餐之主食材原料、品名、供應商等資訊。」</w:t>
      </w:r>
    </w:p>
    <w:p w:rsidR="00C34580" w:rsidRPr="004E7851" w:rsidRDefault="00C34580" w:rsidP="007A3682">
      <w:pPr>
        <w:pStyle w:val="3"/>
        <w:rPr>
          <w:rFonts w:hAnsi="標楷體"/>
          <w:lang w:eastAsia="zh-HK"/>
        </w:rPr>
      </w:pPr>
      <w:r w:rsidRPr="004E7851">
        <w:rPr>
          <w:rFonts w:hAnsi="標楷體" w:hint="eastAsia"/>
        </w:rPr>
        <w:t>教育部為引導學生身心健康成長，養成良好飲食習慣，於</w:t>
      </w:r>
      <w:r w:rsidRPr="004E7851">
        <w:rPr>
          <w:rFonts w:hAnsi="標楷體"/>
        </w:rPr>
        <w:t>94年2</w:t>
      </w:r>
      <w:r w:rsidRPr="004E7851">
        <w:rPr>
          <w:rFonts w:hAnsi="標楷體" w:hint="eastAsia"/>
        </w:rPr>
        <w:t>月</w:t>
      </w:r>
      <w:r w:rsidRPr="004E7851">
        <w:rPr>
          <w:rFonts w:hAnsi="標楷體"/>
        </w:rPr>
        <w:t>23日</w:t>
      </w:r>
      <w:r w:rsidRPr="004E7851">
        <w:rPr>
          <w:rFonts w:hAnsi="標楷體" w:hint="eastAsia"/>
        </w:rPr>
        <w:t>以</w:t>
      </w:r>
      <w:r w:rsidRPr="004E7851">
        <w:rPr>
          <w:rFonts w:hAnsi="標楷體"/>
        </w:rPr>
        <w:t>臺教授國部字第1050098219B號函</w:t>
      </w:r>
      <w:r w:rsidRPr="004E7851">
        <w:rPr>
          <w:rFonts w:hAnsi="標楷體" w:hint="eastAsia"/>
        </w:rPr>
        <w:t>發布「校園飲品及點心販售範圍」，規範國中以下及高級中等學校之校園飲品及點心販售應遵循事項。</w:t>
      </w:r>
      <w:r w:rsidR="00027D30" w:rsidRPr="004E7851">
        <w:rPr>
          <w:rFonts w:hAnsi="標楷體" w:hint="eastAsia"/>
        </w:rPr>
        <w:t>查</w:t>
      </w:r>
      <w:r w:rsidRPr="004E7851">
        <w:rPr>
          <w:rFonts w:hAnsi="標楷體" w:hint="eastAsia"/>
        </w:rPr>
        <w:t>國內</w:t>
      </w:r>
      <w:r w:rsidR="00027D30" w:rsidRPr="004E7851">
        <w:rPr>
          <w:rFonts w:hAnsi="標楷體" w:hint="eastAsia"/>
        </w:rPr>
        <w:t>部分學校設有自動販賣機販售食品，</w:t>
      </w:r>
      <w:r w:rsidRPr="004E7851">
        <w:rPr>
          <w:rFonts w:hAnsi="標楷體" w:hint="eastAsia"/>
        </w:rPr>
        <w:t>有關販賣食品之類別及營養要求等，需符合「校園飲品及點心販售範圍」規定，且按「學校餐廳廚房員生消費合作社衛生管理辦法」第9條第1項規定，提供自動販賣機販售食品之業者，需於「校園食品登錄平台」登錄主食材原料、品名及供應商等資料，故教育部該平台登載有自動販賣機販售之食品及業者資訊。</w:t>
      </w:r>
    </w:p>
    <w:p w:rsidR="00C34580" w:rsidRPr="004E7851" w:rsidRDefault="00C34580" w:rsidP="007A3682">
      <w:pPr>
        <w:pStyle w:val="3"/>
        <w:rPr>
          <w:rFonts w:hAnsi="標楷體"/>
          <w:lang w:eastAsia="zh-HK"/>
        </w:rPr>
      </w:pPr>
      <w:r w:rsidRPr="004E7851">
        <w:rPr>
          <w:rFonts w:hAnsi="標楷體" w:hint="eastAsia"/>
          <w:u w:val="single"/>
        </w:rPr>
        <w:t>惟</w:t>
      </w:r>
      <w:r w:rsidR="0086322C" w:rsidRPr="004E7851">
        <w:rPr>
          <w:rFonts w:hAnsi="標楷體" w:hint="eastAsia"/>
          <w:u w:val="single"/>
        </w:rPr>
        <w:t>學校雖有上開各業者相關資料，惟食藥署及各地方政府對於該等業者之平時或專案稽查資訊，卻無法同步回饋學校知悉及利用，以利校方勾稽校園內提供自動販賣機販售食品之業者是否有違規產品</w:t>
      </w:r>
      <w:r w:rsidR="0086322C" w:rsidRPr="004E7851">
        <w:rPr>
          <w:rFonts w:hAnsi="標楷體" w:hint="eastAsia"/>
        </w:rPr>
        <w:t>，此問題據本院</w:t>
      </w:r>
      <w:r w:rsidR="00DE5E5F" w:rsidRPr="004E7851">
        <w:rPr>
          <w:rFonts w:hAnsi="標楷體" w:hint="eastAsia"/>
        </w:rPr>
        <w:t>109年6月17日</w:t>
      </w:r>
      <w:r w:rsidR="0086322C" w:rsidRPr="004E7851">
        <w:rPr>
          <w:rFonts w:hAnsi="標楷體" w:hint="eastAsia"/>
        </w:rPr>
        <w:t>履勘食藥署時，該署簡報表示略以：在食品雲介接架構部分，目前整合6部會19項食安資訊系統，除將環保署、經濟部、財政部及農委會等資料納入該署食品雲系統中外，目前也努力於將食品雲的資訊，回饋給教育部「校園食品登錄平台」以利校方掌握食品業者及產品訊息。</w:t>
      </w:r>
    </w:p>
    <w:p w:rsidR="00C34580" w:rsidRPr="004E7851" w:rsidRDefault="0086322C" w:rsidP="007A3682">
      <w:pPr>
        <w:pStyle w:val="3"/>
        <w:rPr>
          <w:rFonts w:hAnsi="標楷體"/>
          <w:lang w:eastAsia="zh-HK"/>
        </w:rPr>
      </w:pPr>
      <w:r w:rsidRPr="004E7851">
        <w:rPr>
          <w:rFonts w:hAnsi="標楷體" w:hint="eastAsia"/>
        </w:rPr>
        <w:t>承上述，</w:t>
      </w:r>
      <w:r w:rsidR="00D8401D" w:rsidRPr="004E7851">
        <w:rPr>
          <w:rFonts w:hAnsi="標楷體" w:hint="eastAsia"/>
          <w:u w:val="single"/>
        </w:rPr>
        <w:t>國內部分學校興起自動販賣機販售食品風</w:t>
      </w:r>
      <w:r w:rsidR="00D8401D" w:rsidRPr="004E7851">
        <w:rPr>
          <w:rFonts w:hAnsi="標楷體" w:hint="eastAsia"/>
          <w:u w:val="single"/>
        </w:rPr>
        <w:lastRenderedPageBreak/>
        <w:t>氣</w:t>
      </w:r>
      <w:r w:rsidR="00FC3D65" w:rsidRPr="004E7851">
        <w:rPr>
          <w:rFonts w:hAnsi="標楷體" w:hint="eastAsia"/>
          <w:u w:val="single"/>
        </w:rPr>
        <w:t>，惟教育部尚未能瞭解及掌握設置情形及數量</w:t>
      </w:r>
      <w:r w:rsidR="00FC3D65" w:rsidRPr="004E7851">
        <w:rPr>
          <w:rFonts w:hAnsi="標楷體" w:hint="eastAsia"/>
        </w:rPr>
        <w:t>；且該</w:t>
      </w:r>
      <w:r w:rsidR="00D8401D" w:rsidRPr="004E7851">
        <w:rPr>
          <w:rFonts w:hAnsi="標楷體" w:hint="eastAsia"/>
        </w:rPr>
        <w:t>部雖訂定有「學校餐廳廚房員生消費合作社衛生管理辦法」及「校園飲品及點心販售範圍」等規定，使業者將食材原料、品名等資訊登在於「校園食品登錄平台」，惟校方仍欠缺食藥署食品雲相關資料回饋，尤其係該署對於該等業者</w:t>
      </w:r>
      <w:r w:rsidR="00FC3D65" w:rsidRPr="004E7851">
        <w:rPr>
          <w:rFonts w:hAnsi="標楷體" w:hint="eastAsia"/>
        </w:rPr>
        <w:t>及產品</w:t>
      </w:r>
      <w:r w:rsidR="00D8401D" w:rsidRPr="004E7851">
        <w:rPr>
          <w:rFonts w:hAnsi="標楷體" w:hint="eastAsia"/>
        </w:rPr>
        <w:t>之稽查結果等非驗不可系統資訊，有礙校方同步勾稽及把關，亟待教育部及食藥署檢討改善。</w:t>
      </w:r>
    </w:p>
    <w:p w:rsidR="00B55ECF" w:rsidRPr="004E7851" w:rsidRDefault="00B55ECF" w:rsidP="00B55ECF">
      <w:pPr>
        <w:pStyle w:val="2"/>
        <w:numPr>
          <w:ilvl w:val="1"/>
          <w:numId w:val="1"/>
        </w:numPr>
        <w:rPr>
          <w:rFonts w:hAnsi="標楷體"/>
          <w:b/>
          <w:lang w:eastAsia="zh-HK"/>
        </w:rPr>
      </w:pPr>
      <w:r w:rsidRPr="004E7851">
        <w:rPr>
          <w:rFonts w:hAnsi="標楷體" w:hint="eastAsia"/>
          <w:b/>
          <w:lang w:eastAsia="zh-HK"/>
        </w:rPr>
        <w:t>化學雲之運作成效攸關食品安全網之建構、化學物質污染環境之監測及消防災害之搶救，對於國人生命、身體、健康、財產安全至關重要</w:t>
      </w:r>
      <w:r w:rsidRPr="004E7851">
        <w:rPr>
          <w:rFonts w:hAnsi="標楷體" w:hint="eastAsia"/>
          <w:b/>
        </w:rPr>
        <w:t>，</w:t>
      </w:r>
      <w:r w:rsidRPr="004E7851">
        <w:rPr>
          <w:rFonts w:hAnsi="標楷體" w:hint="eastAsia"/>
          <w:b/>
          <w:lang w:eastAsia="zh-HK"/>
        </w:rPr>
        <w:t>惟</w:t>
      </w:r>
      <w:r w:rsidRPr="004E7851">
        <w:rPr>
          <w:rFonts w:hAnsi="標楷體" w:hint="eastAsia"/>
          <w:b/>
        </w:rPr>
        <w:t>化學雲建置、</w:t>
      </w:r>
      <w:r w:rsidRPr="004E7851">
        <w:rPr>
          <w:rFonts w:hAnsi="標楷體" w:hint="eastAsia"/>
          <w:b/>
          <w:lang w:eastAsia="zh-HK"/>
        </w:rPr>
        <w:t>擴增與</w:t>
      </w:r>
      <w:r w:rsidRPr="004E7851">
        <w:rPr>
          <w:rFonts w:hAnsi="標楷體" w:hint="eastAsia"/>
          <w:b/>
        </w:rPr>
        <w:t>維運</w:t>
      </w:r>
      <w:r w:rsidRPr="004E7851">
        <w:rPr>
          <w:rFonts w:hAnsi="標楷體" w:hint="eastAsia"/>
          <w:b/>
          <w:lang w:eastAsia="zh-HK"/>
        </w:rPr>
        <w:t>至今</w:t>
      </w:r>
      <w:r w:rsidRPr="004E7851">
        <w:rPr>
          <w:rFonts w:hAnsi="標楷體" w:hint="eastAsia"/>
          <w:b/>
        </w:rPr>
        <w:t>，僅透過行政院</w:t>
      </w:r>
      <w:r w:rsidRPr="004E7851">
        <w:rPr>
          <w:rFonts w:hAnsi="標楷體" w:hint="eastAsia"/>
          <w:b/>
          <w:lang w:eastAsia="zh-HK"/>
        </w:rPr>
        <w:t>及</w:t>
      </w:r>
      <w:r w:rsidRPr="004E7851">
        <w:rPr>
          <w:rFonts w:hAnsi="標楷體" w:hint="eastAsia"/>
          <w:b/>
        </w:rPr>
        <w:t>其他部會以科技</w:t>
      </w:r>
      <w:r w:rsidRPr="004E7851">
        <w:rPr>
          <w:rFonts w:hAnsi="標楷體" w:hint="eastAsia"/>
          <w:b/>
          <w:lang w:eastAsia="zh-HK"/>
        </w:rPr>
        <w:t>計畫補助方式辦理</w:t>
      </w:r>
      <w:r w:rsidRPr="004E7851">
        <w:rPr>
          <w:rFonts w:hAnsi="標楷體" w:hint="eastAsia"/>
          <w:b/>
        </w:rPr>
        <w:t>，</w:t>
      </w:r>
      <w:r w:rsidRPr="004E7851">
        <w:rPr>
          <w:rFonts w:hAnsi="標楷體" w:hint="eastAsia"/>
          <w:b/>
          <w:lang w:eastAsia="zh-HK"/>
        </w:rPr>
        <w:t>反觀因應食品雲開發與維運等新增業務支出，食藥署則自105年度以來增編適足預算執行</w:t>
      </w:r>
      <w:r w:rsidRPr="004E7851">
        <w:rPr>
          <w:rFonts w:hAnsi="標楷體" w:hint="eastAsia"/>
          <w:b/>
        </w:rPr>
        <w:t>；</w:t>
      </w:r>
      <w:r w:rsidRPr="004E7851">
        <w:rPr>
          <w:rFonts w:hAnsi="標楷體" w:hint="eastAsia"/>
          <w:b/>
          <w:lang w:eastAsia="zh-HK"/>
        </w:rPr>
        <w:t>況且，環保署</w:t>
      </w:r>
      <w:r w:rsidRPr="004E7851">
        <w:rPr>
          <w:rFonts w:hAnsi="標楷體"/>
          <w:b/>
          <w:lang w:eastAsia="zh-HK"/>
        </w:rPr>
        <w:t>執行109-112年「化學物質安全使用資訊整合平臺及科技化管理計畫」</w:t>
      </w:r>
      <w:r w:rsidRPr="004E7851">
        <w:rPr>
          <w:rFonts w:hAnsi="標楷體" w:hint="eastAsia"/>
          <w:b/>
          <w:lang w:eastAsia="zh-HK"/>
        </w:rPr>
        <w:t>列</w:t>
      </w:r>
      <w:r w:rsidRPr="004E7851">
        <w:rPr>
          <w:rFonts w:hAnsi="標楷體" w:hint="eastAsia"/>
          <w:b/>
        </w:rPr>
        <w:t>為</w:t>
      </w:r>
      <w:r w:rsidRPr="004E7851">
        <w:rPr>
          <w:rFonts w:hAnsi="標楷體"/>
          <w:b/>
          <w:lang w:eastAsia="zh-HK"/>
        </w:rPr>
        <w:t>行政院核定「國家化學物質管理政策綱領」</w:t>
      </w:r>
      <w:r w:rsidRPr="004E7851">
        <w:rPr>
          <w:rFonts w:hAnsi="標楷體" w:hint="eastAsia"/>
          <w:b/>
          <w:lang w:eastAsia="zh-HK"/>
        </w:rPr>
        <w:t>之</w:t>
      </w:r>
      <w:r w:rsidRPr="004E7851">
        <w:rPr>
          <w:rFonts w:hAnsi="標楷體" w:hint="eastAsia"/>
          <w:b/>
        </w:rPr>
        <w:t>重要執行策略，</w:t>
      </w:r>
      <w:r w:rsidRPr="004E7851">
        <w:rPr>
          <w:rFonts w:hAnsi="標楷體" w:hint="eastAsia"/>
          <w:b/>
          <w:lang w:eastAsia="zh-HK"/>
        </w:rPr>
        <w:t>然化學雲109年度需用經費核減近0.6億元，減列幅度高達85%，不利業務之推展，行政院</w:t>
      </w:r>
      <w:r w:rsidR="004C66A1" w:rsidRPr="004E7851">
        <w:rPr>
          <w:rFonts w:hAnsi="標楷體" w:hint="eastAsia"/>
          <w:b/>
        </w:rPr>
        <w:t>允宜</w:t>
      </w:r>
      <w:r w:rsidRPr="004E7851">
        <w:rPr>
          <w:rFonts w:hAnsi="標楷體" w:hint="eastAsia"/>
          <w:b/>
          <w:lang w:eastAsia="zh-HK"/>
        </w:rPr>
        <w:t>督導所屬積極檢討妥處。</w:t>
      </w:r>
    </w:p>
    <w:p w:rsidR="00B55ECF" w:rsidRPr="004E7851" w:rsidRDefault="00B55ECF" w:rsidP="00B55ECF">
      <w:pPr>
        <w:pStyle w:val="3"/>
        <w:numPr>
          <w:ilvl w:val="2"/>
          <w:numId w:val="1"/>
        </w:numPr>
        <w:rPr>
          <w:rFonts w:hAnsi="標楷體"/>
          <w:lang w:eastAsia="zh-HK"/>
        </w:rPr>
      </w:pPr>
      <w:r w:rsidRPr="004E7851">
        <w:rPr>
          <w:rFonts w:hAnsi="標楷體" w:hint="eastAsia"/>
          <w:lang w:eastAsia="zh-HK"/>
        </w:rPr>
        <w:t>經查，我國過去經歷塑化劑、毒澱粉、劣質食用油品等重大食品安全事件，為發揮全民守望及食品安全資訊匯流彙整之目的，於行政院泛食品雲基礎建置政策之下，衛福部、環保署等相關部會皆已建置食品雲與化學雲等資訊系統，並透過應用程式介面（API）介接跨部會資料，</w:t>
      </w:r>
      <w:r w:rsidRPr="004E7851">
        <w:rPr>
          <w:rFonts w:hAnsi="標楷體"/>
          <w:lang w:eastAsia="zh-HK"/>
        </w:rPr>
        <w:t>以巨量資料分析探勘技術，</w:t>
      </w:r>
      <w:r w:rsidRPr="004E7851">
        <w:rPr>
          <w:rFonts w:hAnsi="標楷體" w:hint="eastAsia"/>
          <w:lang w:eastAsia="zh-HK"/>
        </w:rPr>
        <w:t>讓政府在</w:t>
      </w:r>
      <w:r w:rsidRPr="004E7851">
        <w:rPr>
          <w:rFonts w:hAnsi="標楷體"/>
          <w:lang w:eastAsia="zh-HK"/>
        </w:rPr>
        <w:t>平時</w:t>
      </w:r>
      <w:r w:rsidRPr="004E7851">
        <w:rPr>
          <w:rFonts w:hAnsi="標楷體" w:hint="eastAsia"/>
          <w:lang w:eastAsia="zh-HK"/>
        </w:rPr>
        <w:t>預判預警可能之異常狀況，在食品事件</w:t>
      </w:r>
      <w:r w:rsidRPr="004E7851">
        <w:rPr>
          <w:rFonts w:hAnsi="標楷體"/>
          <w:lang w:eastAsia="zh-HK"/>
        </w:rPr>
        <w:t>發生時提供可能涉案之業者、產品來源及流向資訊，</w:t>
      </w:r>
      <w:r w:rsidRPr="004E7851">
        <w:rPr>
          <w:rFonts w:hAnsi="標楷體" w:hint="eastAsia"/>
          <w:lang w:eastAsia="zh-HK"/>
        </w:rPr>
        <w:t>可快速有效查處，共同強化食品供應鏈每一個環節之安全管理，並同時提供大眾透明資訊。</w:t>
      </w:r>
      <w:r w:rsidRPr="004E7851">
        <w:rPr>
          <w:rFonts w:hAnsi="標楷體"/>
          <w:u w:val="single"/>
          <w:lang w:eastAsia="zh-HK"/>
        </w:rPr>
        <w:lastRenderedPageBreak/>
        <w:t>截至10</w:t>
      </w:r>
      <w:r w:rsidRPr="004E7851">
        <w:rPr>
          <w:rFonts w:hAnsi="標楷體" w:hint="eastAsia"/>
          <w:u w:val="single"/>
          <w:lang w:eastAsia="zh-HK"/>
        </w:rPr>
        <w:t>8</w:t>
      </w:r>
      <w:r w:rsidRPr="004E7851">
        <w:rPr>
          <w:rFonts w:hAnsi="標楷體"/>
          <w:u w:val="single"/>
          <w:lang w:eastAsia="zh-HK"/>
        </w:rPr>
        <w:t>年底</w:t>
      </w:r>
      <w:r w:rsidRPr="004E7851">
        <w:rPr>
          <w:rFonts w:hAnsi="標楷體" w:hint="eastAsia"/>
          <w:u w:val="single"/>
          <w:lang w:eastAsia="zh-HK"/>
        </w:rPr>
        <w:t>止，食品雲</w:t>
      </w:r>
      <w:r w:rsidRPr="004E7851">
        <w:rPr>
          <w:rFonts w:hAnsi="標楷體"/>
          <w:u w:val="single"/>
          <w:lang w:eastAsia="zh-HK"/>
        </w:rPr>
        <w:t>已完成</w:t>
      </w:r>
      <w:r w:rsidRPr="004E7851">
        <w:rPr>
          <w:rFonts w:hAnsi="標楷體" w:hint="eastAsia"/>
          <w:u w:val="single"/>
          <w:lang w:eastAsia="zh-HK"/>
        </w:rPr>
        <w:t>6個</w:t>
      </w:r>
      <w:r w:rsidRPr="004E7851">
        <w:rPr>
          <w:rFonts w:hAnsi="標楷體"/>
          <w:u w:val="single"/>
          <w:lang w:eastAsia="zh-HK"/>
        </w:rPr>
        <w:t>部會</w:t>
      </w:r>
      <w:r w:rsidRPr="004E7851">
        <w:rPr>
          <w:rFonts w:hAnsi="標楷體" w:hint="eastAsia"/>
          <w:u w:val="single"/>
          <w:lang w:eastAsia="zh-HK"/>
        </w:rPr>
        <w:t>共18套</w:t>
      </w:r>
      <w:r w:rsidRPr="004E7851">
        <w:rPr>
          <w:rFonts w:hAnsi="標楷體"/>
          <w:u w:val="single"/>
          <w:lang w:eastAsia="zh-HK"/>
        </w:rPr>
        <w:t>食品安全相關資訊系統之資料整合</w:t>
      </w:r>
      <w:r w:rsidRPr="004E7851">
        <w:rPr>
          <w:rFonts w:hAnsi="標楷體" w:hint="eastAsia"/>
          <w:u w:val="single"/>
          <w:lang w:eastAsia="zh-HK"/>
        </w:rPr>
        <w:t>，</w:t>
      </w:r>
      <w:r w:rsidRPr="004E7851">
        <w:rPr>
          <w:rFonts w:hAnsi="標楷體"/>
          <w:u w:val="single"/>
          <w:lang w:eastAsia="zh-HK"/>
        </w:rPr>
        <w:t>介接</w:t>
      </w:r>
      <w:r w:rsidRPr="004E7851">
        <w:rPr>
          <w:rFonts w:hAnsi="標楷體" w:hint="eastAsia"/>
          <w:u w:val="single"/>
          <w:lang w:eastAsia="zh-HK"/>
        </w:rPr>
        <w:t>逾1億1,666萬筆資料；至於</w:t>
      </w:r>
      <w:r w:rsidRPr="004E7851">
        <w:rPr>
          <w:rFonts w:hAnsi="標楷體" w:hint="eastAsia"/>
          <w:u w:val="single"/>
        </w:rPr>
        <w:t>，</w:t>
      </w:r>
      <w:r w:rsidRPr="004E7851">
        <w:rPr>
          <w:rFonts w:hAnsi="標楷體" w:hint="eastAsia"/>
          <w:u w:val="single"/>
          <w:lang w:eastAsia="zh-HK"/>
        </w:rPr>
        <w:t>化學雲使用者層面廣泛，截至109年4月底，化學雲已與9個部會，共48套資訊系統進行介接，</w:t>
      </w:r>
      <w:r w:rsidRPr="004E7851">
        <w:rPr>
          <w:rFonts w:hAnsi="標楷體"/>
          <w:u w:val="single"/>
          <w:lang w:eastAsia="zh-HK"/>
        </w:rPr>
        <w:t>可比對</w:t>
      </w:r>
      <w:r w:rsidRPr="004E7851">
        <w:rPr>
          <w:rFonts w:hAnsi="標楷體" w:hint="eastAsia"/>
          <w:u w:val="single"/>
          <w:lang w:eastAsia="zh-HK"/>
        </w:rPr>
        <w:t>10萬4,315種化學物質（有關化學雲鏈結串流</w:t>
      </w:r>
      <w:r w:rsidRPr="004E7851">
        <w:rPr>
          <w:rFonts w:hAnsi="標楷體"/>
          <w:u w:val="single"/>
          <w:lang w:eastAsia="zh-HK"/>
        </w:rPr>
        <w:t>跨部會</w:t>
      </w:r>
      <w:r w:rsidRPr="004E7851">
        <w:rPr>
          <w:rFonts w:hAnsi="標楷體" w:hint="eastAsia"/>
          <w:u w:val="single"/>
          <w:lang w:eastAsia="zh-HK"/>
        </w:rPr>
        <w:t>化學物質</w:t>
      </w:r>
      <w:r w:rsidRPr="004E7851">
        <w:rPr>
          <w:rFonts w:hAnsi="標楷體"/>
          <w:u w:val="single"/>
          <w:lang w:eastAsia="zh-HK"/>
        </w:rPr>
        <w:t>資訊</w:t>
      </w:r>
      <w:r w:rsidRPr="004E7851">
        <w:rPr>
          <w:rFonts w:hAnsi="標楷體" w:hint="eastAsia"/>
          <w:u w:val="single"/>
          <w:lang w:eastAsia="zh-HK"/>
        </w:rPr>
        <w:t>情形如表</w:t>
      </w:r>
      <w:r w:rsidR="009E54FC" w:rsidRPr="004E7851">
        <w:rPr>
          <w:rFonts w:hAnsi="標楷體" w:hint="eastAsia"/>
          <w:u w:val="single"/>
        </w:rPr>
        <w:t>4</w:t>
      </w:r>
      <w:r w:rsidRPr="004E7851">
        <w:rPr>
          <w:rFonts w:hAnsi="標楷體" w:hint="eastAsia"/>
          <w:u w:val="single"/>
          <w:lang w:eastAsia="zh-HK"/>
        </w:rPr>
        <w:t>），匯集5萬5,197家化學物質運作廠家資料</w:t>
      </w:r>
      <w:r w:rsidRPr="004E7851">
        <w:rPr>
          <w:rFonts w:hAnsi="標楷體" w:hint="eastAsia"/>
          <w:lang w:eastAsia="zh-HK"/>
        </w:rPr>
        <w:t>，提供</w:t>
      </w:r>
      <w:r w:rsidRPr="004E7851">
        <w:rPr>
          <w:rFonts w:hAnsi="標楷體"/>
          <w:szCs w:val="32"/>
          <w:lang w:eastAsia="zh-HK"/>
        </w:rPr>
        <w:t>「</w:t>
      </w:r>
      <w:r w:rsidRPr="004E7851">
        <w:rPr>
          <w:rFonts w:hAnsi="標楷體" w:hint="eastAsia"/>
          <w:lang w:eastAsia="zh-HK"/>
        </w:rPr>
        <w:t>基礎資料查詢</w:t>
      </w:r>
      <w:r w:rsidRPr="004E7851">
        <w:rPr>
          <w:rFonts w:hAnsi="標楷體" w:hint="eastAsia"/>
          <w:szCs w:val="32"/>
          <w:lang w:eastAsia="zh-HK"/>
        </w:rPr>
        <w:t>」</w:t>
      </w:r>
      <w:r w:rsidRPr="004E7851">
        <w:rPr>
          <w:rFonts w:hAnsi="標楷體" w:hint="eastAsia"/>
          <w:lang w:eastAsia="zh-HK"/>
        </w:rPr>
        <w:t>、</w:t>
      </w:r>
      <w:r w:rsidRPr="004E7851">
        <w:rPr>
          <w:rFonts w:hAnsi="標楷體"/>
          <w:szCs w:val="32"/>
          <w:lang w:eastAsia="zh-HK"/>
        </w:rPr>
        <w:t>「</w:t>
      </w:r>
      <w:r w:rsidRPr="004E7851">
        <w:rPr>
          <w:rFonts w:hAnsi="標楷體" w:hint="eastAsia"/>
          <w:lang w:eastAsia="zh-HK"/>
        </w:rPr>
        <w:t>可疑廠商多元條件篩選</w:t>
      </w:r>
      <w:r w:rsidRPr="004E7851">
        <w:rPr>
          <w:rFonts w:hAnsi="標楷體" w:hint="eastAsia"/>
          <w:szCs w:val="32"/>
          <w:lang w:eastAsia="zh-HK"/>
        </w:rPr>
        <w:t>」</w:t>
      </w:r>
      <w:r w:rsidRPr="004E7851">
        <w:rPr>
          <w:rFonts w:hAnsi="標楷體" w:hint="eastAsia"/>
          <w:lang w:eastAsia="zh-HK"/>
        </w:rPr>
        <w:t>、</w:t>
      </w:r>
      <w:r w:rsidRPr="004E7851">
        <w:rPr>
          <w:rFonts w:hAnsi="標楷體"/>
          <w:szCs w:val="32"/>
          <w:lang w:eastAsia="zh-HK"/>
        </w:rPr>
        <w:t>「</w:t>
      </w:r>
      <w:r w:rsidRPr="004E7851">
        <w:rPr>
          <w:rFonts w:hAnsi="標楷體" w:hint="eastAsia"/>
          <w:lang w:eastAsia="zh-HK"/>
        </w:rPr>
        <w:t>跨域比對分析地理圖資資訊</w:t>
      </w:r>
      <w:r w:rsidRPr="004E7851">
        <w:rPr>
          <w:rFonts w:hAnsi="標楷體" w:hint="eastAsia"/>
          <w:szCs w:val="32"/>
          <w:lang w:eastAsia="zh-HK"/>
        </w:rPr>
        <w:t>」</w:t>
      </w:r>
      <w:r w:rsidRPr="004E7851">
        <w:rPr>
          <w:rFonts w:hAnsi="標楷體" w:hint="eastAsia"/>
          <w:lang w:eastAsia="zh-HK"/>
        </w:rPr>
        <w:t>與</w:t>
      </w:r>
      <w:r w:rsidRPr="004E7851">
        <w:rPr>
          <w:rFonts w:hAnsi="標楷體"/>
          <w:szCs w:val="32"/>
          <w:lang w:eastAsia="zh-HK"/>
        </w:rPr>
        <w:t>「</w:t>
      </w:r>
      <w:r w:rsidRPr="004E7851">
        <w:rPr>
          <w:rFonts w:hAnsi="標楷體" w:hint="eastAsia"/>
          <w:lang w:eastAsia="zh-HK"/>
        </w:rPr>
        <w:t>化學知識地圖</w:t>
      </w:r>
      <w:r w:rsidRPr="004E7851">
        <w:rPr>
          <w:rFonts w:hAnsi="標楷體" w:hint="eastAsia"/>
          <w:szCs w:val="32"/>
          <w:lang w:eastAsia="zh-HK"/>
        </w:rPr>
        <w:t>」</w:t>
      </w:r>
      <w:r w:rsidRPr="004E7851">
        <w:rPr>
          <w:rFonts w:hAnsi="標楷體" w:hint="eastAsia"/>
          <w:lang w:eastAsia="zh-HK"/>
        </w:rPr>
        <w:t>等功能，且針對食品安全疑慮物質定期提出篩選資料警示，以提前防堵食品安全事件發生。先予敘明</w:t>
      </w:r>
      <w:r w:rsidRPr="004E7851">
        <w:rPr>
          <w:rFonts w:hAnsi="標楷體" w:hint="eastAsia"/>
        </w:rPr>
        <w:t>。</w:t>
      </w:r>
    </w:p>
    <w:p w:rsidR="00B55ECF" w:rsidRPr="004E7851" w:rsidRDefault="00B55ECF" w:rsidP="00B55ECF">
      <w:pPr>
        <w:pStyle w:val="a3"/>
        <w:ind w:left="680" w:hanging="680"/>
        <w:rPr>
          <w:rFonts w:hAnsi="標楷體"/>
        </w:rPr>
      </w:pPr>
      <w:r w:rsidRPr="004E7851">
        <w:rPr>
          <w:rFonts w:hAnsi="標楷體" w:hint="eastAsia"/>
          <w:lang w:eastAsia="zh-HK"/>
        </w:rPr>
        <w:t>截至109年4月止，化學雲鏈結串流跨部會化學物質</w:t>
      </w:r>
      <w:r w:rsidRPr="004E7851">
        <w:rPr>
          <w:rFonts w:hAnsi="標楷體"/>
          <w:lang w:eastAsia="zh-HK"/>
        </w:rPr>
        <w:t>資訊</w:t>
      </w:r>
      <w:r w:rsidRPr="004E7851">
        <w:rPr>
          <w:rFonts w:hAnsi="標楷體" w:hint="eastAsia"/>
          <w:lang w:eastAsia="zh-HK"/>
        </w:rPr>
        <w:t>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4373"/>
        <w:gridCol w:w="2198"/>
      </w:tblGrid>
      <w:tr w:rsidR="00771D6C" w:rsidRPr="004E7851" w:rsidTr="00557F9B">
        <w:trPr>
          <w:trHeight w:val="20"/>
          <w:tblHeader/>
        </w:trPr>
        <w:tc>
          <w:tcPr>
            <w:tcW w:w="1281" w:type="pct"/>
            <w:shd w:val="clear" w:color="auto" w:fill="EEECE1" w:themeFill="background2"/>
            <w:noWrap/>
            <w:vAlign w:val="center"/>
            <w:hideMark/>
          </w:tcPr>
          <w:p w:rsidR="00B55ECF" w:rsidRPr="004E7851" w:rsidRDefault="00B55ECF" w:rsidP="00557F9B">
            <w:pPr>
              <w:pStyle w:val="14"/>
              <w:jc w:val="left"/>
              <w:rPr>
                <w:rFonts w:hAnsi="標楷體"/>
                <w:b/>
              </w:rPr>
            </w:pPr>
            <w:r w:rsidRPr="004E7851">
              <w:rPr>
                <w:rFonts w:hAnsi="標楷體" w:hint="eastAsia"/>
                <w:b/>
                <w:lang w:eastAsia="zh-HK"/>
              </w:rPr>
              <w:t>化學物質種類</w:t>
            </w:r>
          </w:p>
        </w:tc>
        <w:tc>
          <w:tcPr>
            <w:tcW w:w="2475" w:type="pct"/>
            <w:shd w:val="clear" w:color="auto" w:fill="EEECE1" w:themeFill="background2"/>
            <w:noWrap/>
            <w:vAlign w:val="center"/>
            <w:hideMark/>
          </w:tcPr>
          <w:p w:rsidR="00B55ECF" w:rsidRPr="004E7851" w:rsidRDefault="00B55ECF" w:rsidP="00557F9B">
            <w:pPr>
              <w:pStyle w:val="14"/>
              <w:jc w:val="left"/>
              <w:rPr>
                <w:rFonts w:hAnsi="標楷體"/>
                <w:b/>
              </w:rPr>
            </w:pPr>
            <w:r w:rsidRPr="004E7851">
              <w:rPr>
                <w:rFonts w:hAnsi="標楷體" w:hint="eastAsia"/>
                <w:b/>
                <w:lang w:eastAsia="zh-HK"/>
              </w:rPr>
              <w:t>資訊</w:t>
            </w:r>
            <w:r w:rsidRPr="004E7851">
              <w:rPr>
                <w:rFonts w:hAnsi="標楷體" w:hint="eastAsia"/>
                <w:b/>
              </w:rPr>
              <w:t>系統</w:t>
            </w:r>
            <w:r w:rsidRPr="004E7851">
              <w:rPr>
                <w:rFonts w:hAnsi="標楷體" w:hint="eastAsia"/>
                <w:b/>
                <w:lang w:eastAsia="zh-HK"/>
              </w:rPr>
              <w:t>名稱</w:t>
            </w:r>
          </w:p>
        </w:tc>
        <w:tc>
          <w:tcPr>
            <w:tcW w:w="1244" w:type="pct"/>
            <w:shd w:val="clear" w:color="auto" w:fill="EEECE1" w:themeFill="background2"/>
            <w:noWrap/>
            <w:vAlign w:val="center"/>
            <w:hideMark/>
          </w:tcPr>
          <w:p w:rsidR="00B55ECF" w:rsidRPr="004E7851" w:rsidRDefault="00B55ECF" w:rsidP="00557F9B">
            <w:pPr>
              <w:pStyle w:val="14"/>
              <w:jc w:val="left"/>
              <w:rPr>
                <w:rFonts w:hAnsi="標楷體"/>
                <w:b/>
              </w:rPr>
            </w:pPr>
            <w:r w:rsidRPr="004E7851">
              <w:rPr>
                <w:rFonts w:hAnsi="標楷體" w:hint="eastAsia"/>
                <w:b/>
                <w:lang w:eastAsia="zh-HK"/>
              </w:rPr>
              <w:t>主管</w:t>
            </w:r>
            <w:r w:rsidRPr="004E7851">
              <w:rPr>
                <w:rFonts w:hAnsi="標楷體" w:hint="eastAsia"/>
                <w:b/>
              </w:rPr>
              <w:t>機關</w:t>
            </w:r>
          </w:p>
        </w:tc>
      </w:tr>
      <w:tr w:rsidR="00771D6C" w:rsidRPr="004E7851" w:rsidTr="00557F9B">
        <w:trPr>
          <w:trHeight w:val="20"/>
        </w:trPr>
        <w:tc>
          <w:tcPr>
            <w:tcW w:w="1281" w:type="pct"/>
            <w:vMerge w:val="restart"/>
            <w:shd w:val="clear" w:color="auto" w:fill="auto"/>
            <w:noWrap/>
            <w:vAlign w:val="center"/>
          </w:tcPr>
          <w:p w:rsidR="00B55ECF" w:rsidRPr="004E7851" w:rsidRDefault="00B55ECF" w:rsidP="00557F9B">
            <w:pPr>
              <w:pStyle w:val="14"/>
              <w:rPr>
                <w:rFonts w:hAnsi="標楷體"/>
              </w:rPr>
            </w:pPr>
            <w:r w:rsidRPr="004E7851">
              <w:rPr>
                <w:rFonts w:hAnsi="標楷體" w:hint="eastAsia"/>
              </w:rPr>
              <w:t>一般化學物質</w:t>
            </w:r>
          </w:p>
        </w:tc>
        <w:tc>
          <w:tcPr>
            <w:tcW w:w="2475" w:type="pct"/>
            <w:shd w:val="clear" w:color="auto" w:fill="auto"/>
            <w:noWrap/>
            <w:vAlign w:val="center"/>
          </w:tcPr>
          <w:p w:rsidR="00B55ECF" w:rsidRPr="004E7851" w:rsidRDefault="00B55ECF" w:rsidP="00557F9B">
            <w:pPr>
              <w:pStyle w:val="14"/>
              <w:rPr>
                <w:rFonts w:hAnsi="標楷體"/>
              </w:rPr>
            </w:pPr>
            <w:r w:rsidRPr="004E7851">
              <w:rPr>
                <w:rFonts w:hAnsi="標楷體" w:hint="eastAsia"/>
              </w:rPr>
              <w:t>土壤及地下水污染整治費網路申報及查詢系統</w:t>
            </w:r>
          </w:p>
        </w:tc>
        <w:tc>
          <w:tcPr>
            <w:tcW w:w="1244" w:type="pct"/>
            <w:vMerge w:val="restart"/>
            <w:shd w:val="clear" w:color="auto" w:fill="auto"/>
            <w:noWrap/>
            <w:vAlign w:val="center"/>
          </w:tcPr>
          <w:p w:rsidR="00B55ECF" w:rsidRPr="004E7851" w:rsidRDefault="00B55ECF" w:rsidP="00557F9B">
            <w:pPr>
              <w:pStyle w:val="14"/>
              <w:rPr>
                <w:rFonts w:hAnsi="標楷體"/>
              </w:rPr>
            </w:pPr>
            <w:r w:rsidRPr="004E7851">
              <w:rPr>
                <w:rFonts w:hAnsi="標楷體" w:hint="eastAsia"/>
              </w:rPr>
              <w:t>環保署</w:t>
            </w:r>
          </w:p>
        </w:tc>
      </w:tr>
      <w:tr w:rsidR="00771D6C" w:rsidRPr="004E7851" w:rsidTr="00557F9B">
        <w:trPr>
          <w:trHeight w:val="20"/>
        </w:trPr>
        <w:tc>
          <w:tcPr>
            <w:tcW w:w="1281" w:type="pct"/>
            <w:vMerge/>
            <w:shd w:val="clear" w:color="auto" w:fill="auto"/>
            <w:noWrap/>
            <w:vAlign w:val="center"/>
          </w:tcPr>
          <w:p w:rsidR="00B55ECF" w:rsidRPr="004E7851" w:rsidRDefault="00B55ECF" w:rsidP="00557F9B">
            <w:pPr>
              <w:pStyle w:val="14"/>
              <w:rPr>
                <w:rFonts w:hAnsi="標楷體"/>
              </w:rPr>
            </w:pPr>
          </w:p>
        </w:tc>
        <w:tc>
          <w:tcPr>
            <w:tcW w:w="2475" w:type="pct"/>
            <w:shd w:val="clear" w:color="auto" w:fill="auto"/>
            <w:noWrap/>
            <w:vAlign w:val="center"/>
          </w:tcPr>
          <w:p w:rsidR="00B55ECF" w:rsidRPr="004E7851" w:rsidRDefault="00B55ECF" w:rsidP="00557F9B">
            <w:pPr>
              <w:pStyle w:val="14"/>
              <w:rPr>
                <w:rFonts w:hAnsi="標楷體"/>
              </w:rPr>
            </w:pPr>
            <w:r w:rsidRPr="004E7851">
              <w:rPr>
                <w:rFonts w:hAnsi="標楷體" w:hint="eastAsia"/>
              </w:rPr>
              <w:t>土壤及地下水資訊管理系統</w:t>
            </w:r>
          </w:p>
        </w:tc>
        <w:tc>
          <w:tcPr>
            <w:tcW w:w="1244" w:type="pct"/>
            <w:vMerge/>
            <w:shd w:val="clear" w:color="auto" w:fill="auto"/>
            <w:noWrap/>
            <w:vAlign w:val="center"/>
          </w:tcPr>
          <w:p w:rsidR="00B55ECF" w:rsidRPr="004E7851" w:rsidRDefault="00B55ECF" w:rsidP="00557F9B">
            <w:pPr>
              <w:pStyle w:val="14"/>
              <w:rPr>
                <w:rFonts w:hAnsi="標楷體"/>
              </w:rPr>
            </w:pPr>
          </w:p>
        </w:tc>
      </w:tr>
      <w:tr w:rsidR="00771D6C" w:rsidRPr="004E7851" w:rsidTr="00557F9B">
        <w:trPr>
          <w:trHeight w:val="20"/>
        </w:trPr>
        <w:tc>
          <w:tcPr>
            <w:tcW w:w="1281" w:type="pct"/>
            <w:vMerge/>
            <w:shd w:val="clear" w:color="auto" w:fill="auto"/>
            <w:noWrap/>
            <w:vAlign w:val="center"/>
          </w:tcPr>
          <w:p w:rsidR="00B55ECF" w:rsidRPr="004E7851" w:rsidRDefault="00B55ECF" w:rsidP="00557F9B">
            <w:pPr>
              <w:pStyle w:val="14"/>
              <w:rPr>
                <w:rFonts w:hAnsi="標楷體"/>
              </w:rPr>
            </w:pPr>
          </w:p>
        </w:tc>
        <w:tc>
          <w:tcPr>
            <w:tcW w:w="2475" w:type="pct"/>
            <w:shd w:val="clear" w:color="auto" w:fill="auto"/>
            <w:noWrap/>
            <w:vAlign w:val="center"/>
          </w:tcPr>
          <w:p w:rsidR="00B55ECF" w:rsidRPr="004E7851" w:rsidRDefault="00B55ECF" w:rsidP="00557F9B">
            <w:pPr>
              <w:pStyle w:val="14"/>
              <w:rPr>
                <w:rFonts w:hAnsi="標楷體"/>
              </w:rPr>
            </w:pPr>
            <w:r w:rsidRPr="004E7851">
              <w:rPr>
                <w:rFonts w:hAnsi="標楷體" w:hint="eastAsia"/>
              </w:rPr>
              <w:t>化學物質登錄平臺</w:t>
            </w:r>
          </w:p>
        </w:tc>
        <w:tc>
          <w:tcPr>
            <w:tcW w:w="1244" w:type="pct"/>
            <w:vMerge/>
            <w:shd w:val="clear" w:color="auto" w:fill="auto"/>
            <w:noWrap/>
            <w:vAlign w:val="center"/>
          </w:tcPr>
          <w:p w:rsidR="00B55ECF" w:rsidRPr="004E7851" w:rsidRDefault="00B55ECF" w:rsidP="00557F9B">
            <w:pPr>
              <w:pStyle w:val="14"/>
              <w:rPr>
                <w:rFonts w:hAnsi="標楷體"/>
              </w:rPr>
            </w:pPr>
          </w:p>
        </w:tc>
      </w:tr>
      <w:tr w:rsidR="00771D6C" w:rsidRPr="004E7851" w:rsidTr="00557F9B">
        <w:trPr>
          <w:trHeight w:val="20"/>
        </w:trPr>
        <w:tc>
          <w:tcPr>
            <w:tcW w:w="1281" w:type="pct"/>
            <w:vMerge/>
            <w:shd w:val="clear" w:color="auto" w:fill="auto"/>
            <w:noWrap/>
            <w:vAlign w:val="center"/>
          </w:tcPr>
          <w:p w:rsidR="00B55ECF" w:rsidRPr="004E7851" w:rsidRDefault="00B55ECF" w:rsidP="00557F9B">
            <w:pPr>
              <w:pStyle w:val="14"/>
              <w:rPr>
                <w:rFonts w:hAnsi="標楷體"/>
              </w:rPr>
            </w:pPr>
          </w:p>
        </w:tc>
        <w:tc>
          <w:tcPr>
            <w:tcW w:w="2475" w:type="pct"/>
            <w:shd w:val="clear" w:color="auto" w:fill="auto"/>
            <w:noWrap/>
            <w:vAlign w:val="center"/>
          </w:tcPr>
          <w:p w:rsidR="00B55ECF" w:rsidRPr="004E7851" w:rsidRDefault="00B55ECF" w:rsidP="00557F9B">
            <w:pPr>
              <w:pStyle w:val="14"/>
              <w:rPr>
                <w:rFonts w:hAnsi="標楷體"/>
              </w:rPr>
            </w:pPr>
            <w:r w:rsidRPr="004E7851">
              <w:rPr>
                <w:rFonts w:hAnsi="標楷體" w:hint="eastAsia"/>
              </w:rPr>
              <w:t>水污染源管制資料管理系統</w:t>
            </w:r>
          </w:p>
        </w:tc>
        <w:tc>
          <w:tcPr>
            <w:tcW w:w="1244" w:type="pct"/>
            <w:vMerge/>
            <w:shd w:val="clear" w:color="auto" w:fill="auto"/>
            <w:noWrap/>
            <w:vAlign w:val="center"/>
          </w:tcPr>
          <w:p w:rsidR="00B55ECF" w:rsidRPr="004E7851" w:rsidRDefault="00B55ECF" w:rsidP="00557F9B">
            <w:pPr>
              <w:pStyle w:val="14"/>
              <w:rPr>
                <w:rFonts w:hAnsi="標楷體"/>
              </w:rPr>
            </w:pPr>
          </w:p>
        </w:tc>
      </w:tr>
      <w:tr w:rsidR="00771D6C" w:rsidRPr="004E7851" w:rsidTr="00557F9B">
        <w:trPr>
          <w:trHeight w:val="20"/>
        </w:trPr>
        <w:tc>
          <w:tcPr>
            <w:tcW w:w="1281" w:type="pct"/>
            <w:vMerge/>
            <w:shd w:val="clear" w:color="auto" w:fill="auto"/>
            <w:noWrap/>
            <w:vAlign w:val="center"/>
          </w:tcPr>
          <w:p w:rsidR="00B55ECF" w:rsidRPr="004E7851" w:rsidRDefault="00B55ECF" w:rsidP="00557F9B">
            <w:pPr>
              <w:pStyle w:val="14"/>
              <w:rPr>
                <w:rFonts w:hAnsi="標楷體"/>
              </w:rPr>
            </w:pPr>
          </w:p>
        </w:tc>
        <w:tc>
          <w:tcPr>
            <w:tcW w:w="2475" w:type="pct"/>
            <w:shd w:val="clear" w:color="auto" w:fill="auto"/>
            <w:noWrap/>
            <w:vAlign w:val="center"/>
          </w:tcPr>
          <w:p w:rsidR="00B55ECF" w:rsidRPr="004E7851" w:rsidRDefault="00B55ECF" w:rsidP="00557F9B">
            <w:pPr>
              <w:pStyle w:val="14"/>
              <w:rPr>
                <w:rFonts w:hAnsi="標楷體"/>
              </w:rPr>
            </w:pPr>
            <w:r w:rsidRPr="004E7851">
              <w:rPr>
                <w:rFonts w:hAnsi="標楷體" w:hint="eastAsia"/>
              </w:rPr>
              <w:t>事業廢棄物申報及管理資訊系統</w:t>
            </w:r>
          </w:p>
        </w:tc>
        <w:tc>
          <w:tcPr>
            <w:tcW w:w="1244" w:type="pct"/>
            <w:vMerge/>
            <w:shd w:val="clear" w:color="auto" w:fill="auto"/>
            <w:noWrap/>
            <w:vAlign w:val="center"/>
          </w:tcPr>
          <w:p w:rsidR="00B55ECF" w:rsidRPr="004E7851" w:rsidRDefault="00B55ECF" w:rsidP="00557F9B">
            <w:pPr>
              <w:pStyle w:val="14"/>
              <w:rPr>
                <w:rFonts w:hAnsi="標楷體"/>
              </w:rPr>
            </w:pPr>
          </w:p>
        </w:tc>
      </w:tr>
      <w:tr w:rsidR="00771D6C" w:rsidRPr="004E7851" w:rsidTr="00557F9B">
        <w:trPr>
          <w:trHeight w:val="20"/>
        </w:trPr>
        <w:tc>
          <w:tcPr>
            <w:tcW w:w="1281" w:type="pct"/>
            <w:vMerge/>
            <w:shd w:val="clear" w:color="auto" w:fill="auto"/>
            <w:noWrap/>
            <w:vAlign w:val="center"/>
          </w:tcPr>
          <w:p w:rsidR="00B55ECF" w:rsidRPr="004E7851" w:rsidRDefault="00B55ECF" w:rsidP="00557F9B">
            <w:pPr>
              <w:pStyle w:val="14"/>
              <w:rPr>
                <w:rFonts w:hAnsi="標楷體"/>
              </w:rPr>
            </w:pPr>
          </w:p>
        </w:tc>
        <w:tc>
          <w:tcPr>
            <w:tcW w:w="2475" w:type="pct"/>
            <w:shd w:val="clear" w:color="auto" w:fill="auto"/>
            <w:noWrap/>
            <w:vAlign w:val="center"/>
          </w:tcPr>
          <w:p w:rsidR="00B55ECF" w:rsidRPr="004E7851" w:rsidRDefault="00B55ECF" w:rsidP="00557F9B">
            <w:pPr>
              <w:pStyle w:val="14"/>
              <w:rPr>
                <w:rFonts w:hAnsi="標楷體"/>
              </w:rPr>
            </w:pPr>
            <w:r w:rsidRPr="004E7851">
              <w:rPr>
                <w:rFonts w:hAnsi="標楷體" w:hint="eastAsia"/>
              </w:rPr>
              <w:t>固定空氣污染源管理資訊系統</w:t>
            </w:r>
          </w:p>
        </w:tc>
        <w:tc>
          <w:tcPr>
            <w:tcW w:w="1244" w:type="pct"/>
            <w:vMerge/>
            <w:shd w:val="clear" w:color="auto" w:fill="auto"/>
            <w:noWrap/>
            <w:vAlign w:val="center"/>
          </w:tcPr>
          <w:p w:rsidR="00B55ECF" w:rsidRPr="004E7851" w:rsidRDefault="00B55ECF" w:rsidP="00557F9B">
            <w:pPr>
              <w:pStyle w:val="14"/>
              <w:rPr>
                <w:rFonts w:hAnsi="標楷體"/>
              </w:rPr>
            </w:pPr>
          </w:p>
        </w:tc>
      </w:tr>
      <w:tr w:rsidR="00771D6C" w:rsidRPr="004E7851" w:rsidTr="00557F9B">
        <w:trPr>
          <w:trHeight w:val="20"/>
        </w:trPr>
        <w:tc>
          <w:tcPr>
            <w:tcW w:w="1281" w:type="pct"/>
            <w:vMerge/>
            <w:shd w:val="clear" w:color="auto" w:fill="auto"/>
            <w:noWrap/>
            <w:vAlign w:val="center"/>
          </w:tcPr>
          <w:p w:rsidR="00B55ECF" w:rsidRPr="004E7851" w:rsidRDefault="00B55ECF" w:rsidP="00557F9B">
            <w:pPr>
              <w:pStyle w:val="14"/>
              <w:rPr>
                <w:rFonts w:hAnsi="標楷體"/>
              </w:rPr>
            </w:pPr>
          </w:p>
        </w:tc>
        <w:tc>
          <w:tcPr>
            <w:tcW w:w="2475" w:type="pc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關港貿單一窗口</w:t>
            </w:r>
          </w:p>
        </w:tc>
        <w:tc>
          <w:tcPr>
            <w:tcW w:w="1244" w:type="pc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財政部</w:t>
            </w:r>
          </w:p>
        </w:tc>
      </w:tr>
      <w:tr w:rsidR="00771D6C" w:rsidRPr="004E7851" w:rsidTr="00557F9B">
        <w:trPr>
          <w:trHeight w:val="20"/>
        </w:trPr>
        <w:tc>
          <w:tcPr>
            <w:tcW w:w="1281" w:type="pct"/>
            <w:vMerge/>
            <w:shd w:val="clear" w:color="auto" w:fill="auto"/>
            <w:noWrap/>
            <w:vAlign w:val="center"/>
          </w:tcPr>
          <w:p w:rsidR="00B55ECF" w:rsidRPr="004E7851" w:rsidRDefault="00B55ECF" w:rsidP="00557F9B">
            <w:pPr>
              <w:pStyle w:val="14"/>
              <w:rPr>
                <w:rFonts w:hAnsi="標楷體"/>
              </w:rPr>
            </w:pPr>
          </w:p>
        </w:tc>
        <w:tc>
          <w:tcPr>
            <w:tcW w:w="2475" w:type="pct"/>
            <w:shd w:val="clear" w:color="auto" w:fill="auto"/>
            <w:noWrap/>
            <w:vAlign w:val="center"/>
          </w:tcPr>
          <w:p w:rsidR="00B55ECF" w:rsidRPr="004E7851" w:rsidRDefault="00B55ECF" w:rsidP="00557F9B">
            <w:pPr>
              <w:pStyle w:val="14"/>
              <w:rPr>
                <w:rFonts w:hAnsi="標楷體"/>
              </w:rPr>
            </w:pPr>
            <w:r w:rsidRPr="004E7851">
              <w:rPr>
                <w:rFonts w:hAnsi="標楷體" w:hint="eastAsia"/>
              </w:rPr>
              <w:t>飲用水水質處理藥劑管理系統</w:t>
            </w:r>
          </w:p>
        </w:tc>
        <w:tc>
          <w:tcPr>
            <w:tcW w:w="1244" w:type="pct"/>
            <w:shd w:val="clear" w:color="auto" w:fill="auto"/>
            <w:noWrap/>
            <w:vAlign w:val="center"/>
          </w:tcPr>
          <w:p w:rsidR="00B55ECF" w:rsidRPr="004E7851" w:rsidRDefault="00B55ECF" w:rsidP="00557F9B">
            <w:pPr>
              <w:pStyle w:val="14"/>
              <w:rPr>
                <w:rFonts w:hAnsi="標楷體"/>
              </w:rPr>
            </w:pPr>
            <w:r w:rsidRPr="004E7851">
              <w:rPr>
                <w:rFonts w:hAnsi="標楷體" w:hint="eastAsia"/>
              </w:rPr>
              <w:t>台水公司、</w:t>
            </w:r>
            <w:r w:rsidRPr="004E7851">
              <w:rPr>
                <w:rFonts w:hAnsi="標楷體" w:hint="eastAsia"/>
                <w:lang w:eastAsia="zh-HK"/>
              </w:rPr>
              <w:t>北水處</w:t>
            </w:r>
            <w:r w:rsidRPr="004E7851">
              <w:rPr>
                <w:rFonts w:hAnsi="標楷體" w:hint="eastAsia"/>
              </w:rPr>
              <w:t>、金門</w:t>
            </w:r>
            <w:r w:rsidRPr="004E7851">
              <w:rPr>
                <w:rFonts w:hAnsi="標楷體" w:hint="eastAsia"/>
                <w:lang w:eastAsia="zh-HK"/>
              </w:rPr>
              <w:t>縣</w:t>
            </w:r>
            <w:r w:rsidRPr="004E7851">
              <w:rPr>
                <w:rFonts w:hAnsi="標楷體" w:hint="eastAsia"/>
              </w:rPr>
              <w:t>自來水廠、連江</w:t>
            </w:r>
            <w:r w:rsidRPr="004E7851">
              <w:rPr>
                <w:rFonts w:hAnsi="標楷體" w:hint="eastAsia"/>
                <w:lang w:eastAsia="zh-HK"/>
              </w:rPr>
              <w:t>縣</w:t>
            </w:r>
            <w:r w:rsidRPr="004E7851">
              <w:rPr>
                <w:rFonts w:hAnsi="標楷體" w:hint="eastAsia"/>
              </w:rPr>
              <w:t>自來水廠</w:t>
            </w:r>
          </w:p>
        </w:tc>
      </w:tr>
      <w:tr w:rsidR="00771D6C" w:rsidRPr="004E7851" w:rsidTr="00557F9B">
        <w:trPr>
          <w:trHeight w:val="20"/>
        </w:trPr>
        <w:tc>
          <w:tcPr>
            <w:tcW w:w="1281"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先驅化學物質</w:t>
            </w:r>
          </w:p>
        </w:tc>
        <w:tc>
          <w:tcPr>
            <w:tcW w:w="2475"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先驅化學品工業原料資訊</w:t>
            </w:r>
          </w:p>
        </w:tc>
        <w:tc>
          <w:tcPr>
            <w:tcW w:w="1244"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經濟部</w:t>
            </w:r>
          </w:p>
        </w:tc>
      </w:tr>
      <w:tr w:rsidR="00771D6C" w:rsidRPr="004E7851" w:rsidTr="00557F9B">
        <w:trPr>
          <w:trHeight w:val="20"/>
        </w:trPr>
        <w:tc>
          <w:tcPr>
            <w:tcW w:w="1281" w:type="pc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危害物質</w:t>
            </w:r>
          </w:p>
          <w:p w:rsidR="00B55ECF" w:rsidRPr="004E7851" w:rsidRDefault="00B55ECF" w:rsidP="00557F9B">
            <w:pPr>
              <w:pStyle w:val="14"/>
              <w:rPr>
                <w:rFonts w:hAnsi="標楷體"/>
              </w:rPr>
            </w:pPr>
            <w:r w:rsidRPr="004E7851">
              <w:rPr>
                <w:rFonts w:hAnsi="標楷體" w:hint="eastAsia"/>
              </w:rPr>
              <w:t>(</w:t>
            </w:r>
            <w:r w:rsidRPr="004E7851">
              <w:rPr>
                <w:rFonts w:hAnsi="標楷體" w:hint="eastAsia"/>
                <w:lang w:eastAsia="zh-HK"/>
              </w:rPr>
              <w:t>如</w:t>
            </w:r>
            <w:r w:rsidRPr="004E7851">
              <w:rPr>
                <w:rFonts w:hAnsi="標楷體" w:hint="eastAsia"/>
              </w:rPr>
              <w:t>優先管理化學品、管制性化學品)</w:t>
            </w:r>
          </w:p>
        </w:tc>
        <w:tc>
          <w:tcPr>
            <w:tcW w:w="2475" w:type="pc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化學品報備與許可平臺</w:t>
            </w:r>
          </w:p>
        </w:tc>
        <w:tc>
          <w:tcPr>
            <w:tcW w:w="1244" w:type="pc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勞動部</w:t>
            </w:r>
          </w:p>
        </w:tc>
      </w:tr>
      <w:tr w:rsidR="00771D6C" w:rsidRPr="004E7851" w:rsidTr="00557F9B">
        <w:trPr>
          <w:trHeight w:val="20"/>
        </w:trPr>
        <w:tc>
          <w:tcPr>
            <w:tcW w:w="1281" w:type="pct"/>
            <w:vMerge w:val="restar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危險物質</w:t>
            </w:r>
          </w:p>
        </w:tc>
        <w:tc>
          <w:tcPr>
            <w:tcW w:w="2475"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工廠危險物品申報網</w:t>
            </w:r>
          </w:p>
        </w:tc>
        <w:tc>
          <w:tcPr>
            <w:tcW w:w="1244" w:type="pct"/>
            <w:vMerge w:val="restar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經濟部</w:t>
            </w:r>
          </w:p>
        </w:tc>
      </w:tr>
      <w:tr w:rsidR="00771D6C" w:rsidRPr="004E7851" w:rsidTr="00557F9B">
        <w:trPr>
          <w:trHeight w:val="20"/>
        </w:trPr>
        <w:tc>
          <w:tcPr>
            <w:tcW w:w="1281" w:type="pct"/>
            <w:vMerge/>
            <w:shd w:val="clear" w:color="auto" w:fill="EAF1DD" w:themeFill="accent3" w:themeFillTint="33"/>
            <w:noWrap/>
            <w:vAlign w:val="center"/>
          </w:tcPr>
          <w:p w:rsidR="00B55ECF" w:rsidRPr="004E7851" w:rsidRDefault="00B55ECF" w:rsidP="00557F9B">
            <w:pPr>
              <w:pStyle w:val="14"/>
              <w:rPr>
                <w:rFonts w:hAnsi="標楷體"/>
              </w:rPr>
            </w:pPr>
          </w:p>
        </w:tc>
        <w:tc>
          <w:tcPr>
            <w:tcW w:w="2475"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事業用爆炸物e網服務系統</w:t>
            </w:r>
          </w:p>
        </w:tc>
        <w:tc>
          <w:tcPr>
            <w:tcW w:w="1244" w:type="pct"/>
            <w:vMerge/>
            <w:shd w:val="clear" w:color="auto" w:fill="EAF1DD" w:themeFill="accent3" w:themeFillTint="33"/>
            <w:noWrap/>
            <w:vAlign w:val="center"/>
            <w:hideMark/>
          </w:tcPr>
          <w:p w:rsidR="00B55ECF" w:rsidRPr="004E7851" w:rsidRDefault="00B55ECF" w:rsidP="00557F9B">
            <w:pPr>
              <w:pStyle w:val="14"/>
              <w:rPr>
                <w:rFonts w:hAnsi="標楷體"/>
              </w:rPr>
            </w:pPr>
          </w:p>
        </w:tc>
      </w:tr>
      <w:tr w:rsidR="00771D6C" w:rsidRPr="004E7851" w:rsidTr="00557F9B">
        <w:trPr>
          <w:trHeight w:val="20"/>
        </w:trPr>
        <w:tc>
          <w:tcPr>
            <w:tcW w:w="1281" w:type="pct"/>
            <w:vMerge/>
            <w:shd w:val="clear" w:color="auto" w:fill="EAF1DD" w:themeFill="accent3" w:themeFillTint="33"/>
            <w:noWrap/>
            <w:vAlign w:val="center"/>
          </w:tcPr>
          <w:p w:rsidR="00B55ECF" w:rsidRPr="004E7851" w:rsidRDefault="00B55ECF" w:rsidP="00557F9B">
            <w:pPr>
              <w:pStyle w:val="14"/>
              <w:rPr>
                <w:rFonts w:hAnsi="標楷體"/>
              </w:rPr>
            </w:pPr>
          </w:p>
        </w:tc>
        <w:tc>
          <w:tcPr>
            <w:tcW w:w="2475" w:type="pc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危險物品臨時通行證系統</w:t>
            </w:r>
          </w:p>
        </w:tc>
        <w:tc>
          <w:tcPr>
            <w:tcW w:w="1244" w:type="pct"/>
            <w:vMerge w:val="restar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交通部</w:t>
            </w:r>
          </w:p>
        </w:tc>
      </w:tr>
      <w:tr w:rsidR="00771D6C" w:rsidRPr="004E7851" w:rsidTr="00557F9B">
        <w:trPr>
          <w:trHeight w:val="20"/>
        </w:trPr>
        <w:tc>
          <w:tcPr>
            <w:tcW w:w="1281" w:type="pct"/>
            <w:vMerge/>
            <w:shd w:val="clear" w:color="auto" w:fill="EAF1DD" w:themeFill="accent3" w:themeFillTint="33"/>
            <w:noWrap/>
            <w:vAlign w:val="center"/>
          </w:tcPr>
          <w:p w:rsidR="00B55ECF" w:rsidRPr="004E7851" w:rsidRDefault="00B55ECF" w:rsidP="00557F9B">
            <w:pPr>
              <w:pStyle w:val="14"/>
              <w:rPr>
                <w:rFonts w:hAnsi="標楷體"/>
              </w:rPr>
            </w:pPr>
          </w:p>
        </w:tc>
        <w:tc>
          <w:tcPr>
            <w:tcW w:w="2475" w:type="pc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危險品申報系統</w:t>
            </w:r>
          </w:p>
        </w:tc>
        <w:tc>
          <w:tcPr>
            <w:tcW w:w="1244" w:type="pct"/>
            <w:vMerge/>
            <w:shd w:val="clear" w:color="auto" w:fill="EAF1DD" w:themeFill="accent3" w:themeFillTint="33"/>
            <w:noWrap/>
            <w:vAlign w:val="center"/>
          </w:tcPr>
          <w:p w:rsidR="00B55ECF" w:rsidRPr="004E7851" w:rsidRDefault="00B55ECF" w:rsidP="00557F9B">
            <w:pPr>
              <w:pStyle w:val="14"/>
              <w:rPr>
                <w:rFonts w:hAnsi="標楷體"/>
              </w:rPr>
            </w:pPr>
          </w:p>
        </w:tc>
      </w:tr>
      <w:tr w:rsidR="00771D6C" w:rsidRPr="004E7851" w:rsidTr="00557F9B">
        <w:trPr>
          <w:trHeight w:val="20"/>
        </w:trPr>
        <w:tc>
          <w:tcPr>
            <w:tcW w:w="1281" w:type="pct"/>
            <w:vMerge/>
            <w:shd w:val="clear" w:color="auto" w:fill="EAF1DD" w:themeFill="accent3" w:themeFillTint="33"/>
            <w:noWrap/>
            <w:vAlign w:val="center"/>
          </w:tcPr>
          <w:p w:rsidR="00B55ECF" w:rsidRPr="004E7851" w:rsidRDefault="00B55ECF" w:rsidP="00557F9B">
            <w:pPr>
              <w:pStyle w:val="14"/>
              <w:rPr>
                <w:rFonts w:hAnsi="標楷體"/>
              </w:rPr>
            </w:pPr>
          </w:p>
        </w:tc>
        <w:tc>
          <w:tcPr>
            <w:tcW w:w="2475"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消防安全檢查列管系統</w:t>
            </w:r>
          </w:p>
        </w:tc>
        <w:tc>
          <w:tcPr>
            <w:tcW w:w="1244"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內政部、臺北市、新</w:t>
            </w:r>
            <w:r w:rsidRPr="004E7851">
              <w:rPr>
                <w:rFonts w:hAnsi="標楷體" w:hint="eastAsia"/>
              </w:rPr>
              <w:lastRenderedPageBreak/>
              <w:t>北市、桃園市</w:t>
            </w:r>
            <w:r w:rsidRPr="004E7851">
              <w:rPr>
                <w:rFonts w:hAnsi="標楷體" w:hint="eastAsia"/>
                <w:lang w:eastAsia="zh-HK"/>
              </w:rPr>
              <w:t>及</w:t>
            </w:r>
            <w:r w:rsidRPr="004E7851">
              <w:rPr>
                <w:rFonts w:hAnsi="標楷體" w:hint="eastAsia"/>
              </w:rPr>
              <w:t>臺中市</w:t>
            </w:r>
          </w:p>
        </w:tc>
      </w:tr>
      <w:tr w:rsidR="00771D6C" w:rsidRPr="004E7851" w:rsidTr="00557F9B">
        <w:trPr>
          <w:trHeight w:val="20"/>
        </w:trPr>
        <w:tc>
          <w:tcPr>
            <w:tcW w:w="1281" w:type="pc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lastRenderedPageBreak/>
              <w:t>毒性化學物質</w:t>
            </w:r>
          </w:p>
        </w:tc>
        <w:tc>
          <w:tcPr>
            <w:tcW w:w="2475" w:type="pc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毒性化學物質許可管理系統</w:t>
            </w:r>
          </w:p>
        </w:tc>
        <w:tc>
          <w:tcPr>
            <w:tcW w:w="1244" w:type="pc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環保署</w:t>
            </w:r>
          </w:p>
        </w:tc>
      </w:tr>
      <w:tr w:rsidR="00771D6C" w:rsidRPr="004E7851" w:rsidTr="00557F9B">
        <w:trPr>
          <w:trHeight w:val="20"/>
        </w:trPr>
        <w:tc>
          <w:tcPr>
            <w:tcW w:w="1281" w:type="pct"/>
            <w:vMerge w:val="restar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食品添加物或食品安全有虞物質</w:t>
            </w:r>
          </w:p>
        </w:tc>
        <w:tc>
          <w:tcPr>
            <w:tcW w:w="2475" w:type="pc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食品追溯追蹤管理資訊系統</w:t>
            </w:r>
          </w:p>
        </w:tc>
        <w:tc>
          <w:tcPr>
            <w:tcW w:w="1244" w:type="pct"/>
            <w:vMerge w:val="restar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衛福部</w:t>
            </w:r>
          </w:p>
        </w:tc>
      </w:tr>
      <w:tr w:rsidR="00771D6C" w:rsidRPr="004E7851" w:rsidTr="00557F9B">
        <w:trPr>
          <w:trHeight w:val="20"/>
        </w:trPr>
        <w:tc>
          <w:tcPr>
            <w:tcW w:w="1281" w:type="pct"/>
            <w:vMerge/>
            <w:shd w:val="clear" w:color="auto" w:fill="EAF1DD" w:themeFill="accent3" w:themeFillTint="33"/>
            <w:noWrap/>
            <w:vAlign w:val="center"/>
          </w:tcPr>
          <w:p w:rsidR="00B55ECF" w:rsidRPr="004E7851" w:rsidRDefault="00B55ECF" w:rsidP="00557F9B">
            <w:pPr>
              <w:pStyle w:val="14"/>
              <w:rPr>
                <w:rFonts w:hAnsi="標楷體"/>
              </w:rPr>
            </w:pPr>
          </w:p>
        </w:tc>
        <w:tc>
          <w:tcPr>
            <w:tcW w:w="2475" w:type="pc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食品業者登錄平臺</w:t>
            </w:r>
          </w:p>
        </w:tc>
        <w:tc>
          <w:tcPr>
            <w:tcW w:w="1244" w:type="pct"/>
            <w:vMerge/>
            <w:shd w:val="clear" w:color="auto" w:fill="EAF1DD" w:themeFill="accent3" w:themeFillTint="33"/>
            <w:noWrap/>
            <w:vAlign w:val="center"/>
          </w:tcPr>
          <w:p w:rsidR="00B55ECF" w:rsidRPr="004E7851" w:rsidRDefault="00B55ECF" w:rsidP="00557F9B">
            <w:pPr>
              <w:pStyle w:val="14"/>
              <w:rPr>
                <w:rFonts w:hAnsi="標楷體"/>
              </w:rPr>
            </w:pPr>
          </w:p>
        </w:tc>
      </w:tr>
      <w:tr w:rsidR="00771D6C" w:rsidRPr="004E7851" w:rsidTr="00557F9B">
        <w:trPr>
          <w:trHeight w:val="20"/>
        </w:trPr>
        <w:tc>
          <w:tcPr>
            <w:tcW w:w="1281" w:type="pct"/>
            <w:vMerge/>
            <w:shd w:val="clear" w:color="auto" w:fill="EAF1DD" w:themeFill="accent3" w:themeFillTint="33"/>
            <w:noWrap/>
            <w:vAlign w:val="center"/>
          </w:tcPr>
          <w:p w:rsidR="00B55ECF" w:rsidRPr="004E7851" w:rsidRDefault="00B55ECF" w:rsidP="00557F9B">
            <w:pPr>
              <w:pStyle w:val="14"/>
              <w:rPr>
                <w:rFonts w:hAnsi="標楷體"/>
              </w:rPr>
            </w:pPr>
          </w:p>
        </w:tc>
        <w:tc>
          <w:tcPr>
            <w:tcW w:w="2475" w:type="pc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邊境查驗自動化管理資訊系統</w:t>
            </w:r>
          </w:p>
        </w:tc>
        <w:tc>
          <w:tcPr>
            <w:tcW w:w="1244" w:type="pct"/>
            <w:vMerge/>
            <w:shd w:val="clear" w:color="auto" w:fill="EAF1DD" w:themeFill="accent3" w:themeFillTint="33"/>
            <w:noWrap/>
            <w:vAlign w:val="center"/>
          </w:tcPr>
          <w:p w:rsidR="00B55ECF" w:rsidRPr="004E7851" w:rsidRDefault="00B55ECF" w:rsidP="00557F9B">
            <w:pPr>
              <w:pStyle w:val="14"/>
              <w:rPr>
                <w:rFonts w:hAnsi="標楷體"/>
              </w:rPr>
            </w:pPr>
          </w:p>
        </w:tc>
      </w:tr>
      <w:tr w:rsidR="00771D6C" w:rsidRPr="004E7851" w:rsidTr="00557F9B">
        <w:trPr>
          <w:trHeight w:val="20"/>
        </w:trPr>
        <w:tc>
          <w:tcPr>
            <w:tcW w:w="1281" w:type="pct"/>
            <w:vMerge/>
            <w:shd w:val="clear" w:color="auto" w:fill="EAF1DD" w:themeFill="accent3" w:themeFillTint="33"/>
            <w:noWrap/>
            <w:vAlign w:val="center"/>
          </w:tcPr>
          <w:p w:rsidR="00B55ECF" w:rsidRPr="004E7851" w:rsidRDefault="00B55ECF" w:rsidP="00557F9B">
            <w:pPr>
              <w:pStyle w:val="14"/>
              <w:rPr>
                <w:rFonts w:hAnsi="標楷體"/>
              </w:rPr>
            </w:pPr>
          </w:p>
        </w:tc>
        <w:tc>
          <w:tcPr>
            <w:tcW w:w="2475"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化學原料批發零售業自主登載資訊</w:t>
            </w:r>
          </w:p>
        </w:tc>
        <w:tc>
          <w:tcPr>
            <w:tcW w:w="1244" w:type="pct"/>
            <w:vMerge w:val="restar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經濟部</w:t>
            </w:r>
          </w:p>
        </w:tc>
      </w:tr>
      <w:tr w:rsidR="00771D6C" w:rsidRPr="004E7851" w:rsidTr="00557F9B">
        <w:trPr>
          <w:trHeight w:val="20"/>
        </w:trPr>
        <w:tc>
          <w:tcPr>
            <w:tcW w:w="1281" w:type="pct"/>
            <w:vMerge/>
            <w:shd w:val="clear" w:color="auto" w:fill="EAF1DD" w:themeFill="accent3" w:themeFillTint="33"/>
            <w:noWrap/>
            <w:vAlign w:val="center"/>
          </w:tcPr>
          <w:p w:rsidR="00B55ECF" w:rsidRPr="004E7851" w:rsidRDefault="00B55ECF" w:rsidP="00557F9B">
            <w:pPr>
              <w:pStyle w:val="14"/>
              <w:rPr>
                <w:rFonts w:hAnsi="標楷體"/>
              </w:rPr>
            </w:pPr>
          </w:p>
        </w:tc>
        <w:tc>
          <w:tcPr>
            <w:tcW w:w="2475"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生產選定化學物質工廠申報系統</w:t>
            </w:r>
          </w:p>
        </w:tc>
        <w:tc>
          <w:tcPr>
            <w:tcW w:w="1244" w:type="pct"/>
            <w:vMerge/>
            <w:shd w:val="clear" w:color="auto" w:fill="EAF1DD" w:themeFill="accent3" w:themeFillTint="33"/>
            <w:noWrap/>
            <w:vAlign w:val="center"/>
            <w:hideMark/>
          </w:tcPr>
          <w:p w:rsidR="00B55ECF" w:rsidRPr="004E7851" w:rsidRDefault="00B55ECF" w:rsidP="00557F9B">
            <w:pPr>
              <w:pStyle w:val="14"/>
              <w:rPr>
                <w:rFonts w:hAnsi="標楷體"/>
              </w:rPr>
            </w:pPr>
          </w:p>
        </w:tc>
      </w:tr>
      <w:tr w:rsidR="00771D6C" w:rsidRPr="004E7851" w:rsidTr="00557F9B">
        <w:trPr>
          <w:trHeight w:val="20"/>
        </w:trPr>
        <w:tc>
          <w:tcPr>
            <w:tcW w:w="1281" w:type="pct"/>
            <w:vMerge/>
            <w:shd w:val="clear" w:color="auto" w:fill="EAF1DD" w:themeFill="accent3" w:themeFillTint="33"/>
            <w:noWrap/>
            <w:vAlign w:val="center"/>
          </w:tcPr>
          <w:p w:rsidR="00B55ECF" w:rsidRPr="004E7851" w:rsidRDefault="00B55ECF" w:rsidP="00557F9B">
            <w:pPr>
              <w:pStyle w:val="14"/>
              <w:rPr>
                <w:rFonts w:hAnsi="標楷體"/>
              </w:rPr>
            </w:pPr>
          </w:p>
        </w:tc>
        <w:tc>
          <w:tcPr>
            <w:tcW w:w="2475" w:type="pc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菸酒業者資訊系統</w:t>
            </w:r>
          </w:p>
        </w:tc>
        <w:tc>
          <w:tcPr>
            <w:tcW w:w="1244" w:type="pc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財政部</w:t>
            </w:r>
          </w:p>
        </w:tc>
      </w:tr>
      <w:tr w:rsidR="00771D6C" w:rsidRPr="004E7851" w:rsidTr="00557F9B">
        <w:trPr>
          <w:trHeight w:val="20"/>
        </w:trPr>
        <w:tc>
          <w:tcPr>
            <w:tcW w:w="1281" w:type="pct"/>
            <w:vMerge w:val="restar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農藥</w:t>
            </w:r>
          </w:p>
        </w:tc>
        <w:tc>
          <w:tcPr>
            <w:tcW w:w="2475" w:type="pc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農藥安全資訊資料庫平臺</w:t>
            </w:r>
          </w:p>
        </w:tc>
        <w:tc>
          <w:tcPr>
            <w:tcW w:w="1244" w:type="pct"/>
            <w:vMerge w:val="restar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農委會</w:t>
            </w:r>
          </w:p>
        </w:tc>
      </w:tr>
      <w:tr w:rsidR="00771D6C" w:rsidRPr="004E7851" w:rsidTr="00557F9B">
        <w:trPr>
          <w:trHeight w:val="20"/>
        </w:trPr>
        <w:tc>
          <w:tcPr>
            <w:tcW w:w="1281" w:type="pct"/>
            <w:vMerge/>
            <w:shd w:val="clear" w:color="auto" w:fill="auto"/>
            <w:noWrap/>
            <w:vAlign w:val="center"/>
            <w:hideMark/>
          </w:tcPr>
          <w:p w:rsidR="00B55ECF" w:rsidRPr="004E7851" w:rsidRDefault="00B55ECF" w:rsidP="00557F9B">
            <w:pPr>
              <w:pStyle w:val="14"/>
              <w:rPr>
                <w:rFonts w:hAnsi="標楷體"/>
              </w:rPr>
            </w:pPr>
          </w:p>
        </w:tc>
        <w:tc>
          <w:tcPr>
            <w:tcW w:w="2475" w:type="pc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農藥登記管理系統</w:t>
            </w:r>
          </w:p>
        </w:tc>
        <w:tc>
          <w:tcPr>
            <w:tcW w:w="1244" w:type="pct"/>
            <w:vMerge/>
            <w:shd w:val="clear" w:color="auto" w:fill="auto"/>
            <w:noWrap/>
            <w:vAlign w:val="center"/>
            <w:hideMark/>
          </w:tcPr>
          <w:p w:rsidR="00B55ECF" w:rsidRPr="004E7851" w:rsidRDefault="00B55ECF" w:rsidP="00557F9B">
            <w:pPr>
              <w:pStyle w:val="14"/>
              <w:rPr>
                <w:rFonts w:hAnsi="標楷體"/>
              </w:rPr>
            </w:pPr>
          </w:p>
        </w:tc>
      </w:tr>
      <w:tr w:rsidR="00771D6C" w:rsidRPr="004E7851" w:rsidTr="00557F9B">
        <w:trPr>
          <w:trHeight w:val="20"/>
        </w:trPr>
        <w:tc>
          <w:tcPr>
            <w:tcW w:w="1281"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管制藥品</w:t>
            </w:r>
          </w:p>
        </w:tc>
        <w:tc>
          <w:tcPr>
            <w:tcW w:w="2475"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管制藥品管理資訊系統</w:t>
            </w:r>
          </w:p>
        </w:tc>
        <w:tc>
          <w:tcPr>
            <w:tcW w:w="1244"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衛福部</w:t>
            </w:r>
          </w:p>
        </w:tc>
      </w:tr>
      <w:tr w:rsidR="00771D6C" w:rsidRPr="004E7851" w:rsidTr="00557F9B">
        <w:trPr>
          <w:trHeight w:val="20"/>
        </w:trPr>
        <w:tc>
          <w:tcPr>
            <w:tcW w:w="1281" w:type="pc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環境用藥</w:t>
            </w:r>
          </w:p>
        </w:tc>
        <w:tc>
          <w:tcPr>
            <w:tcW w:w="2475" w:type="pc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環境用藥管理資訊系統</w:t>
            </w:r>
          </w:p>
        </w:tc>
        <w:tc>
          <w:tcPr>
            <w:tcW w:w="1244" w:type="pct"/>
            <w:shd w:val="clear" w:color="auto" w:fill="auto"/>
            <w:noWrap/>
            <w:vAlign w:val="center"/>
            <w:hideMark/>
          </w:tcPr>
          <w:p w:rsidR="00B55ECF" w:rsidRPr="004E7851" w:rsidRDefault="00B55ECF" w:rsidP="00557F9B">
            <w:pPr>
              <w:pStyle w:val="14"/>
              <w:rPr>
                <w:rFonts w:hAnsi="標楷體"/>
              </w:rPr>
            </w:pPr>
            <w:r w:rsidRPr="004E7851">
              <w:rPr>
                <w:rFonts w:hAnsi="標楷體" w:hint="eastAsia"/>
              </w:rPr>
              <w:t>環保署</w:t>
            </w:r>
          </w:p>
        </w:tc>
      </w:tr>
      <w:tr w:rsidR="00771D6C" w:rsidRPr="004E7851" w:rsidTr="00557F9B">
        <w:trPr>
          <w:trHeight w:val="20"/>
        </w:trPr>
        <w:tc>
          <w:tcPr>
            <w:tcW w:w="1281" w:type="pct"/>
            <w:vMerge w:val="restar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藥物、藥品、化粧品、菸品、飼料、肥料</w:t>
            </w:r>
          </w:p>
        </w:tc>
        <w:tc>
          <w:tcPr>
            <w:tcW w:w="2475" w:type="pc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化粧品產品登錄平臺系統</w:t>
            </w:r>
          </w:p>
        </w:tc>
        <w:tc>
          <w:tcPr>
            <w:tcW w:w="1244" w:type="pct"/>
            <w:vMerge w:val="restar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衛福部</w:t>
            </w:r>
          </w:p>
        </w:tc>
      </w:tr>
      <w:tr w:rsidR="00771D6C" w:rsidRPr="004E7851" w:rsidTr="00557F9B">
        <w:trPr>
          <w:trHeight w:val="20"/>
        </w:trPr>
        <w:tc>
          <w:tcPr>
            <w:tcW w:w="1281" w:type="pct"/>
            <w:vMerge/>
            <w:shd w:val="clear" w:color="auto" w:fill="EAF1DD" w:themeFill="accent3" w:themeFillTint="33"/>
            <w:noWrap/>
            <w:vAlign w:val="center"/>
          </w:tcPr>
          <w:p w:rsidR="00B55ECF" w:rsidRPr="004E7851" w:rsidRDefault="00B55ECF" w:rsidP="00557F9B">
            <w:pPr>
              <w:pStyle w:val="14"/>
              <w:rPr>
                <w:rFonts w:hAnsi="標楷體"/>
              </w:rPr>
            </w:pPr>
          </w:p>
        </w:tc>
        <w:tc>
          <w:tcPr>
            <w:tcW w:w="2475" w:type="pc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菸品資料申報系統</w:t>
            </w:r>
          </w:p>
        </w:tc>
        <w:tc>
          <w:tcPr>
            <w:tcW w:w="1244" w:type="pct"/>
            <w:vMerge/>
            <w:shd w:val="clear" w:color="auto" w:fill="EAF1DD" w:themeFill="accent3" w:themeFillTint="33"/>
            <w:noWrap/>
            <w:vAlign w:val="center"/>
          </w:tcPr>
          <w:p w:rsidR="00B55ECF" w:rsidRPr="004E7851" w:rsidRDefault="00B55ECF" w:rsidP="00557F9B">
            <w:pPr>
              <w:pStyle w:val="14"/>
              <w:rPr>
                <w:rFonts w:hAnsi="標楷體"/>
              </w:rPr>
            </w:pPr>
          </w:p>
        </w:tc>
      </w:tr>
      <w:tr w:rsidR="00771D6C" w:rsidRPr="004E7851" w:rsidTr="00557F9B">
        <w:trPr>
          <w:trHeight w:val="20"/>
        </w:trPr>
        <w:tc>
          <w:tcPr>
            <w:tcW w:w="1281" w:type="pct"/>
            <w:vMerge/>
            <w:shd w:val="clear" w:color="auto" w:fill="EAF1DD" w:themeFill="accent3" w:themeFillTint="33"/>
            <w:noWrap/>
            <w:vAlign w:val="center"/>
          </w:tcPr>
          <w:p w:rsidR="00B55ECF" w:rsidRPr="004E7851" w:rsidRDefault="00B55ECF" w:rsidP="00557F9B">
            <w:pPr>
              <w:pStyle w:val="14"/>
              <w:rPr>
                <w:rFonts w:hAnsi="標楷體"/>
              </w:rPr>
            </w:pPr>
          </w:p>
        </w:tc>
        <w:tc>
          <w:tcPr>
            <w:tcW w:w="2475" w:type="pct"/>
            <w:shd w:val="clear" w:color="auto" w:fill="EAF1DD" w:themeFill="accent3" w:themeFillTint="33"/>
            <w:noWrap/>
            <w:vAlign w:val="center"/>
          </w:tcPr>
          <w:p w:rsidR="00B55ECF" w:rsidRPr="004E7851" w:rsidRDefault="00B55ECF" w:rsidP="00557F9B">
            <w:pPr>
              <w:pStyle w:val="14"/>
              <w:rPr>
                <w:rFonts w:hAnsi="標楷體"/>
              </w:rPr>
            </w:pPr>
            <w:r w:rsidRPr="004E7851">
              <w:rPr>
                <w:rFonts w:hAnsi="標楷體" w:hint="eastAsia"/>
              </w:rPr>
              <w:t>藥證業務資訊</w:t>
            </w:r>
          </w:p>
        </w:tc>
        <w:tc>
          <w:tcPr>
            <w:tcW w:w="1244" w:type="pct"/>
            <w:vMerge/>
            <w:shd w:val="clear" w:color="auto" w:fill="EAF1DD" w:themeFill="accent3" w:themeFillTint="33"/>
            <w:noWrap/>
            <w:vAlign w:val="center"/>
          </w:tcPr>
          <w:p w:rsidR="00B55ECF" w:rsidRPr="004E7851" w:rsidRDefault="00B55ECF" w:rsidP="00557F9B">
            <w:pPr>
              <w:pStyle w:val="14"/>
              <w:rPr>
                <w:rFonts w:hAnsi="標楷體"/>
              </w:rPr>
            </w:pPr>
          </w:p>
        </w:tc>
      </w:tr>
      <w:tr w:rsidR="00771D6C" w:rsidRPr="004E7851" w:rsidTr="00557F9B">
        <w:trPr>
          <w:trHeight w:val="20"/>
        </w:trPr>
        <w:tc>
          <w:tcPr>
            <w:tcW w:w="1281" w:type="pct"/>
            <w:vMerge/>
            <w:shd w:val="clear" w:color="auto" w:fill="EAF1DD" w:themeFill="accent3" w:themeFillTint="33"/>
            <w:noWrap/>
            <w:vAlign w:val="center"/>
            <w:hideMark/>
          </w:tcPr>
          <w:p w:rsidR="00B55ECF" w:rsidRPr="004E7851" w:rsidRDefault="00B55ECF" w:rsidP="00557F9B">
            <w:pPr>
              <w:pStyle w:val="14"/>
              <w:rPr>
                <w:rFonts w:hAnsi="標楷體"/>
              </w:rPr>
            </w:pPr>
          </w:p>
        </w:tc>
        <w:tc>
          <w:tcPr>
            <w:tcW w:w="2475"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肥料管理系統</w:t>
            </w:r>
          </w:p>
        </w:tc>
        <w:tc>
          <w:tcPr>
            <w:tcW w:w="1244" w:type="pct"/>
            <w:vMerge w:val="restar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農委會</w:t>
            </w:r>
          </w:p>
        </w:tc>
      </w:tr>
      <w:tr w:rsidR="00771D6C" w:rsidRPr="004E7851" w:rsidTr="00557F9B">
        <w:trPr>
          <w:trHeight w:val="20"/>
        </w:trPr>
        <w:tc>
          <w:tcPr>
            <w:tcW w:w="1281" w:type="pct"/>
            <w:vMerge/>
            <w:shd w:val="clear" w:color="auto" w:fill="EAF1DD" w:themeFill="accent3" w:themeFillTint="33"/>
            <w:noWrap/>
            <w:vAlign w:val="center"/>
          </w:tcPr>
          <w:p w:rsidR="00B55ECF" w:rsidRPr="004E7851" w:rsidRDefault="00B55ECF" w:rsidP="00557F9B">
            <w:pPr>
              <w:pStyle w:val="14"/>
              <w:rPr>
                <w:rFonts w:hAnsi="標楷體"/>
              </w:rPr>
            </w:pPr>
          </w:p>
        </w:tc>
        <w:tc>
          <w:tcPr>
            <w:tcW w:w="2475"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動藥管理e網通整合平臺</w:t>
            </w:r>
          </w:p>
        </w:tc>
        <w:tc>
          <w:tcPr>
            <w:tcW w:w="1244" w:type="pct"/>
            <w:vMerge/>
            <w:shd w:val="clear" w:color="auto" w:fill="EAF1DD" w:themeFill="accent3" w:themeFillTint="33"/>
            <w:noWrap/>
            <w:vAlign w:val="center"/>
            <w:hideMark/>
          </w:tcPr>
          <w:p w:rsidR="00B55ECF" w:rsidRPr="004E7851" w:rsidRDefault="00B55ECF" w:rsidP="00557F9B">
            <w:pPr>
              <w:pStyle w:val="14"/>
              <w:rPr>
                <w:rFonts w:hAnsi="標楷體"/>
              </w:rPr>
            </w:pPr>
          </w:p>
        </w:tc>
      </w:tr>
      <w:tr w:rsidR="00771D6C" w:rsidRPr="004E7851" w:rsidTr="00557F9B">
        <w:trPr>
          <w:trHeight w:val="20"/>
        </w:trPr>
        <w:tc>
          <w:tcPr>
            <w:tcW w:w="1281" w:type="pct"/>
            <w:vMerge/>
            <w:shd w:val="clear" w:color="auto" w:fill="EAF1DD" w:themeFill="accent3" w:themeFillTint="33"/>
            <w:noWrap/>
            <w:vAlign w:val="center"/>
          </w:tcPr>
          <w:p w:rsidR="00B55ECF" w:rsidRPr="004E7851" w:rsidRDefault="00B55ECF" w:rsidP="00557F9B">
            <w:pPr>
              <w:pStyle w:val="14"/>
              <w:rPr>
                <w:rFonts w:hAnsi="標楷體"/>
              </w:rPr>
            </w:pPr>
          </w:p>
        </w:tc>
        <w:tc>
          <w:tcPr>
            <w:tcW w:w="2475" w:type="pct"/>
            <w:shd w:val="clear" w:color="auto" w:fill="EAF1DD" w:themeFill="accent3" w:themeFillTint="33"/>
            <w:noWrap/>
            <w:vAlign w:val="center"/>
            <w:hideMark/>
          </w:tcPr>
          <w:p w:rsidR="00B55ECF" w:rsidRPr="004E7851" w:rsidRDefault="00B55ECF" w:rsidP="00557F9B">
            <w:pPr>
              <w:pStyle w:val="14"/>
              <w:rPr>
                <w:rFonts w:hAnsi="標楷體"/>
              </w:rPr>
            </w:pPr>
            <w:r w:rsidRPr="004E7851">
              <w:rPr>
                <w:rFonts w:hAnsi="標楷體" w:hint="eastAsia"/>
              </w:rPr>
              <w:t>飼料管理系統</w:t>
            </w:r>
          </w:p>
        </w:tc>
        <w:tc>
          <w:tcPr>
            <w:tcW w:w="1244" w:type="pct"/>
            <w:vMerge/>
            <w:shd w:val="clear" w:color="auto" w:fill="EAF1DD" w:themeFill="accent3" w:themeFillTint="33"/>
            <w:noWrap/>
            <w:vAlign w:val="center"/>
            <w:hideMark/>
          </w:tcPr>
          <w:p w:rsidR="00B55ECF" w:rsidRPr="004E7851" w:rsidRDefault="00B55ECF" w:rsidP="00557F9B">
            <w:pPr>
              <w:pStyle w:val="14"/>
              <w:rPr>
                <w:rFonts w:hAnsi="標楷體"/>
              </w:rPr>
            </w:pPr>
          </w:p>
        </w:tc>
      </w:tr>
      <w:tr w:rsidR="00771D6C" w:rsidRPr="004E7851" w:rsidTr="00557F9B">
        <w:trPr>
          <w:trHeight w:val="20"/>
        </w:trPr>
        <w:tc>
          <w:tcPr>
            <w:tcW w:w="1281" w:type="pct"/>
            <w:shd w:val="clear" w:color="auto" w:fill="auto"/>
            <w:noWrap/>
            <w:vAlign w:val="center"/>
          </w:tcPr>
          <w:p w:rsidR="00B55ECF" w:rsidRPr="004E7851" w:rsidRDefault="00B55ECF" w:rsidP="00557F9B">
            <w:pPr>
              <w:pStyle w:val="14"/>
              <w:rPr>
                <w:rFonts w:hAnsi="標楷體"/>
              </w:rPr>
            </w:pPr>
            <w:r w:rsidRPr="004E7851">
              <w:rPr>
                <w:rFonts w:hAnsi="標楷體" w:hint="eastAsia"/>
                <w:lang w:eastAsia="zh-HK"/>
              </w:rPr>
              <w:t>毒品</w:t>
            </w:r>
          </w:p>
        </w:tc>
        <w:tc>
          <w:tcPr>
            <w:tcW w:w="2475" w:type="pct"/>
            <w:shd w:val="clear" w:color="auto" w:fill="auto"/>
            <w:noWrap/>
            <w:vAlign w:val="center"/>
          </w:tcPr>
          <w:p w:rsidR="00B55ECF" w:rsidRPr="004E7851" w:rsidRDefault="00B55ECF" w:rsidP="00557F9B">
            <w:pPr>
              <w:pStyle w:val="14"/>
              <w:rPr>
                <w:rFonts w:hAnsi="標楷體"/>
              </w:rPr>
            </w:pPr>
            <w:r w:rsidRPr="004E7851">
              <w:rPr>
                <w:rFonts w:hAnsi="標楷體" w:hint="eastAsia"/>
              </w:rPr>
              <w:t>法務部檢察司毒品資料</w:t>
            </w:r>
          </w:p>
        </w:tc>
        <w:tc>
          <w:tcPr>
            <w:tcW w:w="1244" w:type="pct"/>
            <w:shd w:val="clear" w:color="auto" w:fill="auto"/>
            <w:noWrap/>
            <w:vAlign w:val="center"/>
          </w:tcPr>
          <w:p w:rsidR="00B55ECF" w:rsidRPr="004E7851" w:rsidRDefault="00B55ECF" w:rsidP="00557F9B">
            <w:pPr>
              <w:pStyle w:val="14"/>
              <w:rPr>
                <w:rFonts w:hAnsi="標楷體"/>
              </w:rPr>
            </w:pPr>
            <w:r w:rsidRPr="004E7851">
              <w:rPr>
                <w:rFonts w:hAnsi="標楷體" w:hint="eastAsia"/>
              </w:rPr>
              <w:t>法務部</w:t>
            </w:r>
          </w:p>
        </w:tc>
      </w:tr>
    </w:tbl>
    <w:p w:rsidR="00B55ECF" w:rsidRPr="004E7851" w:rsidRDefault="00B55ECF" w:rsidP="00B55ECF">
      <w:pPr>
        <w:rPr>
          <w:rFonts w:hAnsi="標楷體"/>
          <w:sz w:val="24"/>
          <w:szCs w:val="24"/>
        </w:rPr>
      </w:pPr>
      <w:r w:rsidRPr="004E7851">
        <w:rPr>
          <w:rFonts w:hAnsi="標楷體" w:hint="eastAsia"/>
          <w:sz w:val="24"/>
          <w:szCs w:val="24"/>
          <w:lang w:eastAsia="zh-HK"/>
        </w:rPr>
        <w:t>資料來源：環保署。</w:t>
      </w:r>
    </w:p>
    <w:p w:rsidR="00B55ECF" w:rsidRPr="004E7851" w:rsidRDefault="00B55ECF" w:rsidP="00B55ECF">
      <w:pPr>
        <w:rPr>
          <w:rFonts w:hAnsi="標楷體"/>
        </w:rPr>
      </w:pPr>
    </w:p>
    <w:p w:rsidR="00B55ECF" w:rsidRPr="004E7851" w:rsidRDefault="00B55ECF" w:rsidP="00B55ECF">
      <w:pPr>
        <w:pStyle w:val="3"/>
        <w:numPr>
          <w:ilvl w:val="2"/>
          <w:numId w:val="1"/>
        </w:numPr>
        <w:rPr>
          <w:rFonts w:hAnsi="標楷體"/>
          <w:lang w:eastAsia="zh-HK"/>
        </w:rPr>
      </w:pPr>
      <w:r w:rsidRPr="004E7851">
        <w:rPr>
          <w:rFonts w:hAnsi="標楷體" w:hint="eastAsia"/>
          <w:szCs w:val="32"/>
          <w:lang w:eastAsia="zh-HK"/>
        </w:rPr>
        <w:t>次查，行政院江前院長宜樺103年2月26日召開「食品雲跨部會推動規劃」會議決議指示</w:t>
      </w:r>
      <w:r w:rsidRPr="004E7851">
        <w:rPr>
          <w:rFonts w:hAnsi="標楷體" w:hint="eastAsia"/>
          <w:szCs w:val="32"/>
        </w:rPr>
        <w:t>，</w:t>
      </w:r>
      <w:r w:rsidRPr="004E7851">
        <w:rPr>
          <w:rFonts w:hAnsi="標楷體" w:hint="eastAsia"/>
          <w:szCs w:val="32"/>
          <w:lang w:eastAsia="zh-HK"/>
        </w:rPr>
        <w:t>自104年1月1日食品雲之推動回歸食品安全衛生管理法主管機關衛福部主政後，食藥署即於同年4月開始執行</w:t>
      </w:r>
      <w:r w:rsidRPr="004E7851">
        <w:rPr>
          <w:rFonts w:hAnsi="標楷體"/>
          <w:szCs w:val="32"/>
          <w:lang w:eastAsia="zh-HK"/>
        </w:rPr>
        <w:t>「食品安全巨量資料分析及資訊科技化建置計畫」</w:t>
      </w:r>
      <w:r w:rsidRPr="004E7851">
        <w:rPr>
          <w:rFonts w:hAnsi="標楷體" w:hint="eastAsia"/>
          <w:szCs w:val="32"/>
          <w:lang w:eastAsia="zh-HK"/>
        </w:rPr>
        <w:t>，以</w:t>
      </w:r>
      <w:r w:rsidRPr="004E7851">
        <w:rPr>
          <w:rFonts w:hAnsi="標楷體"/>
          <w:szCs w:val="32"/>
          <w:lang w:eastAsia="zh-HK"/>
        </w:rPr>
        <w:t>104年</w:t>
      </w:r>
      <w:r w:rsidRPr="004E7851">
        <w:rPr>
          <w:rFonts w:hAnsi="標楷體" w:hint="eastAsia"/>
          <w:szCs w:val="32"/>
          <w:lang w:eastAsia="zh-HK"/>
        </w:rPr>
        <w:t>行政院</w:t>
      </w:r>
      <w:r w:rsidRPr="004E7851">
        <w:rPr>
          <w:rFonts w:hAnsi="標楷體"/>
          <w:szCs w:val="32"/>
          <w:lang w:eastAsia="zh-HK"/>
        </w:rPr>
        <w:t>國家科學技術發展基金</w:t>
      </w:r>
      <w:r w:rsidRPr="004E7851">
        <w:rPr>
          <w:rFonts w:hAnsi="標楷體" w:hint="eastAsia"/>
          <w:szCs w:val="32"/>
          <w:lang w:eastAsia="zh-HK"/>
        </w:rPr>
        <w:t>(下稱行政院科發基金)</w:t>
      </w:r>
      <w:r w:rsidRPr="004E7851">
        <w:rPr>
          <w:rFonts w:hAnsi="標楷體"/>
          <w:szCs w:val="32"/>
          <w:lang w:eastAsia="zh-HK"/>
        </w:rPr>
        <w:t>計畫</w:t>
      </w:r>
      <w:r w:rsidRPr="004E7851">
        <w:rPr>
          <w:rFonts w:hAnsi="標楷體" w:hint="eastAsia"/>
          <w:szCs w:val="32"/>
          <w:lang w:eastAsia="zh-HK"/>
        </w:rPr>
        <w:t>與食藥署</w:t>
      </w:r>
      <w:r w:rsidRPr="004E7851">
        <w:rPr>
          <w:rFonts w:hAnsi="標楷體"/>
          <w:szCs w:val="32"/>
          <w:lang w:eastAsia="zh-HK"/>
        </w:rPr>
        <w:t>105</w:t>
      </w:r>
      <w:r w:rsidRPr="004E7851">
        <w:rPr>
          <w:rFonts w:hAnsi="標楷體" w:hint="eastAsia"/>
          <w:szCs w:val="32"/>
          <w:lang w:eastAsia="zh-HK"/>
        </w:rPr>
        <w:t>至</w:t>
      </w:r>
      <w:r w:rsidRPr="004E7851">
        <w:rPr>
          <w:rFonts w:hAnsi="標楷體"/>
          <w:szCs w:val="32"/>
          <w:lang w:eastAsia="zh-HK"/>
        </w:rPr>
        <w:t>108年</w:t>
      </w:r>
      <w:r w:rsidRPr="004E7851">
        <w:rPr>
          <w:rFonts w:hAnsi="標楷體" w:hint="eastAsia"/>
          <w:szCs w:val="32"/>
        </w:rPr>
        <w:t>(4</w:t>
      </w:r>
      <w:r w:rsidRPr="004E7851">
        <w:rPr>
          <w:rFonts w:hAnsi="標楷體" w:hint="eastAsia"/>
          <w:szCs w:val="32"/>
          <w:lang w:eastAsia="zh-HK"/>
        </w:rPr>
        <w:t>年期</w:t>
      </w:r>
      <w:r w:rsidRPr="004E7851">
        <w:rPr>
          <w:rFonts w:hAnsi="標楷體" w:hint="eastAsia"/>
          <w:szCs w:val="32"/>
        </w:rPr>
        <w:t>)</w:t>
      </w:r>
      <w:r w:rsidRPr="004E7851">
        <w:rPr>
          <w:rFonts w:hAnsi="標楷體"/>
          <w:szCs w:val="32"/>
          <w:lang w:eastAsia="zh-HK"/>
        </w:rPr>
        <w:t>科技計畫</w:t>
      </w:r>
      <w:r w:rsidRPr="004E7851">
        <w:rPr>
          <w:rFonts w:hAnsi="標楷體" w:hint="eastAsia"/>
          <w:szCs w:val="32"/>
          <w:lang w:eastAsia="zh-HK"/>
        </w:rPr>
        <w:t>推動，各年度投入經費分別為40,356千元</w:t>
      </w:r>
      <w:r w:rsidRPr="004E7851">
        <w:rPr>
          <w:rFonts w:hAnsi="標楷體"/>
          <w:szCs w:val="32"/>
          <w:lang w:eastAsia="zh-HK"/>
        </w:rPr>
        <w:t>、</w:t>
      </w:r>
      <w:r w:rsidRPr="004E7851">
        <w:rPr>
          <w:rFonts w:hAnsi="標楷體" w:hint="eastAsia"/>
          <w:szCs w:val="32"/>
          <w:lang w:eastAsia="zh-HK"/>
        </w:rPr>
        <w:t>48,808千元、41,015千元、43,041千元及40,402千元</w:t>
      </w:r>
      <w:r w:rsidRPr="004E7851">
        <w:rPr>
          <w:rFonts w:hAnsi="標楷體" w:hint="eastAsia"/>
          <w:szCs w:val="32"/>
        </w:rPr>
        <w:t>，</w:t>
      </w:r>
      <w:r w:rsidRPr="004E7851">
        <w:rPr>
          <w:rFonts w:hAnsi="標楷體" w:hint="eastAsia"/>
          <w:szCs w:val="32"/>
          <w:lang w:eastAsia="zh-HK"/>
        </w:rPr>
        <w:t>總計</w:t>
      </w:r>
      <w:r w:rsidRPr="004E7851">
        <w:rPr>
          <w:rFonts w:hAnsi="標楷體" w:hint="eastAsia"/>
          <w:szCs w:val="32"/>
        </w:rPr>
        <w:t>213,622</w:t>
      </w:r>
      <w:r w:rsidRPr="004E7851">
        <w:rPr>
          <w:rFonts w:hAnsi="標楷體" w:hint="eastAsia"/>
          <w:szCs w:val="32"/>
          <w:lang w:eastAsia="zh-HK"/>
        </w:rPr>
        <w:t>千元，且食藥署109年為賡續</w:t>
      </w:r>
      <w:r w:rsidRPr="004E7851">
        <w:rPr>
          <w:rFonts w:hAnsi="標楷體"/>
        </w:rPr>
        <w:t>維運</w:t>
      </w:r>
      <w:r w:rsidRPr="004E7851">
        <w:rPr>
          <w:rFonts w:hAnsi="標楷體" w:hint="eastAsia"/>
          <w:lang w:eastAsia="zh-HK"/>
        </w:rPr>
        <w:t>與</w:t>
      </w:r>
      <w:r w:rsidRPr="004E7851">
        <w:rPr>
          <w:rFonts w:hAnsi="標楷體"/>
        </w:rPr>
        <w:t>強化食品雲之資訊系統構面</w:t>
      </w:r>
      <w:r w:rsidRPr="004E7851">
        <w:rPr>
          <w:rFonts w:hAnsi="標楷體" w:hint="eastAsia"/>
          <w:szCs w:val="32"/>
          <w:lang w:eastAsia="zh-HK"/>
        </w:rPr>
        <w:t>，於其單位預算之</w:t>
      </w:r>
      <w:r w:rsidRPr="004E7851">
        <w:rPr>
          <w:rFonts w:hAnsi="標楷體"/>
          <w:szCs w:val="32"/>
          <w:lang w:eastAsia="zh-HK"/>
        </w:rPr>
        <w:lastRenderedPageBreak/>
        <w:t>「</w:t>
      </w:r>
      <w:r w:rsidRPr="004E7851">
        <w:rPr>
          <w:rFonts w:hAnsi="標楷體" w:hint="eastAsia"/>
          <w:szCs w:val="32"/>
          <w:lang w:eastAsia="zh-HK"/>
        </w:rPr>
        <w:t>科技業務」-</w:t>
      </w:r>
      <w:r w:rsidRPr="004E7851">
        <w:rPr>
          <w:rFonts w:hAnsi="標楷體"/>
          <w:szCs w:val="32"/>
          <w:lang w:eastAsia="zh-HK"/>
        </w:rPr>
        <w:t>「</w:t>
      </w:r>
      <w:r w:rsidRPr="004E7851">
        <w:rPr>
          <w:rFonts w:hAnsi="標楷體" w:hint="eastAsia"/>
          <w:szCs w:val="32"/>
          <w:lang w:eastAsia="zh-HK"/>
        </w:rPr>
        <w:t>食品安全及藥物濫用巨量資料應用」分支計畫項下編列31,661千元</w:t>
      </w:r>
      <w:r w:rsidRPr="004E7851">
        <w:rPr>
          <w:rStyle w:val="aff4"/>
          <w:rFonts w:hAnsi="標楷體"/>
          <w:szCs w:val="32"/>
          <w:lang w:eastAsia="zh-HK"/>
        </w:rPr>
        <w:footnoteReference w:id="9"/>
      </w:r>
      <w:r w:rsidRPr="004E7851">
        <w:rPr>
          <w:rFonts w:hAnsi="標楷體" w:hint="eastAsia"/>
          <w:szCs w:val="32"/>
          <w:lang w:eastAsia="zh-HK"/>
        </w:rPr>
        <w:t>，辦理</w:t>
      </w:r>
      <w:r w:rsidRPr="004E7851">
        <w:rPr>
          <w:rFonts w:hAnsi="標楷體" w:hint="eastAsia"/>
          <w:lang w:eastAsia="zh-HK"/>
        </w:rPr>
        <w:t>衛生安全管理系統驗證資訊系統擴充建置</w:t>
      </w:r>
      <w:r w:rsidRPr="004E7851">
        <w:rPr>
          <w:rFonts w:hAnsi="標楷體" w:hint="eastAsia"/>
        </w:rPr>
        <w:t>、</w:t>
      </w:r>
      <w:r w:rsidRPr="004E7851">
        <w:rPr>
          <w:rFonts w:hAnsi="標楷體" w:hint="eastAsia"/>
          <w:lang w:eastAsia="zh-HK"/>
        </w:rPr>
        <w:t>跨部會資訊系統鏈結</w:t>
      </w:r>
      <w:r w:rsidRPr="004E7851">
        <w:rPr>
          <w:rFonts w:hAnsi="標楷體" w:hint="eastAsia"/>
        </w:rPr>
        <w:t>，</w:t>
      </w:r>
      <w:r w:rsidRPr="004E7851">
        <w:rPr>
          <w:rFonts w:hAnsi="標楷體" w:hint="eastAsia"/>
          <w:lang w:eastAsia="zh-HK"/>
        </w:rPr>
        <w:t>強化食品源頭控管原料流向，有效監控化學物質，結合人工智慧及統計科學方法進行風險預警及預測，益徵食藥署因應食品雲之開發與維運等新增業務支出，自105年度以來即增編適足預算執行。惟查，</w:t>
      </w:r>
      <w:r w:rsidRPr="004E7851">
        <w:rPr>
          <w:rFonts w:hAnsi="標楷體" w:hint="eastAsia"/>
          <w:u w:val="single"/>
          <w:lang w:eastAsia="zh-HK"/>
        </w:rPr>
        <w:t>據環保署化學局表示，有關化學雲建置、精進功能與維運所需經費，係透過行政院與其他部會以科技計畫補助方式辦理</w:t>
      </w:r>
      <w:r w:rsidRPr="004E7851">
        <w:rPr>
          <w:rFonts w:hAnsi="標楷體" w:hint="eastAsia"/>
          <w:lang w:eastAsia="zh-HK"/>
        </w:rPr>
        <w:t>，該局說明如下：</w:t>
      </w:r>
    </w:p>
    <w:p w:rsidR="00B55ECF" w:rsidRPr="004E7851" w:rsidRDefault="00B55ECF" w:rsidP="00B55ECF">
      <w:pPr>
        <w:pStyle w:val="4"/>
        <w:numPr>
          <w:ilvl w:val="3"/>
          <w:numId w:val="1"/>
        </w:numPr>
        <w:rPr>
          <w:rFonts w:hAnsi="標楷體"/>
        </w:rPr>
      </w:pPr>
      <w:r w:rsidRPr="004E7851">
        <w:rPr>
          <w:rFonts w:hAnsi="標楷體"/>
        </w:rPr>
        <w:t>行政院103年2月26日「食品雲跨部會推動規劃」會議指示環保署研議建立國家化學物質資訊匯集、分享與預警平臺-化學雲</w:t>
      </w:r>
      <w:r w:rsidRPr="004E7851">
        <w:rPr>
          <w:rFonts w:hAnsi="標楷體" w:hint="eastAsia"/>
        </w:rPr>
        <w:t>，</w:t>
      </w:r>
      <w:r w:rsidRPr="004E7851">
        <w:rPr>
          <w:rFonts w:hAnsi="標楷體" w:hint="eastAsia"/>
          <w:lang w:eastAsia="zh-HK"/>
        </w:rPr>
        <w:t>該</w:t>
      </w:r>
      <w:r w:rsidRPr="004E7851">
        <w:rPr>
          <w:rFonts w:hAnsi="標楷體"/>
        </w:rPr>
        <w:t>署</w:t>
      </w:r>
      <w:r w:rsidRPr="004E7851">
        <w:rPr>
          <w:rFonts w:hAnsi="標楷體" w:hint="eastAsia"/>
          <w:lang w:eastAsia="zh-HK"/>
        </w:rPr>
        <w:t>即</w:t>
      </w:r>
      <w:r w:rsidRPr="004E7851">
        <w:rPr>
          <w:rFonts w:hAnsi="標楷體" w:hint="eastAsia"/>
        </w:rPr>
        <w:t>先</w:t>
      </w:r>
      <w:r w:rsidRPr="004E7851">
        <w:rPr>
          <w:rFonts w:hAnsi="標楷體"/>
        </w:rPr>
        <w:t>爭取</w:t>
      </w:r>
      <w:r w:rsidRPr="004E7851">
        <w:rPr>
          <w:rFonts w:hAnsi="標楷體" w:hint="eastAsia"/>
          <w:lang w:eastAsia="zh-HK"/>
        </w:rPr>
        <w:t>行政院</w:t>
      </w:r>
      <w:r w:rsidRPr="004E7851">
        <w:rPr>
          <w:rFonts w:hAnsi="標楷體"/>
        </w:rPr>
        <w:t>科發基金經費31,67</w:t>
      </w:r>
      <w:r w:rsidRPr="004E7851">
        <w:rPr>
          <w:rFonts w:hAnsi="標楷體" w:hint="eastAsia"/>
        </w:rPr>
        <w:t>0</w:t>
      </w:r>
      <w:r w:rsidRPr="004E7851">
        <w:rPr>
          <w:rFonts w:hAnsi="標楷體"/>
        </w:rPr>
        <w:t>千元</w:t>
      </w:r>
      <w:r w:rsidRPr="004E7851">
        <w:rPr>
          <w:rFonts w:hAnsi="標楷體" w:hint="eastAsia"/>
        </w:rPr>
        <w:t>，</w:t>
      </w:r>
      <w:r w:rsidRPr="004E7851">
        <w:rPr>
          <w:rFonts w:hAnsi="標楷體" w:hint="eastAsia"/>
          <w:u w:val="single"/>
        </w:rPr>
        <w:t>自104年6月25日至105年1</w:t>
      </w:r>
      <w:r w:rsidRPr="004E7851">
        <w:rPr>
          <w:rFonts w:hAnsi="標楷體"/>
          <w:u w:val="single"/>
        </w:rPr>
        <w:t>2月31日建置完成國家層級之跨部會化學物質雲端管理系統</w:t>
      </w:r>
      <w:r w:rsidRPr="004E7851">
        <w:rPr>
          <w:rFonts w:hAnsi="標楷體" w:hint="eastAsia"/>
          <w:u w:val="single"/>
        </w:rPr>
        <w:t>。化學雲</w:t>
      </w:r>
      <w:r w:rsidRPr="004E7851">
        <w:rPr>
          <w:rFonts w:hAnsi="標楷體" w:hint="eastAsia"/>
          <w:szCs w:val="32"/>
          <w:u w:val="single"/>
        </w:rPr>
        <w:t>建置初期為</w:t>
      </w:r>
      <w:r w:rsidRPr="004E7851">
        <w:rPr>
          <w:rFonts w:hAnsi="標楷體"/>
          <w:szCs w:val="32"/>
          <w:u w:val="single"/>
        </w:rPr>
        <w:t>基礎資料建置與鏈結</w:t>
      </w:r>
      <w:r w:rsidRPr="004E7851">
        <w:rPr>
          <w:rFonts w:hAnsi="標楷體" w:hint="eastAsia"/>
          <w:szCs w:val="32"/>
          <w:u w:val="single"/>
        </w:rPr>
        <w:t>，</w:t>
      </w:r>
      <w:r w:rsidRPr="004E7851">
        <w:rPr>
          <w:rFonts w:hAnsi="標楷體"/>
          <w:szCs w:val="32"/>
          <w:u w:val="single"/>
        </w:rPr>
        <w:t>盤點與化學物質有關系統及法規</w:t>
      </w:r>
      <w:r w:rsidRPr="004E7851">
        <w:rPr>
          <w:rFonts w:hAnsi="標楷體"/>
          <w:szCs w:val="32"/>
        </w:rPr>
        <w:t>，執行部會欄位定義</w:t>
      </w:r>
      <w:r w:rsidRPr="004E7851">
        <w:rPr>
          <w:rFonts w:hAnsi="標楷體" w:hint="eastAsia"/>
          <w:szCs w:val="32"/>
        </w:rPr>
        <w:t>、</w:t>
      </w:r>
      <w:r w:rsidRPr="004E7851">
        <w:rPr>
          <w:rFonts w:hAnsi="標楷體"/>
          <w:szCs w:val="32"/>
        </w:rPr>
        <w:t>整合</w:t>
      </w:r>
      <w:r w:rsidRPr="004E7851">
        <w:rPr>
          <w:rFonts w:hAnsi="標楷體" w:hint="eastAsia"/>
          <w:szCs w:val="32"/>
        </w:rPr>
        <w:t>與</w:t>
      </w:r>
      <w:r w:rsidRPr="004E7851">
        <w:rPr>
          <w:rFonts w:hAnsi="標楷體"/>
          <w:szCs w:val="32"/>
        </w:rPr>
        <w:t>交集</w:t>
      </w:r>
      <w:r w:rsidRPr="004E7851">
        <w:rPr>
          <w:rFonts w:hAnsi="標楷體" w:hint="eastAsia"/>
          <w:szCs w:val="32"/>
        </w:rPr>
        <w:t>。</w:t>
      </w:r>
    </w:p>
    <w:p w:rsidR="00B55ECF" w:rsidRPr="004E7851" w:rsidRDefault="00B55ECF" w:rsidP="00B55ECF">
      <w:pPr>
        <w:pStyle w:val="4"/>
        <w:numPr>
          <w:ilvl w:val="3"/>
          <w:numId w:val="1"/>
        </w:numPr>
        <w:rPr>
          <w:rFonts w:hAnsi="標楷體"/>
          <w:szCs w:val="32"/>
        </w:rPr>
      </w:pPr>
      <w:r w:rsidRPr="004E7851">
        <w:rPr>
          <w:rFonts w:hAnsi="標楷體" w:hint="eastAsia"/>
          <w:szCs w:val="32"/>
        </w:rPr>
        <w:t>106年</w:t>
      </w:r>
      <w:r w:rsidRPr="004E7851">
        <w:rPr>
          <w:rFonts w:hAnsi="標楷體" w:hint="eastAsia"/>
          <w:szCs w:val="32"/>
          <w:lang w:eastAsia="zh-HK"/>
        </w:rPr>
        <w:t>則</w:t>
      </w:r>
      <w:r w:rsidRPr="004E7851">
        <w:rPr>
          <w:rFonts w:hAnsi="標楷體" w:hint="eastAsia"/>
          <w:szCs w:val="32"/>
        </w:rPr>
        <w:t>申請</w:t>
      </w:r>
      <w:r w:rsidRPr="004E7851">
        <w:rPr>
          <w:rFonts w:hAnsi="標楷體"/>
          <w:szCs w:val="32"/>
        </w:rPr>
        <w:t>行政院國家發展委員會</w:t>
      </w:r>
      <w:r w:rsidRPr="004E7851">
        <w:rPr>
          <w:rFonts w:hAnsi="標楷體" w:hint="eastAsia"/>
          <w:szCs w:val="32"/>
        </w:rPr>
        <w:t>「服務型智慧政府推動計畫-修正第五階段電子化政府計畫（4年期）」，106年起分年度核定經費為15</w:t>
      </w:r>
      <w:r w:rsidRPr="004E7851">
        <w:rPr>
          <w:rFonts w:hAnsi="標楷體"/>
          <w:szCs w:val="32"/>
        </w:rPr>
        <w:t>,000</w:t>
      </w:r>
      <w:r w:rsidRPr="004E7851">
        <w:rPr>
          <w:rFonts w:hAnsi="標楷體" w:hint="eastAsia"/>
          <w:szCs w:val="32"/>
        </w:rPr>
        <w:t>千元、22</w:t>
      </w:r>
      <w:r w:rsidRPr="004E7851">
        <w:rPr>
          <w:rFonts w:hAnsi="標楷體"/>
          <w:szCs w:val="32"/>
        </w:rPr>
        <w:t>,</w:t>
      </w:r>
      <w:r w:rsidRPr="004E7851">
        <w:rPr>
          <w:rFonts w:hAnsi="標楷體" w:hint="eastAsia"/>
          <w:szCs w:val="32"/>
        </w:rPr>
        <w:t>100千元、21</w:t>
      </w:r>
      <w:r w:rsidRPr="004E7851">
        <w:rPr>
          <w:rFonts w:hAnsi="標楷體"/>
          <w:szCs w:val="32"/>
        </w:rPr>
        <w:t>,</w:t>
      </w:r>
      <w:r w:rsidRPr="004E7851">
        <w:rPr>
          <w:rFonts w:hAnsi="標楷體" w:hint="eastAsia"/>
          <w:szCs w:val="32"/>
        </w:rPr>
        <w:t>429千元及22</w:t>
      </w:r>
      <w:r w:rsidRPr="004E7851">
        <w:rPr>
          <w:rFonts w:hAnsi="標楷體"/>
          <w:szCs w:val="32"/>
        </w:rPr>
        <w:t>,</w:t>
      </w:r>
      <w:r w:rsidRPr="004E7851">
        <w:rPr>
          <w:rFonts w:hAnsi="標楷體" w:hint="eastAsia"/>
          <w:szCs w:val="32"/>
        </w:rPr>
        <w:t>500千元，</w:t>
      </w:r>
      <w:r w:rsidRPr="004E7851">
        <w:rPr>
          <w:rFonts w:hAnsi="標楷體"/>
          <w:szCs w:val="32"/>
        </w:rPr>
        <w:t>由中央政府科技發展預算支應</w:t>
      </w:r>
      <w:r w:rsidRPr="004E7851">
        <w:rPr>
          <w:rFonts w:hAnsi="標楷體" w:hint="eastAsia"/>
          <w:szCs w:val="32"/>
        </w:rPr>
        <w:t>，</w:t>
      </w:r>
      <w:r w:rsidRPr="004E7851">
        <w:rPr>
          <w:rFonts w:hAnsi="標楷體" w:hint="eastAsia"/>
          <w:szCs w:val="32"/>
          <w:lang w:eastAsia="zh-HK"/>
        </w:rPr>
        <w:t>自</w:t>
      </w:r>
      <w:r w:rsidRPr="004E7851">
        <w:rPr>
          <w:rFonts w:hAnsi="標楷體" w:hint="eastAsia"/>
          <w:szCs w:val="32"/>
        </w:rPr>
        <w:t>106年建置維護化學雲資料庫資料，開發基礎</w:t>
      </w:r>
      <w:r w:rsidRPr="004E7851">
        <w:rPr>
          <w:rFonts w:hAnsi="標楷體"/>
          <w:szCs w:val="32"/>
        </w:rPr>
        <w:t>系統</w:t>
      </w:r>
      <w:r w:rsidRPr="004E7851">
        <w:rPr>
          <w:rFonts w:hAnsi="標楷體" w:hint="eastAsia"/>
          <w:szCs w:val="32"/>
        </w:rPr>
        <w:t>及客製化協助部會</w:t>
      </w:r>
      <w:r w:rsidRPr="004E7851">
        <w:rPr>
          <w:rFonts w:hAnsi="標楷體"/>
          <w:szCs w:val="32"/>
        </w:rPr>
        <w:t>比對資料</w:t>
      </w:r>
      <w:r w:rsidRPr="004E7851">
        <w:rPr>
          <w:rFonts w:hAnsi="標楷體" w:hint="eastAsia"/>
          <w:szCs w:val="32"/>
        </w:rPr>
        <w:t>；</w:t>
      </w:r>
      <w:r w:rsidRPr="004E7851">
        <w:rPr>
          <w:rFonts w:hAnsi="標楷體" w:hint="eastAsia"/>
          <w:szCs w:val="32"/>
          <w:u w:val="single"/>
        </w:rPr>
        <w:t>107年起進一步</w:t>
      </w:r>
      <w:r w:rsidRPr="004E7851">
        <w:rPr>
          <w:rFonts w:hAnsi="標楷體"/>
          <w:szCs w:val="32"/>
          <w:u w:val="single"/>
        </w:rPr>
        <w:t>導入</w:t>
      </w:r>
      <w:r w:rsidRPr="004E7851">
        <w:rPr>
          <w:rFonts w:hAnsi="標楷體" w:hint="eastAsia"/>
          <w:szCs w:val="32"/>
          <w:u w:val="single"/>
        </w:rPr>
        <w:t>巨量、人工智慧技術進行流向追蹤及分析，以縮短化學物質管</w:t>
      </w:r>
      <w:r w:rsidRPr="004E7851">
        <w:rPr>
          <w:rFonts w:hAnsi="標楷體" w:hint="eastAsia"/>
          <w:szCs w:val="32"/>
          <w:u w:val="single"/>
        </w:rPr>
        <w:lastRenderedPageBreak/>
        <w:t>理及不當使用之預警、應變時間</w:t>
      </w:r>
      <w:r w:rsidRPr="004E7851">
        <w:rPr>
          <w:rFonts w:hAnsi="標楷體" w:hint="eastAsia"/>
          <w:szCs w:val="32"/>
        </w:rPr>
        <w:t>；108年考量各部會使用者需求建置5個應用主題專區，包含「新化學物質登錄」（</w:t>
      </w:r>
      <w:r w:rsidRPr="004E7851">
        <w:rPr>
          <w:rFonts w:hAnsi="標楷體"/>
          <w:bCs/>
          <w:szCs w:val="32"/>
        </w:rPr>
        <w:t>讓各部會可查閱新化學物質資訊</w:t>
      </w:r>
      <w:r w:rsidRPr="004E7851">
        <w:rPr>
          <w:rFonts w:hAnsi="標楷體" w:hint="eastAsia"/>
          <w:bCs/>
          <w:szCs w:val="32"/>
        </w:rPr>
        <w:t>，</w:t>
      </w:r>
      <w:r w:rsidRPr="004E7851">
        <w:rPr>
          <w:rFonts w:hAnsi="標楷體" w:hint="eastAsia"/>
          <w:bCs/>
          <w:szCs w:val="32"/>
          <w:lang w:eastAsia="zh-HK"/>
        </w:rPr>
        <w:t>以</w:t>
      </w:r>
      <w:r w:rsidRPr="004E7851">
        <w:rPr>
          <w:rFonts w:hAnsi="標楷體"/>
          <w:bCs/>
          <w:szCs w:val="32"/>
        </w:rPr>
        <w:t>利瞭解國內新化學物質使用情形</w:t>
      </w:r>
      <w:r w:rsidRPr="004E7851">
        <w:rPr>
          <w:rFonts w:hAnsi="標楷體" w:hint="eastAsia"/>
          <w:szCs w:val="32"/>
        </w:rPr>
        <w:t>）、「食品安全流向」（</w:t>
      </w:r>
      <w:r w:rsidRPr="004E7851">
        <w:rPr>
          <w:rFonts w:hAnsi="標楷體"/>
          <w:bCs/>
          <w:szCs w:val="32"/>
        </w:rPr>
        <w:t>分析</w:t>
      </w:r>
      <w:r w:rsidRPr="004E7851">
        <w:rPr>
          <w:rFonts w:hAnsi="標楷體" w:hint="eastAsia"/>
          <w:bCs/>
          <w:szCs w:val="32"/>
          <w:lang w:eastAsia="zh-HK"/>
        </w:rPr>
        <w:t>比對</w:t>
      </w:r>
      <w:r w:rsidRPr="004E7851">
        <w:rPr>
          <w:rFonts w:hAnsi="標楷體"/>
          <w:bCs/>
          <w:szCs w:val="32"/>
        </w:rPr>
        <w:t>具食品安全風險疑慮化學物質流入食品相關列管廠家情形</w:t>
      </w:r>
      <w:r w:rsidRPr="004E7851">
        <w:rPr>
          <w:rFonts w:hAnsi="標楷體" w:hint="eastAsia"/>
          <w:szCs w:val="32"/>
        </w:rPr>
        <w:t>）、「防災應變」（</w:t>
      </w:r>
      <w:r w:rsidRPr="004E7851">
        <w:rPr>
          <w:rFonts w:hAnsi="標楷體"/>
          <w:bCs/>
          <w:szCs w:val="32"/>
        </w:rPr>
        <w:t>因應化學物質災害事件之預防與災害發生時，提供消防相關人員可快速掌握災害應變相關資訊</w:t>
      </w:r>
      <w:r w:rsidRPr="004E7851">
        <w:rPr>
          <w:rFonts w:hAnsi="標楷體" w:hint="eastAsia"/>
          <w:szCs w:val="32"/>
        </w:rPr>
        <w:t>）、「環境污染」（</w:t>
      </w:r>
      <w:r w:rsidRPr="004E7851">
        <w:rPr>
          <w:rFonts w:hAnsi="標楷體"/>
          <w:bCs/>
          <w:szCs w:val="32"/>
        </w:rPr>
        <w:t>結合環境資源資料庫、化學物質環境流布背景調查資訊及化學雲廠家化學物質運作申報資料，進行廠家關連分析</w:t>
      </w:r>
      <w:r w:rsidRPr="004E7851">
        <w:rPr>
          <w:rFonts w:hAnsi="標楷體" w:hint="eastAsia"/>
          <w:szCs w:val="32"/>
        </w:rPr>
        <w:t>）與「推播專區」等，並持續優化巨量資料分析及人工智慧技術，強化預警功能，擴增消防救災需求資訊。</w:t>
      </w:r>
      <w:r w:rsidRPr="004E7851">
        <w:rPr>
          <w:rFonts w:hAnsi="標楷體" w:hint="eastAsia"/>
          <w:szCs w:val="32"/>
          <w:u w:val="single"/>
        </w:rPr>
        <w:t>然國內化學物質管理權責向來依使用目的，分由環保署、勞動部、衛福部、農委會、內政部、交通部等相關部會訂定法規管理，因管理目的不同，管制強度與蒐集資料法源規定不一，拋轉至化學雲之資訊完整性及更新頻率確有差異，</w:t>
      </w:r>
      <w:r w:rsidRPr="004E7851">
        <w:rPr>
          <w:rFonts w:hAnsi="標楷體" w:hint="eastAsia"/>
          <w:szCs w:val="32"/>
          <w:u w:val="single"/>
          <w:lang w:eastAsia="zh-HK"/>
        </w:rPr>
        <w:t>尤其</w:t>
      </w:r>
      <w:r w:rsidRPr="004E7851">
        <w:rPr>
          <w:rFonts w:hAnsi="標楷體" w:hint="eastAsia"/>
          <w:szCs w:val="32"/>
          <w:u w:val="single"/>
        </w:rPr>
        <w:t>目前對化學物質之管理強度不一，導致多數</w:t>
      </w:r>
      <w:r w:rsidRPr="004E7851">
        <w:rPr>
          <w:rFonts w:hAnsi="標楷體"/>
          <w:szCs w:val="32"/>
          <w:u w:val="single"/>
        </w:rPr>
        <w:t>化學物質生命週期</w:t>
      </w:r>
      <w:r w:rsidRPr="004E7851">
        <w:rPr>
          <w:rFonts w:hAnsi="標楷體" w:hint="eastAsia"/>
          <w:szCs w:val="32"/>
          <w:u w:val="single"/>
        </w:rPr>
        <w:t>（</w:t>
      </w:r>
      <w:r w:rsidRPr="004E7851">
        <w:rPr>
          <w:rFonts w:hAnsi="標楷體"/>
          <w:szCs w:val="32"/>
          <w:u w:val="single"/>
        </w:rPr>
        <w:t>包括製造、運作、流布、使用及棄置等</w:t>
      </w:r>
      <w:r w:rsidRPr="004E7851">
        <w:rPr>
          <w:rFonts w:hAnsi="標楷體" w:hint="eastAsia"/>
          <w:szCs w:val="32"/>
          <w:u w:val="single"/>
        </w:rPr>
        <w:t>）</w:t>
      </w:r>
      <w:r w:rsidRPr="004E7851">
        <w:rPr>
          <w:rFonts w:hAnsi="標楷體"/>
          <w:szCs w:val="32"/>
          <w:u w:val="single"/>
        </w:rPr>
        <w:t>資訊無法有效串</w:t>
      </w:r>
      <w:r w:rsidRPr="004E7851">
        <w:rPr>
          <w:rFonts w:hAnsi="標楷體" w:hint="eastAsia"/>
          <w:szCs w:val="32"/>
          <w:u w:val="single"/>
        </w:rPr>
        <w:t>聯</w:t>
      </w:r>
      <w:r w:rsidRPr="004E7851">
        <w:rPr>
          <w:rFonts w:hAnsi="標楷體" w:hint="eastAsia"/>
          <w:szCs w:val="32"/>
        </w:rPr>
        <w:t>，爰109年持續配合部會需求滾動調整、新增及精進功能維運。</w:t>
      </w:r>
    </w:p>
    <w:p w:rsidR="00B55ECF" w:rsidRPr="004E7851" w:rsidRDefault="00B55ECF" w:rsidP="00B55ECF">
      <w:pPr>
        <w:pStyle w:val="4"/>
        <w:numPr>
          <w:ilvl w:val="3"/>
          <w:numId w:val="1"/>
        </w:numPr>
        <w:rPr>
          <w:rFonts w:hAnsi="標楷體"/>
          <w:szCs w:val="32"/>
        </w:rPr>
      </w:pPr>
      <w:r w:rsidRPr="004E7851">
        <w:rPr>
          <w:rFonts w:hAnsi="標楷體" w:hint="eastAsia"/>
          <w:szCs w:val="32"/>
          <w:u w:val="single"/>
          <w:lang w:eastAsia="zh-HK"/>
        </w:rPr>
        <w:t>環保署</w:t>
      </w:r>
      <w:r w:rsidRPr="004E7851">
        <w:rPr>
          <w:rFonts w:hAnsi="標楷體" w:hint="eastAsia"/>
          <w:szCs w:val="32"/>
          <w:u w:val="single"/>
        </w:rPr>
        <w:t>為強化化學物質資訊整合平臺，落實化學物質流向與追蹤查核管制，達成化學物質管理、食品安全及提升消防救災資訊能量，於108年向科技部提出</w:t>
      </w:r>
      <w:r w:rsidRPr="004E7851">
        <w:rPr>
          <w:rFonts w:hAnsi="標楷體" w:hint="eastAsia"/>
          <w:szCs w:val="32"/>
        </w:rPr>
        <w:t>「</w:t>
      </w:r>
      <w:r w:rsidRPr="004E7851">
        <w:rPr>
          <w:rFonts w:hAnsi="標楷體"/>
          <w:szCs w:val="32"/>
        </w:rPr>
        <w:t>化學物質安全使用資訊整合平臺及科技化管理計畫</w:t>
      </w:r>
      <w:r w:rsidRPr="004E7851">
        <w:rPr>
          <w:rFonts w:hAnsi="標楷體" w:hint="eastAsia"/>
          <w:szCs w:val="32"/>
        </w:rPr>
        <w:t>」</w:t>
      </w:r>
      <w:r w:rsidRPr="004E7851">
        <w:rPr>
          <w:rFonts w:hAnsi="標楷體" w:hint="eastAsia"/>
          <w:szCs w:val="32"/>
          <w:u w:val="single"/>
        </w:rPr>
        <w:t>4年期政府科技發展計畫，總申請經費為345</w:t>
      </w:r>
      <w:r w:rsidRPr="004E7851">
        <w:rPr>
          <w:rFonts w:hAnsi="標楷體"/>
          <w:szCs w:val="32"/>
          <w:u w:val="single"/>
        </w:rPr>
        <w:t>,</w:t>
      </w:r>
      <w:r w:rsidRPr="004E7851">
        <w:rPr>
          <w:rFonts w:hAnsi="標楷體" w:hint="eastAsia"/>
          <w:szCs w:val="32"/>
          <w:u w:val="single"/>
        </w:rPr>
        <w:t>869千元</w:t>
      </w:r>
      <w:r w:rsidRPr="004E7851">
        <w:rPr>
          <w:rFonts w:hAnsi="標楷體" w:hint="eastAsia"/>
          <w:szCs w:val="32"/>
        </w:rPr>
        <w:t>，各年度需求經費為68</w:t>
      </w:r>
      <w:r w:rsidRPr="004E7851">
        <w:rPr>
          <w:rFonts w:hAnsi="標楷體"/>
          <w:szCs w:val="32"/>
        </w:rPr>
        <w:t>,</w:t>
      </w:r>
      <w:r w:rsidRPr="004E7851">
        <w:rPr>
          <w:rFonts w:hAnsi="標楷體" w:hint="eastAsia"/>
          <w:szCs w:val="32"/>
        </w:rPr>
        <w:t>669千元、97</w:t>
      </w:r>
      <w:r w:rsidRPr="004E7851">
        <w:rPr>
          <w:rFonts w:hAnsi="標楷體"/>
          <w:szCs w:val="32"/>
        </w:rPr>
        <w:t>,</w:t>
      </w:r>
      <w:r w:rsidRPr="004E7851">
        <w:rPr>
          <w:rFonts w:hAnsi="標楷體" w:hint="eastAsia"/>
          <w:szCs w:val="32"/>
        </w:rPr>
        <w:t>8</w:t>
      </w:r>
      <w:r w:rsidRPr="004E7851">
        <w:rPr>
          <w:rFonts w:hAnsi="標楷體"/>
          <w:szCs w:val="32"/>
        </w:rPr>
        <w:t>00</w:t>
      </w:r>
      <w:r w:rsidRPr="004E7851">
        <w:rPr>
          <w:rFonts w:hAnsi="標楷體" w:hint="eastAsia"/>
          <w:szCs w:val="32"/>
        </w:rPr>
        <w:t>千元、90</w:t>
      </w:r>
      <w:r w:rsidRPr="004E7851">
        <w:rPr>
          <w:rFonts w:hAnsi="標楷體"/>
          <w:szCs w:val="32"/>
        </w:rPr>
        <w:t>,</w:t>
      </w:r>
      <w:r w:rsidRPr="004E7851">
        <w:rPr>
          <w:rFonts w:hAnsi="標楷體" w:hint="eastAsia"/>
          <w:szCs w:val="32"/>
        </w:rPr>
        <w:t>8</w:t>
      </w:r>
      <w:r w:rsidRPr="004E7851">
        <w:rPr>
          <w:rFonts w:hAnsi="標楷體"/>
          <w:szCs w:val="32"/>
        </w:rPr>
        <w:t>00</w:t>
      </w:r>
      <w:r w:rsidRPr="004E7851">
        <w:rPr>
          <w:rFonts w:hAnsi="標楷體" w:hint="eastAsia"/>
          <w:szCs w:val="32"/>
        </w:rPr>
        <w:t>千元及88</w:t>
      </w:r>
      <w:r w:rsidRPr="004E7851">
        <w:rPr>
          <w:rFonts w:hAnsi="標楷體"/>
          <w:szCs w:val="32"/>
        </w:rPr>
        <w:t>,</w:t>
      </w:r>
      <w:r w:rsidRPr="004E7851">
        <w:rPr>
          <w:rFonts w:hAnsi="標楷體" w:hint="eastAsia"/>
          <w:szCs w:val="32"/>
        </w:rPr>
        <w:t>6</w:t>
      </w:r>
      <w:r w:rsidRPr="004E7851">
        <w:rPr>
          <w:rFonts w:hAnsi="標楷體"/>
          <w:szCs w:val="32"/>
        </w:rPr>
        <w:t>00</w:t>
      </w:r>
      <w:r w:rsidRPr="004E7851">
        <w:rPr>
          <w:rFonts w:hAnsi="標楷體" w:hint="eastAsia"/>
          <w:szCs w:val="32"/>
        </w:rPr>
        <w:t>千元，執行3項細部計畫「</w:t>
      </w:r>
      <w:r w:rsidRPr="004E7851">
        <w:rPr>
          <w:rFonts w:hAnsi="標楷體"/>
          <w:szCs w:val="32"/>
        </w:rPr>
        <w:t>建置化學物質安全使用</w:t>
      </w:r>
      <w:r w:rsidRPr="004E7851">
        <w:rPr>
          <w:rFonts w:hAnsi="標楷體"/>
          <w:szCs w:val="32"/>
        </w:rPr>
        <w:lastRenderedPageBreak/>
        <w:t>資訊整合平臺架構計畫</w:t>
      </w:r>
      <w:r w:rsidRPr="004E7851">
        <w:rPr>
          <w:rFonts w:hAnsi="標楷體" w:hint="eastAsia"/>
          <w:szCs w:val="32"/>
        </w:rPr>
        <w:t>」、「</w:t>
      </w:r>
      <w:r w:rsidRPr="004E7851">
        <w:rPr>
          <w:rFonts w:hAnsi="標楷體"/>
          <w:szCs w:val="32"/>
        </w:rPr>
        <w:t>化學物質智慧物聯網推動計畫</w:t>
      </w:r>
      <w:r w:rsidRPr="004E7851">
        <w:rPr>
          <w:rFonts w:hAnsi="標楷體" w:hint="eastAsia"/>
          <w:szCs w:val="32"/>
        </w:rPr>
        <w:t>」及「</w:t>
      </w:r>
      <w:r w:rsidRPr="004E7851">
        <w:rPr>
          <w:rFonts w:hAnsi="標楷體"/>
          <w:szCs w:val="32"/>
        </w:rPr>
        <w:t>化學物質管理及毒化災災防圖資系統建置計畫</w:t>
      </w:r>
      <w:r w:rsidRPr="004E7851">
        <w:rPr>
          <w:rFonts w:hAnsi="標楷體" w:hint="eastAsia"/>
          <w:szCs w:val="32"/>
        </w:rPr>
        <w:t>」（</w:t>
      </w:r>
      <w:r w:rsidRPr="004E7851">
        <w:rPr>
          <w:rFonts w:hAnsi="標楷體" w:hint="eastAsia"/>
          <w:szCs w:val="32"/>
          <w:lang w:eastAsia="zh-HK"/>
        </w:rPr>
        <w:t>各細部計畫重點如下</w:t>
      </w:r>
      <w:r w:rsidRPr="004E7851">
        <w:rPr>
          <w:rFonts w:hAnsi="標楷體" w:hint="eastAsia"/>
          <w:szCs w:val="32"/>
        </w:rPr>
        <w:t>），109年申請經費因科技部通知各部會申請上限，故調整申請經費為5</w:t>
      </w:r>
      <w:r w:rsidRPr="004E7851">
        <w:rPr>
          <w:rFonts w:hAnsi="標楷體"/>
          <w:szCs w:val="32"/>
        </w:rPr>
        <w:t>5,010</w:t>
      </w:r>
      <w:r w:rsidRPr="004E7851">
        <w:rPr>
          <w:rFonts w:hAnsi="標楷體" w:hint="eastAsia"/>
          <w:szCs w:val="32"/>
        </w:rPr>
        <w:t>千元，經科技部審核建議數及行政院核定數為10</w:t>
      </w:r>
      <w:r w:rsidRPr="004E7851">
        <w:rPr>
          <w:rFonts w:hAnsi="標楷體"/>
          <w:szCs w:val="32"/>
        </w:rPr>
        <w:t>,</w:t>
      </w:r>
      <w:r w:rsidRPr="004E7851">
        <w:rPr>
          <w:rFonts w:hAnsi="標楷體" w:hint="eastAsia"/>
          <w:szCs w:val="32"/>
        </w:rPr>
        <w:t>000千元。</w:t>
      </w:r>
    </w:p>
    <w:p w:rsidR="00B55ECF" w:rsidRPr="004E7851" w:rsidRDefault="00B55ECF" w:rsidP="00B55ECF">
      <w:pPr>
        <w:pStyle w:val="5"/>
        <w:numPr>
          <w:ilvl w:val="4"/>
          <w:numId w:val="1"/>
        </w:numPr>
        <w:rPr>
          <w:rFonts w:hAnsi="標楷體"/>
        </w:rPr>
      </w:pPr>
      <w:r w:rsidRPr="004E7851">
        <w:rPr>
          <w:rFonts w:hAnsi="標楷體" w:hint="eastAsia"/>
          <w:szCs w:val="32"/>
        </w:rPr>
        <w:t>「</w:t>
      </w:r>
      <w:r w:rsidRPr="004E7851">
        <w:rPr>
          <w:rFonts w:hAnsi="標楷體"/>
          <w:szCs w:val="32"/>
        </w:rPr>
        <w:t>建置化學物質安全使用資訊整合平臺架構計畫</w:t>
      </w:r>
      <w:r w:rsidRPr="004E7851">
        <w:rPr>
          <w:rFonts w:hAnsi="標楷體" w:hint="eastAsia"/>
          <w:szCs w:val="32"/>
        </w:rPr>
        <w:t>」：</w:t>
      </w:r>
    </w:p>
    <w:p w:rsidR="00B55ECF" w:rsidRPr="004E7851" w:rsidRDefault="00B55ECF" w:rsidP="00B55ECF">
      <w:pPr>
        <w:pStyle w:val="6"/>
        <w:numPr>
          <w:ilvl w:val="5"/>
          <w:numId w:val="1"/>
        </w:numPr>
        <w:rPr>
          <w:rFonts w:hAnsi="標楷體"/>
        </w:rPr>
      </w:pPr>
      <w:r w:rsidRPr="004E7851">
        <w:rPr>
          <w:rFonts w:hAnsi="標楷體" w:hint="eastAsia"/>
        </w:rPr>
        <w:t>擴充化學雲功能以串連關/稅務雲、產業雲、食品雲、農業雲及環境雲等雲端數據，整合各部會相關資料庫並建立資料交換機制，同時發展人工智慧</w:t>
      </w:r>
      <w:r w:rsidRPr="004E7851">
        <w:rPr>
          <w:rFonts w:hAnsi="標楷體"/>
        </w:rPr>
        <w:t>(Artificial Intelligence</w:t>
      </w:r>
      <w:r w:rsidRPr="004E7851">
        <w:rPr>
          <w:rFonts w:hAnsi="標楷體" w:hint="eastAsia"/>
        </w:rPr>
        <w:t>，</w:t>
      </w:r>
      <w:r w:rsidRPr="004E7851">
        <w:rPr>
          <w:rFonts w:hAnsi="標楷體" w:hint="eastAsia"/>
          <w:lang w:eastAsia="zh-HK"/>
        </w:rPr>
        <w:t>下稱</w:t>
      </w:r>
      <w:r w:rsidRPr="004E7851">
        <w:rPr>
          <w:rFonts w:hAnsi="標楷體"/>
        </w:rPr>
        <w:t>AI)</w:t>
      </w:r>
      <w:r w:rsidRPr="004E7851">
        <w:rPr>
          <w:rFonts w:hAnsi="標楷體" w:hint="eastAsia"/>
        </w:rPr>
        <w:t>技術，可透過數據交叉比對及勾稽，提升資料庫之完整性及正確性，同時可協助相關主管機關掌握化學物質流向、異常情形及預測風險危害，促進化學物質之安全使用，填補我國境內運作化學物質資訊缺乏之資訊斷層，預期將可強化化學物質相關法規管理效能，提</w:t>
      </w:r>
      <w:r w:rsidRPr="004E7851">
        <w:rPr>
          <w:rFonts w:hAnsi="標楷體" w:hint="eastAsia"/>
          <w:lang w:eastAsia="zh-HK"/>
        </w:rPr>
        <w:t>升</w:t>
      </w:r>
      <w:r w:rsidRPr="004E7851">
        <w:rPr>
          <w:rFonts w:hAnsi="標楷體" w:hint="eastAsia"/>
        </w:rPr>
        <w:t>國家整體管理標準。</w:t>
      </w:r>
    </w:p>
    <w:p w:rsidR="00B55ECF" w:rsidRPr="004E7851" w:rsidRDefault="00B55ECF" w:rsidP="00B55ECF">
      <w:pPr>
        <w:pStyle w:val="6"/>
        <w:numPr>
          <w:ilvl w:val="5"/>
          <w:numId w:val="1"/>
        </w:numPr>
        <w:rPr>
          <w:rFonts w:hAnsi="標楷體"/>
        </w:rPr>
      </w:pPr>
      <w:r w:rsidRPr="004E7851">
        <w:rPr>
          <w:rFonts w:hAnsi="標楷體" w:hint="eastAsia"/>
        </w:rPr>
        <w:t>整合化學物質管理相關平臺資料庫及圖層資料，彙整化學物質運作熱區基礎設施及環保、消防、衛生等各化災應變單位之各項搶救資源，可提供應變指揮官掌握現場狀況，以利研訂應變決策及相關搶救作為，且有助於強化相關應變單位之橫向溝通及資源調度，縮短應變期程，同時促進應變資源有效利用。</w:t>
      </w:r>
    </w:p>
    <w:p w:rsidR="00B55ECF" w:rsidRPr="004E7851" w:rsidRDefault="00B55ECF" w:rsidP="00B55ECF">
      <w:pPr>
        <w:pStyle w:val="5"/>
        <w:numPr>
          <w:ilvl w:val="4"/>
          <w:numId w:val="1"/>
        </w:numPr>
        <w:rPr>
          <w:rFonts w:hAnsi="標楷體"/>
        </w:rPr>
      </w:pPr>
      <w:r w:rsidRPr="004E7851">
        <w:rPr>
          <w:rFonts w:hAnsi="標楷體" w:hint="eastAsia"/>
          <w:szCs w:val="32"/>
        </w:rPr>
        <w:t>「</w:t>
      </w:r>
      <w:r w:rsidRPr="004E7851">
        <w:rPr>
          <w:rFonts w:hAnsi="標楷體"/>
          <w:szCs w:val="32"/>
        </w:rPr>
        <w:t>化學物質智慧物聯網推動計畫</w:t>
      </w:r>
      <w:r w:rsidRPr="004E7851">
        <w:rPr>
          <w:rFonts w:hAnsi="標楷體" w:hint="eastAsia"/>
          <w:szCs w:val="32"/>
        </w:rPr>
        <w:t>」：</w:t>
      </w:r>
    </w:p>
    <w:p w:rsidR="00B55ECF" w:rsidRPr="004E7851" w:rsidRDefault="00B55ECF" w:rsidP="00B55ECF">
      <w:pPr>
        <w:pStyle w:val="6"/>
        <w:numPr>
          <w:ilvl w:val="5"/>
          <w:numId w:val="1"/>
        </w:numPr>
        <w:rPr>
          <w:rFonts w:hAnsi="標楷體"/>
        </w:rPr>
      </w:pPr>
      <w:r w:rsidRPr="004E7851">
        <w:rPr>
          <w:rFonts w:hAnsi="標楷體"/>
        </w:rPr>
        <w:t>跨部會合作建置化學物質流向智慧物聯網，</w:t>
      </w:r>
      <w:r w:rsidRPr="004E7851">
        <w:rPr>
          <w:rFonts w:hAnsi="標楷體"/>
        </w:rPr>
        <w:lastRenderedPageBreak/>
        <w:t>利用無線通訊技術、射頻感測技術、物聯網(Internet of Things, IoT)與條碼管理等技術，及結合企業資源規劃(ERP)系統，並透過化學雲串連相關資料庫，追蹤、追溯物流鏈上化學物質（包括自採購、運輸、入庫、倉儲、出庫、使用及廢棄等流程），減少業者申報作業。</w:t>
      </w:r>
    </w:p>
    <w:p w:rsidR="00B55ECF" w:rsidRPr="004E7851" w:rsidRDefault="00B55ECF" w:rsidP="00B55ECF">
      <w:pPr>
        <w:pStyle w:val="6"/>
        <w:numPr>
          <w:ilvl w:val="5"/>
          <w:numId w:val="1"/>
        </w:numPr>
        <w:rPr>
          <w:rFonts w:hAnsi="標楷體"/>
        </w:rPr>
      </w:pPr>
      <w:r w:rsidRPr="004E7851">
        <w:rPr>
          <w:rFonts w:hAnsi="標楷體"/>
        </w:rPr>
        <w:t>針對相關主管機關、廠商、民眾等利害相關人，在平衡公眾知情權、商業機密及主管機關管理需求前提下，分別依需求設計，結合化學物質流向地理資訊等，以完備化學物質流向追蹤與勾稽機制。</w:t>
      </w:r>
    </w:p>
    <w:p w:rsidR="00B55ECF" w:rsidRPr="004E7851" w:rsidRDefault="00B55ECF" w:rsidP="00B55ECF">
      <w:pPr>
        <w:pStyle w:val="5"/>
        <w:numPr>
          <w:ilvl w:val="4"/>
          <w:numId w:val="1"/>
        </w:numPr>
        <w:rPr>
          <w:rFonts w:hAnsi="標楷體"/>
        </w:rPr>
      </w:pPr>
      <w:r w:rsidRPr="004E7851">
        <w:rPr>
          <w:rFonts w:hAnsi="標楷體" w:hint="eastAsia"/>
          <w:szCs w:val="32"/>
        </w:rPr>
        <w:t>「</w:t>
      </w:r>
      <w:r w:rsidRPr="004E7851">
        <w:rPr>
          <w:rFonts w:hAnsi="標楷體"/>
          <w:szCs w:val="32"/>
        </w:rPr>
        <w:t>化學物質管理及毒化災災防圖資系統建置計畫</w:t>
      </w:r>
      <w:r w:rsidRPr="004E7851">
        <w:rPr>
          <w:rFonts w:hAnsi="標楷體" w:hint="eastAsia"/>
          <w:szCs w:val="32"/>
        </w:rPr>
        <w:t>」：</w:t>
      </w:r>
    </w:p>
    <w:p w:rsidR="00B55ECF" w:rsidRPr="004E7851" w:rsidRDefault="00B55ECF" w:rsidP="00B55ECF">
      <w:pPr>
        <w:pStyle w:val="6"/>
        <w:numPr>
          <w:ilvl w:val="5"/>
          <w:numId w:val="1"/>
        </w:numPr>
        <w:rPr>
          <w:rFonts w:hAnsi="標楷體"/>
        </w:rPr>
      </w:pPr>
      <w:r w:rsidRPr="004E7851">
        <w:rPr>
          <w:rFonts w:hAnsi="標楷體"/>
        </w:rPr>
        <w:t>以現階段化學雲蒐集資料及消防體系建置圖資檔案為基礎，結合地理資訊系統，新建架構「災防圖資與應變資源統合平臺」，以掌握化學物質基本特性資料與運作場域配置圖，及地區應變資源狀況及動態等，俾達跨領域（環保、消防、警察、衛生及聯防組織等）及跨區域資源共享，利於後續之救災及資源調度工作。目前國內毒化災應變資材調度中心分別設立於南投縣及高雄市，考量北部地區工業區及港區大量運作毒性與具危害性化學物質，為縮短事故應變及器材設備支援及調度時效，故規劃於北區另新建資材調度中心，以完備國內資材調度系統。</w:t>
      </w:r>
    </w:p>
    <w:p w:rsidR="00B55ECF" w:rsidRPr="004E7851" w:rsidRDefault="00B55ECF" w:rsidP="00B55ECF">
      <w:pPr>
        <w:pStyle w:val="6"/>
        <w:numPr>
          <w:ilvl w:val="5"/>
          <w:numId w:val="1"/>
        </w:numPr>
        <w:rPr>
          <w:rFonts w:hAnsi="標楷體"/>
        </w:rPr>
      </w:pPr>
      <w:r w:rsidRPr="004E7851">
        <w:rPr>
          <w:rFonts w:hAnsi="標楷體"/>
        </w:rPr>
        <w:t>建置3D智慧災防體系需同時配置救災人員穿戴行動裝置，並規劃運用虛擬實境(Virtual Reality, VR)、擴充實境</w:t>
      </w:r>
      <w:r w:rsidRPr="004E7851">
        <w:rPr>
          <w:rFonts w:hAnsi="標楷體"/>
        </w:rPr>
        <w:lastRenderedPageBreak/>
        <w:t>(Augmented Reality, AR)或混合實境(Mixed Reality, MR)技術，及AI預警決策功能等，利於整備訓練相關人員，災變時即時取得化學物質資訊及降低風險。</w:t>
      </w:r>
    </w:p>
    <w:p w:rsidR="00B55ECF" w:rsidRPr="004E7851" w:rsidRDefault="00B55ECF" w:rsidP="00B55ECF">
      <w:pPr>
        <w:pStyle w:val="3"/>
        <w:numPr>
          <w:ilvl w:val="2"/>
          <w:numId w:val="1"/>
        </w:numPr>
        <w:rPr>
          <w:rFonts w:hAnsi="標楷體"/>
          <w:lang w:eastAsia="zh-HK"/>
        </w:rPr>
      </w:pPr>
      <w:r w:rsidRPr="004E7851">
        <w:rPr>
          <w:rFonts w:hAnsi="標楷體" w:hint="eastAsia"/>
          <w:lang w:eastAsia="zh-HK"/>
        </w:rPr>
        <w:t>綜上</w:t>
      </w:r>
      <w:r w:rsidRPr="004E7851">
        <w:rPr>
          <w:rFonts w:hAnsi="標楷體" w:hint="eastAsia"/>
        </w:rPr>
        <w:t>，</w:t>
      </w:r>
      <w:r w:rsidRPr="004E7851">
        <w:rPr>
          <w:rFonts w:hAnsi="標楷體" w:hint="eastAsia"/>
          <w:lang w:eastAsia="zh-HK"/>
        </w:rPr>
        <w:t>食藥署因應食品雲之開發與維運等新增業務支出，自105年度以來即增編適足預算執行，而化學雲自</w:t>
      </w:r>
      <w:r w:rsidRPr="004E7851">
        <w:rPr>
          <w:rFonts w:hAnsi="標楷體" w:hint="eastAsia"/>
        </w:rPr>
        <w:t>104</w:t>
      </w:r>
      <w:r w:rsidRPr="004E7851">
        <w:rPr>
          <w:rFonts w:hAnsi="標楷體" w:hint="eastAsia"/>
          <w:lang w:eastAsia="zh-HK"/>
        </w:rPr>
        <w:t>年上線運作至今</w:t>
      </w:r>
      <w:r w:rsidRPr="004E7851">
        <w:rPr>
          <w:rFonts w:hAnsi="標楷體" w:hint="eastAsia"/>
        </w:rPr>
        <w:t>，</w:t>
      </w:r>
      <w:r w:rsidRPr="004E7851">
        <w:rPr>
          <w:rFonts w:hAnsi="標楷體" w:hint="eastAsia"/>
          <w:lang w:eastAsia="zh-HK"/>
        </w:rPr>
        <w:t>已逐步盤點</w:t>
      </w:r>
      <w:r w:rsidRPr="004E7851">
        <w:rPr>
          <w:rFonts w:hAnsi="標楷體"/>
          <w:lang w:eastAsia="zh-HK"/>
        </w:rPr>
        <w:t>國內化學物質種類、廠商資料、運作數量、上游及下游流向等資訊</w:t>
      </w:r>
      <w:r w:rsidRPr="004E7851">
        <w:rPr>
          <w:rFonts w:hAnsi="標楷體" w:hint="eastAsia"/>
        </w:rPr>
        <w:t>，</w:t>
      </w:r>
      <w:r w:rsidRPr="004E7851">
        <w:rPr>
          <w:rFonts w:hAnsi="標楷體" w:hint="eastAsia"/>
          <w:lang w:eastAsia="zh-HK"/>
        </w:rPr>
        <w:t>且進行</w:t>
      </w:r>
      <w:r w:rsidRPr="004E7851">
        <w:rPr>
          <w:rFonts w:hAnsi="標楷體"/>
          <w:lang w:eastAsia="zh-HK"/>
        </w:rPr>
        <w:t>歸戶處理</w:t>
      </w:r>
      <w:r w:rsidRPr="004E7851">
        <w:rPr>
          <w:rFonts w:hAnsi="標楷體" w:hint="eastAsia"/>
          <w:lang w:eastAsia="zh-HK"/>
        </w:rPr>
        <w:t>，並</w:t>
      </w:r>
      <w:r w:rsidRPr="004E7851">
        <w:rPr>
          <w:rFonts w:hAnsi="標楷體"/>
          <w:lang w:eastAsia="zh-HK"/>
        </w:rPr>
        <w:t>協助</w:t>
      </w:r>
      <w:r w:rsidRPr="004E7851">
        <w:rPr>
          <w:rFonts w:hAnsi="標楷體" w:hint="eastAsia"/>
          <w:lang w:eastAsia="zh-HK"/>
        </w:rPr>
        <w:t>衛福部（食藥署）、</w:t>
      </w:r>
      <w:r w:rsidRPr="004E7851">
        <w:rPr>
          <w:rFonts w:hAnsi="標楷體"/>
          <w:lang w:eastAsia="zh-HK"/>
        </w:rPr>
        <w:t>經濟部</w:t>
      </w:r>
      <w:r w:rsidRPr="004E7851">
        <w:rPr>
          <w:rFonts w:hAnsi="標楷體" w:hint="eastAsia"/>
          <w:lang w:eastAsia="zh-HK"/>
        </w:rPr>
        <w:t>（</w:t>
      </w:r>
      <w:r w:rsidR="000748A3" w:rsidRPr="004E7851">
        <w:rPr>
          <w:rFonts w:hAnsi="標楷體"/>
          <w:lang w:eastAsia="zh-HK"/>
        </w:rPr>
        <w:t>中部辦公室</w:t>
      </w:r>
      <w:r w:rsidRPr="004E7851">
        <w:rPr>
          <w:rFonts w:hAnsi="標楷體" w:hint="eastAsia"/>
          <w:lang w:eastAsia="zh-HK"/>
        </w:rPr>
        <w:t>、商業司）及勞動部（職業安全衛生署）等篩選比對食品安全高風險疑慮廠商、</w:t>
      </w:r>
      <w:r w:rsidRPr="004E7851">
        <w:rPr>
          <w:rFonts w:hAnsi="標楷體"/>
          <w:lang w:eastAsia="zh-HK"/>
        </w:rPr>
        <w:t>生產選定化學物質工廠疑似未申報廠家</w:t>
      </w:r>
      <w:r w:rsidRPr="004E7851">
        <w:rPr>
          <w:rFonts w:hAnsi="標楷體" w:hint="eastAsia"/>
        </w:rPr>
        <w:t>、</w:t>
      </w:r>
      <w:r w:rsidRPr="004E7851">
        <w:rPr>
          <w:rFonts w:hAnsi="標楷體"/>
          <w:lang w:eastAsia="zh-HK"/>
        </w:rPr>
        <w:t>食品安全相關化學物質(包括衞福部優先列入加強勾稽37種化學物質及經濟部57種生產選定化學物質)之化工原料業者可疑廠商</w:t>
      </w:r>
      <w:r w:rsidRPr="004E7851">
        <w:rPr>
          <w:rFonts w:hAnsi="標楷體" w:hint="eastAsia"/>
          <w:lang w:eastAsia="zh-HK"/>
        </w:rPr>
        <w:t>、</w:t>
      </w:r>
      <w:r w:rsidRPr="004E7851">
        <w:rPr>
          <w:rFonts w:hAnsi="標楷體"/>
        </w:rPr>
        <w:t>管制性化</w:t>
      </w:r>
      <w:r w:rsidRPr="004E7851">
        <w:rPr>
          <w:rFonts w:hAnsi="標楷體"/>
          <w:lang w:eastAsia="zh-HK"/>
        </w:rPr>
        <w:t>學品疑似未申報廠商</w:t>
      </w:r>
      <w:r w:rsidRPr="004E7851">
        <w:rPr>
          <w:rFonts w:hAnsi="標楷體" w:hint="eastAsia"/>
          <w:lang w:eastAsia="zh-HK"/>
        </w:rPr>
        <w:t>等可疑名單，提供初步警示功能，強化化學物質管理；</w:t>
      </w:r>
      <w:r w:rsidRPr="004E7851">
        <w:rPr>
          <w:rFonts w:hAnsi="標楷體"/>
          <w:lang w:eastAsia="zh-HK"/>
        </w:rPr>
        <w:t>相關</w:t>
      </w:r>
      <w:r w:rsidRPr="004E7851">
        <w:rPr>
          <w:rFonts w:hAnsi="標楷體" w:hint="eastAsia"/>
          <w:lang w:eastAsia="zh-HK"/>
        </w:rPr>
        <w:t>單位亦可</w:t>
      </w:r>
      <w:r w:rsidRPr="004E7851">
        <w:rPr>
          <w:rFonts w:hAnsi="標楷體"/>
          <w:lang w:eastAsia="zh-HK"/>
        </w:rPr>
        <w:t>運用</w:t>
      </w:r>
      <w:r w:rsidRPr="004E7851">
        <w:rPr>
          <w:rFonts w:hAnsi="標楷體" w:hint="eastAsia"/>
          <w:lang w:eastAsia="zh-HK"/>
        </w:rPr>
        <w:t>化學雲</w:t>
      </w:r>
      <w:r w:rsidRPr="004E7851">
        <w:rPr>
          <w:rFonts w:hAnsi="標楷體"/>
          <w:lang w:eastAsia="zh-HK"/>
        </w:rPr>
        <w:t>納入環境檢測數據進行工廠污染源、環境污染物分布關聯性之分析，作為健康危害風險專業性評估參考</w:t>
      </w:r>
      <w:r w:rsidRPr="004E7851">
        <w:rPr>
          <w:rFonts w:hAnsi="標楷體" w:hint="eastAsia"/>
        </w:rPr>
        <w:t>；</w:t>
      </w:r>
      <w:r w:rsidRPr="004E7851">
        <w:rPr>
          <w:rFonts w:hAnsi="標楷體" w:hint="eastAsia"/>
          <w:u w:val="single"/>
          <w:lang w:eastAsia="zh-HK"/>
        </w:rPr>
        <w:t>尤其</w:t>
      </w:r>
      <w:r w:rsidRPr="004E7851">
        <w:rPr>
          <w:rFonts w:hAnsi="標楷體" w:hint="eastAsia"/>
          <w:u w:val="single"/>
        </w:rPr>
        <w:t>，</w:t>
      </w:r>
      <w:r w:rsidRPr="004E7851">
        <w:rPr>
          <w:rFonts w:hAnsi="標楷體" w:hint="eastAsia"/>
          <w:u w:val="single"/>
          <w:lang w:eastAsia="zh-HK"/>
        </w:rPr>
        <w:t>化學雲在消防救災資訊提供上，有助於消防人員瞭解事故現場化學物質危害性與危險化學品所在區位，得以迅速確實搶救受困人員，降低消防人員於火場遭受生命之危害</w:t>
      </w:r>
      <w:r w:rsidRPr="004E7851">
        <w:rPr>
          <w:rFonts w:hAnsi="標楷體" w:hint="eastAsia"/>
          <w:u w:val="single"/>
        </w:rPr>
        <w:t>。</w:t>
      </w:r>
      <w:r w:rsidRPr="004E7851">
        <w:rPr>
          <w:rFonts w:hAnsi="標楷體" w:hint="eastAsia"/>
          <w:u w:val="single"/>
          <w:lang w:eastAsia="zh-HK"/>
        </w:rPr>
        <w:t>況且，</w:t>
      </w:r>
      <w:r w:rsidRPr="004E7851">
        <w:rPr>
          <w:rFonts w:hAnsi="標楷體"/>
          <w:u w:val="single"/>
          <w:lang w:eastAsia="zh-HK"/>
        </w:rPr>
        <w:t>行政院107年4月2日核定</w:t>
      </w:r>
      <w:r w:rsidRPr="004E7851">
        <w:rPr>
          <w:rFonts w:hAnsi="標楷體" w:hint="eastAsia"/>
          <w:u w:val="single"/>
          <w:lang w:eastAsia="zh-HK"/>
        </w:rPr>
        <w:t>之</w:t>
      </w:r>
      <w:r w:rsidRPr="004E7851">
        <w:rPr>
          <w:rFonts w:hAnsi="標楷體"/>
          <w:u w:val="single"/>
          <w:lang w:eastAsia="zh-HK"/>
        </w:rPr>
        <w:t>「國家化學物質管理政策綱領」，</w:t>
      </w:r>
      <w:r w:rsidRPr="004E7851">
        <w:rPr>
          <w:rFonts w:hAnsi="標楷體" w:hint="eastAsia"/>
          <w:u w:val="single"/>
          <w:lang w:eastAsia="zh-HK"/>
        </w:rPr>
        <w:t>以「有效管理化學物質，建構健康永續環境」為化學物質管理之願景</w:t>
      </w:r>
      <w:r w:rsidRPr="004E7851">
        <w:rPr>
          <w:rFonts w:hAnsi="標楷體" w:hint="eastAsia"/>
          <w:lang w:eastAsia="zh-HK"/>
        </w:rPr>
        <w:t>，環保署更明定此為109年度施政目標，並明確揭示</w:t>
      </w:r>
      <w:r w:rsidRPr="004E7851">
        <w:rPr>
          <w:rFonts w:hAnsi="標楷體"/>
          <w:lang w:eastAsia="zh-HK"/>
        </w:rPr>
        <w:t>「執行109-112年</w:t>
      </w:r>
      <w:r w:rsidRPr="004E7851">
        <w:rPr>
          <w:rFonts w:hAnsi="標楷體" w:hint="eastAsia"/>
          <w:lang w:eastAsia="zh-HK"/>
        </w:rPr>
        <w:t>『</w:t>
      </w:r>
      <w:r w:rsidRPr="004E7851">
        <w:rPr>
          <w:rFonts w:hAnsi="標楷體"/>
          <w:lang w:eastAsia="zh-HK"/>
        </w:rPr>
        <w:t>化學物質安全使用資訊整合平臺及科技化管理計畫</w:t>
      </w:r>
      <w:r w:rsidRPr="004E7851">
        <w:rPr>
          <w:rFonts w:hAnsi="標楷體" w:hint="eastAsia"/>
          <w:lang w:eastAsia="zh-HK"/>
        </w:rPr>
        <w:t>』</w:t>
      </w:r>
      <w:r w:rsidRPr="004E7851">
        <w:rPr>
          <w:rFonts w:hAnsi="標楷體"/>
          <w:lang w:eastAsia="zh-HK"/>
        </w:rPr>
        <w:t>，以化學雲串連各雲端數據，整合部會</w:t>
      </w:r>
      <w:r w:rsidRPr="004E7851">
        <w:rPr>
          <w:rFonts w:hAnsi="標楷體" w:cs="Times"/>
        </w:rPr>
        <w:t>機關災防圖資及建立資料交換機制等，並回饋相關機關應用</w:t>
      </w:r>
      <w:r w:rsidRPr="004E7851">
        <w:rPr>
          <w:rFonts w:hAnsi="標楷體"/>
        </w:rPr>
        <w:t>，提升資訊整合效益」</w:t>
      </w:r>
      <w:r w:rsidRPr="004E7851">
        <w:rPr>
          <w:rFonts w:hAnsi="標楷體" w:hint="eastAsia"/>
        </w:rPr>
        <w:t>列為重要執行策</w:t>
      </w:r>
      <w:r w:rsidRPr="004E7851">
        <w:rPr>
          <w:rFonts w:hAnsi="標楷體" w:hint="eastAsia"/>
        </w:rPr>
        <w:lastRenderedPageBreak/>
        <w:t>略之一，</w:t>
      </w:r>
      <w:r w:rsidRPr="004E7851">
        <w:rPr>
          <w:rFonts w:hAnsi="標楷體" w:hint="eastAsia"/>
          <w:u w:val="single"/>
        </w:rPr>
        <w:t>然化學雲之建置、</w:t>
      </w:r>
      <w:r w:rsidRPr="004E7851">
        <w:rPr>
          <w:rFonts w:hAnsi="標楷體" w:hint="eastAsia"/>
          <w:u w:val="single"/>
          <w:lang w:eastAsia="zh-HK"/>
        </w:rPr>
        <w:t>擴增</w:t>
      </w:r>
      <w:r w:rsidRPr="004E7851">
        <w:rPr>
          <w:rFonts w:hAnsi="標楷體" w:hint="eastAsia"/>
          <w:u w:val="single"/>
        </w:rPr>
        <w:t>及維運</w:t>
      </w:r>
      <w:r w:rsidRPr="004E7851">
        <w:rPr>
          <w:rFonts w:hAnsi="標楷體" w:hint="eastAsia"/>
          <w:u w:val="single"/>
          <w:lang w:eastAsia="zh-HK"/>
        </w:rPr>
        <w:t>等</w:t>
      </w:r>
      <w:r w:rsidRPr="004E7851">
        <w:rPr>
          <w:rFonts w:hAnsi="標楷體" w:hint="eastAsia"/>
          <w:u w:val="single"/>
        </w:rPr>
        <w:t>所需經費，並未於業務機關內編列適足預算執行，僅透過行政院與其他部會以科技計畫補助方式辦理，109年度需用經費</w:t>
      </w:r>
      <w:r w:rsidRPr="004E7851">
        <w:rPr>
          <w:rFonts w:hAnsi="標楷體" w:hint="eastAsia"/>
        </w:rPr>
        <w:t>68,669千元亦大幅核減至10,000千元，</w:t>
      </w:r>
      <w:r w:rsidRPr="004E7851">
        <w:rPr>
          <w:rFonts w:hAnsi="標楷體" w:hint="eastAsia"/>
          <w:u w:val="single"/>
        </w:rPr>
        <w:t>減列幅度高達85%</w:t>
      </w:r>
      <w:r w:rsidRPr="004E7851">
        <w:rPr>
          <w:rFonts w:hAnsi="標楷體" w:hint="eastAsia"/>
        </w:rPr>
        <w:t>，不利業務之推展，行政院</w:t>
      </w:r>
      <w:r w:rsidR="004C66A1" w:rsidRPr="004E7851">
        <w:rPr>
          <w:rFonts w:hAnsi="標楷體" w:hint="eastAsia"/>
        </w:rPr>
        <w:t>允宜</w:t>
      </w:r>
      <w:r w:rsidRPr="004E7851">
        <w:rPr>
          <w:rFonts w:hAnsi="標楷體" w:hint="eastAsia"/>
        </w:rPr>
        <w:t>督導所屬積極檢討妥處。</w:t>
      </w:r>
    </w:p>
    <w:p w:rsidR="00F6409F" w:rsidRPr="004E7851" w:rsidRDefault="00F6409F" w:rsidP="00FC3D65">
      <w:pPr>
        <w:pStyle w:val="3"/>
        <w:numPr>
          <w:ilvl w:val="0"/>
          <w:numId w:val="0"/>
        </w:numPr>
        <w:ind w:left="1361"/>
        <w:rPr>
          <w:rFonts w:hAnsi="標楷體"/>
          <w:lang w:eastAsia="zh-HK"/>
        </w:rPr>
      </w:pPr>
    </w:p>
    <w:p w:rsidR="00F6409F" w:rsidRPr="004E7851" w:rsidRDefault="00F6409F" w:rsidP="00FC3D65">
      <w:pPr>
        <w:pStyle w:val="3"/>
        <w:numPr>
          <w:ilvl w:val="0"/>
          <w:numId w:val="0"/>
        </w:numPr>
        <w:ind w:left="1361"/>
        <w:rPr>
          <w:rFonts w:hAnsi="標楷體"/>
          <w:lang w:eastAsia="zh-HK"/>
        </w:rPr>
        <w:sectPr w:rsidR="00F6409F" w:rsidRPr="004E7851" w:rsidSect="003D4362">
          <w:pgSz w:w="11907" w:h="16840" w:code="9"/>
          <w:pgMar w:top="1701" w:right="1418" w:bottom="1418" w:left="1418" w:header="851" w:footer="851" w:gutter="227"/>
          <w:cols w:space="425"/>
          <w:docGrid w:type="linesAndChars" w:linePitch="457" w:charSpace="4127"/>
        </w:sectPr>
      </w:pPr>
    </w:p>
    <w:p w:rsidR="00F6409F" w:rsidRPr="004E7851" w:rsidRDefault="0091669C" w:rsidP="0091669C">
      <w:pPr>
        <w:pStyle w:val="1"/>
        <w:numPr>
          <w:ilvl w:val="0"/>
          <w:numId w:val="1"/>
        </w:numPr>
        <w:wordWrap w:val="0"/>
        <w:ind w:left="2380" w:hanging="2380"/>
        <w:rPr>
          <w:rFonts w:hAnsi="標楷體"/>
        </w:rPr>
      </w:pPr>
      <w:r w:rsidRPr="004E7851">
        <w:rPr>
          <w:rFonts w:hAnsi="標楷體"/>
        </w:rPr>
        <w:lastRenderedPageBreak/>
        <w:t>處理辦法：</w:t>
      </w:r>
    </w:p>
    <w:p w:rsidR="00002D1F" w:rsidRPr="004E7851" w:rsidRDefault="0091669C" w:rsidP="00002D1F">
      <w:pPr>
        <w:pStyle w:val="2"/>
        <w:numPr>
          <w:ilvl w:val="1"/>
          <w:numId w:val="1"/>
        </w:numPr>
        <w:wordWrap w:val="0"/>
        <w:rPr>
          <w:rFonts w:hAnsi="標楷體"/>
        </w:rPr>
      </w:pPr>
      <w:bookmarkStart w:id="26" w:name="_Toc524895649"/>
      <w:bookmarkStart w:id="27" w:name="_Toc524896195"/>
      <w:bookmarkStart w:id="28" w:name="_Toc524896225"/>
      <w:bookmarkEnd w:id="26"/>
      <w:bookmarkEnd w:id="27"/>
      <w:bookmarkEnd w:id="28"/>
      <w:r w:rsidRPr="004E7851">
        <w:rPr>
          <w:rFonts w:hAnsi="標楷體"/>
        </w:rPr>
        <w:t>調查意見</w:t>
      </w:r>
      <w:r w:rsidR="00557F9B" w:rsidRPr="004E7851">
        <w:rPr>
          <w:rFonts w:hAnsi="標楷體" w:hint="eastAsia"/>
        </w:rPr>
        <w:t>一、二、四</w:t>
      </w:r>
      <w:r w:rsidR="00FC3D65" w:rsidRPr="004E7851">
        <w:rPr>
          <w:rFonts w:hAnsi="標楷體" w:hint="eastAsia"/>
        </w:rPr>
        <w:t>、</w:t>
      </w:r>
      <w:r w:rsidR="00557F9B" w:rsidRPr="004E7851">
        <w:rPr>
          <w:rFonts w:hAnsi="標楷體" w:hint="eastAsia"/>
        </w:rPr>
        <w:t>五</w:t>
      </w:r>
      <w:r w:rsidR="00FC3D65" w:rsidRPr="004E7851">
        <w:rPr>
          <w:rFonts w:hAnsi="標楷體" w:hint="eastAsia"/>
        </w:rPr>
        <w:t>及八</w:t>
      </w:r>
      <w:r w:rsidR="00557F9B" w:rsidRPr="004E7851">
        <w:rPr>
          <w:rFonts w:hAnsi="標楷體" w:hint="eastAsia"/>
        </w:rPr>
        <w:t>，函請衛生福利部督促所屬檢討改善見復。</w:t>
      </w:r>
    </w:p>
    <w:p w:rsidR="00557F9B" w:rsidRPr="004E7851" w:rsidRDefault="00557F9B" w:rsidP="00002D1F">
      <w:pPr>
        <w:pStyle w:val="2"/>
        <w:numPr>
          <w:ilvl w:val="1"/>
          <w:numId w:val="1"/>
        </w:numPr>
        <w:wordWrap w:val="0"/>
        <w:rPr>
          <w:rFonts w:hAnsi="標楷體"/>
        </w:rPr>
      </w:pPr>
      <w:r w:rsidRPr="004E7851">
        <w:rPr>
          <w:rFonts w:hAnsi="標楷體" w:hint="eastAsia"/>
        </w:rPr>
        <w:t>調查意見</w:t>
      </w:r>
      <w:r w:rsidR="00FC3D65" w:rsidRPr="004E7851">
        <w:rPr>
          <w:rFonts w:hAnsi="標楷體" w:hint="eastAsia"/>
        </w:rPr>
        <w:t>三、</w:t>
      </w:r>
      <w:r w:rsidRPr="004E7851">
        <w:rPr>
          <w:rFonts w:hAnsi="標楷體" w:hint="eastAsia"/>
        </w:rPr>
        <w:t>四及五，函請行政院環境保護署督同所屬檢討改善見復。</w:t>
      </w:r>
    </w:p>
    <w:p w:rsidR="00557F9B" w:rsidRPr="004E7851" w:rsidRDefault="00557F9B" w:rsidP="00002D1F">
      <w:pPr>
        <w:pStyle w:val="2"/>
        <w:numPr>
          <w:ilvl w:val="1"/>
          <w:numId w:val="1"/>
        </w:numPr>
        <w:wordWrap w:val="0"/>
        <w:rPr>
          <w:rFonts w:hAnsi="標楷體"/>
        </w:rPr>
      </w:pPr>
      <w:r w:rsidRPr="004E7851">
        <w:rPr>
          <w:rFonts w:hAnsi="標楷體" w:hint="eastAsia"/>
        </w:rPr>
        <w:t>調查意見六及</w:t>
      </w:r>
      <w:r w:rsidR="00FC3D65" w:rsidRPr="004E7851">
        <w:rPr>
          <w:rFonts w:hAnsi="標楷體" w:hint="eastAsia"/>
        </w:rPr>
        <w:t>九</w:t>
      </w:r>
      <w:r w:rsidRPr="004E7851">
        <w:rPr>
          <w:rFonts w:hAnsi="標楷體" w:hint="eastAsia"/>
        </w:rPr>
        <w:t>，函請行政院督促所屬檢討改善見復。</w:t>
      </w:r>
    </w:p>
    <w:p w:rsidR="00557F9B" w:rsidRPr="004E7851" w:rsidRDefault="00557F9B" w:rsidP="00002D1F">
      <w:pPr>
        <w:pStyle w:val="2"/>
        <w:numPr>
          <w:ilvl w:val="1"/>
          <w:numId w:val="1"/>
        </w:numPr>
        <w:wordWrap w:val="0"/>
        <w:rPr>
          <w:rFonts w:hAnsi="標楷體"/>
        </w:rPr>
      </w:pPr>
      <w:r w:rsidRPr="004E7851">
        <w:rPr>
          <w:rFonts w:hAnsi="標楷體" w:hint="eastAsia"/>
        </w:rPr>
        <w:t>調查意見七，函請經濟部檢討改善見復。</w:t>
      </w:r>
    </w:p>
    <w:p w:rsidR="00FC3D65" w:rsidRPr="004E7851" w:rsidRDefault="00FC3D65" w:rsidP="00002D1F">
      <w:pPr>
        <w:pStyle w:val="2"/>
        <w:numPr>
          <w:ilvl w:val="1"/>
          <w:numId w:val="1"/>
        </w:numPr>
        <w:wordWrap w:val="0"/>
        <w:rPr>
          <w:rFonts w:hAnsi="標楷體"/>
        </w:rPr>
      </w:pPr>
      <w:r w:rsidRPr="004E7851">
        <w:rPr>
          <w:rFonts w:hAnsi="標楷體" w:hint="eastAsia"/>
        </w:rPr>
        <w:t>調查意見八，函請教育部檢討改善見復。</w:t>
      </w:r>
    </w:p>
    <w:p w:rsidR="00762735" w:rsidRPr="004E7851" w:rsidRDefault="00762735" w:rsidP="00002D1F">
      <w:pPr>
        <w:pStyle w:val="2"/>
        <w:numPr>
          <w:ilvl w:val="1"/>
          <w:numId w:val="1"/>
        </w:numPr>
        <w:wordWrap w:val="0"/>
        <w:rPr>
          <w:rFonts w:hAnsi="標楷體"/>
        </w:rPr>
      </w:pPr>
      <w:r w:rsidRPr="004E7851">
        <w:rPr>
          <w:rFonts w:hAnsi="標楷體" w:hint="eastAsia"/>
          <w:lang w:eastAsia="zh-HK"/>
        </w:rPr>
        <w:t>調查意見</w:t>
      </w:r>
      <w:r w:rsidRPr="004E7851">
        <w:rPr>
          <w:rFonts w:hAnsi="標楷體" w:hint="eastAsia"/>
        </w:rPr>
        <w:t>，</w:t>
      </w:r>
      <w:r w:rsidR="00A7772A" w:rsidRPr="004E7851">
        <w:rPr>
          <w:rFonts w:hAnsi="標楷體" w:hint="eastAsia"/>
        </w:rPr>
        <w:t>函請審計部參考</w:t>
      </w:r>
      <w:r w:rsidRPr="004E7851">
        <w:rPr>
          <w:rFonts w:hAnsi="標楷體" w:hint="eastAsia"/>
          <w:lang w:eastAsia="zh-HK"/>
        </w:rPr>
        <w:t>。</w:t>
      </w:r>
    </w:p>
    <w:p w:rsidR="0091669C" w:rsidRPr="004E7851" w:rsidRDefault="0091669C" w:rsidP="0091669C">
      <w:pPr>
        <w:pStyle w:val="2"/>
        <w:numPr>
          <w:ilvl w:val="1"/>
          <w:numId w:val="1"/>
        </w:numPr>
        <w:wordWrap w:val="0"/>
        <w:rPr>
          <w:rFonts w:hAnsi="標楷體"/>
        </w:rPr>
      </w:pPr>
      <w:r w:rsidRPr="004E7851">
        <w:rPr>
          <w:rFonts w:hAnsi="標楷體"/>
          <w:spacing w:val="-4"/>
        </w:rPr>
        <w:t>檢附派查函及相關附件，送請</w:t>
      </w:r>
      <w:r w:rsidR="00002D1F" w:rsidRPr="004E7851">
        <w:rPr>
          <w:rFonts w:hAnsi="標楷體" w:hint="eastAsia"/>
          <w:spacing w:val="-4"/>
        </w:rPr>
        <w:t>內政及族群</w:t>
      </w:r>
      <w:r w:rsidR="009D4F8D" w:rsidRPr="004E7851">
        <w:rPr>
          <w:rFonts w:hAnsi="標楷體" w:hint="eastAsia"/>
          <w:spacing w:val="-4"/>
          <w:lang w:eastAsia="zh-HK"/>
        </w:rPr>
        <w:t>委員會</w:t>
      </w:r>
      <w:r w:rsidR="00002D1F" w:rsidRPr="004E7851">
        <w:rPr>
          <w:rFonts w:hAnsi="標楷體" w:hint="eastAsia"/>
          <w:spacing w:val="-4"/>
        </w:rPr>
        <w:t>、</w:t>
      </w:r>
      <w:r w:rsidR="00F008D8" w:rsidRPr="004E7851">
        <w:rPr>
          <w:rFonts w:hAnsi="標楷體"/>
          <w:spacing w:val="-4"/>
        </w:rPr>
        <w:t>財政及經濟</w:t>
      </w:r>
      <w:r w:rsidR="009D4F8D" w:rsidRPr="004E7851">
        <w:rPr>
          <w:rFonts w:hAnsi="標楷體" w:hint="eastAsia"/>
          <w:spacing w:val="-4"/>
          <w:lang w:eastAsia="zh-HK"/>
        </w:rPr>
        <w:t>委員會</w:t>
      </w:r>
      <w:r w:rsidR="00F008D8" w:rsidRPr="004E7851">
        <w:rPr>
          <w:rFonts w:hAnsi="標楷體" w:hint="eastAsia"/>
          <w:spacing w:val="-4"/>
        </w:rPr>
        <w:t>、</w:t>
      </w:r>
      <w:r w:rsidR="00F008D8" w:rsidRPr="004E7851">
        <w:rPr>
          <w:rFonts w:hAnsi="標楷體" w:hint="eastAsia"/>
          <w:spacing w:val="-4"/>
          <w:lang w:eastAsia="zh-HK"/>
        </w:rPr>
        <w:t>教育及文化委員會</w:t>
      </w:r>
      <w:r w:rsidRPr="004E7851">
        <w:rPr>
          <w:rFonts w:hAnsi="標楷體" w:hint="eastAsia"/>
          <w:spacing w:val="-4"/>
        </w:rPr>
        <w:t>聯席會議處理。</w:t>
      </w:r>
    </w:p>
    <w:p w:rsidR="0091669C" w:rsidRPr="004E7851" w:rsidRDefault="0091669C" w:rsidP="0091669C">
      <w:pPr>
        <w:pStyle w:val="2"/>
        <w:numPr>
          <w:ilvl w:val="0"/>
          <w:numId w:val="0"/>
        </w:numPr>
        <w:ind w:left="1021"/>
        <w:rPr>
          <w:rFonts w:hAnsi="標楷體"/>
        </w:rPr>
      </w:pPr>
    </w:p>
    <w:p w:rsidR="0091669C" w:rsidRPr="004E7851" w:rsidRDefault="0091669C" w:rsidP="0091669C">
      <w:pPr>
        <w:pStyle w:val="aa"/>
        <w:wordWrap w:val="0"/>
        <w:spacing w:beforeLines="50" w:before="228" w:afterLines="100" w:after="457"/>
        <w:ind w:leftChars="1100" w:left="3742"/>
        <w:rPr>
          <w:rFonts w:hAnsi="標楷體"/>
          <w:b w:val="0"/>
          <w:bCs/>
          <w:snapToGrid/>
          <w:spacing w:val="12"/>
          <w:kern w:val="0"/>
          <w:sz w:val="40"/>
        </w:rPr>
      </w:pPr>
    </w:p>
    <w:p w:rsidR="0091669C" w:rsidRDefault="0091669C" w:rsidP="0091669C">
      <w:pPr>
        <w:pStyle w:val="aa"/>
        <w:wordWrap w:val="0"/>
        <w:spacing w:beforeLines="50" w:before="228" w:afterLines="100" w:after="457"/>
        <w:ind w:leftChars="1100" w:left="3742"/>
        <w:rPr>
          <w:rFonts w:hAnsi="標楷體"/>
          <w:b w:val="0"/>
          <w:bCs/>
          <w:snapToGrid/>
          <w:spacing w:val="12"/>
          <w:kern w:val="0"/>
          <w:sz w:val="40"/>
        </w:rPr>
      </w:pPr>
      <w:r w:rsidRPr="004E7851">
        <w:rPr>
          <w:rFonts w:hAnsi="標楷體"/>
          <w:b w:val="0"/>
          <w:bCs/>
          <w:snapToGrid/>
          <w:spacing w:val="12"/>
          <w:kern w:val="0"/>
          <w:sz w:val="40"/>
        </w:rPr>
        <w:t>調查委員：</w:t>
      </w:r>
      <w:r w:rsidR="00927114">
        <w:rPr>
          <w:rFonts w:hAnsi="標楷體" w:hint="eastAsia"/>
          <w:b w:val="0"/>
          <w:bCs/>
          <w:snapToGrid/>
          <w:spacing w:val="12"/>
          <w:kern w:val="0"/>
          <w:sz w:val="40"/>
        </w:rPr>
        <w:t>田秋堇</w:t>
      </w:r>
    </w:p>
    <w:p w:rsidR="00927114" w:rsidRDefault="00927114" w:rsidP="00927114">
      <w:pPr>
        <w:pStyle w:val="aa"/>
        <w:wordWrap w:val="0"/>
        <w:spacing w:beforeLines="50" w:before="228" w:afterLines="100" w:after="457"/>
        <w:ind w:leftChars="1100" w:left="3742" w:firstLine="1"/>
        <w:rPr>
          <w:rFonts w:hAnsi="標楷體"/>
          <w:b w:val="0"/>
          <w:bCs/>
          <w:snapToGrid/>
          <w:spacing w:val="12"/>
          <w:kern w:val="0"/>
          <w:sz w:val="40"/>
        </w:rPr>
      </w:pPr>
      <w:r>
        <w:rPr>
          <w:rFonts w:hAnsi="標楷體" w:hint="eastAsia"/>
          <w:b w:val="0"/>
          <w:bCs/>
          <w:snapToGrid/>
          <w:spacing w:val="12"/>
          <w:kern w:val="0"/>
          <w:sz w:val="40"/>
        </w:rPr>
        <w:t xml:space="preserve">          蔡培村</w:t>
      </w:r>
    </w:p>
    <w:p w:rsidR="00927114" w:rsidRDefault="00927114" w:rsidP="0091669C">
      <w:pPr>
        <w:pStyle w:val="aa"/>
        <w:wordWrap w:val="0"/>
        <w:spacing w:beforeLines="50" w:before="228" w:afterLines="100" w:after="457"/>
        <w:ind w:leftChars="1100" w:left="3742"/>
        <w:rPr>
          <w:rFonts w:hAnsi="標楷體"/>
          <w:b w:val="0"/>
          <w:bCs/>
          <w:snapToGrid/>
          <w:spacing w:val="12"/>
          <w:kern w:val="0"/>
          <w:sz w:val="40"/>
        </w:rPr>
      </w:pPr>
      <w:r>
        <w:rPr>
          <w:rFonts w:hAnsi="標楷體" w:hint="eastAsia"/>
          <w:b w:val="0"/>
          <w:bCs/>
          <w:snapToGrid/>
          <w:spacing w:val="12"/>
          <w:kern w:val="0"/>
          <w:sz w:val="40"/>
        </w:rPr>
        <w:t xml:space="preserve">          楊美鈴</w:t>
      </w:r>
    </w:p>
    <w:p w:rsidR="0091669C" w:rsidRPr="004E7851" w:rsidRDefault="00927114" w:rsidP="007D7D1D">
      <w:pPr>
        <w:pStyle w:val="aa"/>
        <w:wordWrap w:val="0"/>
        <w:spacing w:beforeLines="50" w:before="228" w:afterLines="100" w:after="457"/>
        <w:ind w:leftChars="1100" w:left="3742"/>
        <w:rPr>
          <w:rFonts w:hAnsi="標楷體"/>
          <w:b w:val="0"/>
          <w:bCs/>
          <w:snapToGrid/>
          <w:spacing w:val="0"/>
          <w:kern w:val="0"/>
          <w:sz w:val="40"/>
        </w:rPr>
      </w:pPr>
      <w:r>
        <w:rPr>
          <w:rFonts w:hAnsi="標楷體" w:hint="eastAsia"/>
          <w:b w:val="0"/>
          <w:bCs/>
          <w:snapToGrid/>
          <w:spacing w:val="12"/>
          <w:kern w:val="0"/>
          <w:sz w:val="40"/>
        </w:rPr>
        <w:t xml:space="preserve">          蔡崇義</w:t>
      </w:r>
    </w:p>
    <w:sectPr w:rsidR="0091669C" w:rsidRPr="004E7851" w:rsidSect="003D436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329" w:rsidRDefault="001B0329">
      <w:r>
        <w:separator/>
      </w:r>
    </w:p>
  </w:endnote>
  <w:endnote w:type="continuationSeparator" w:id="0">
    <w:p w:rsidR="001B0329" w:rsidRDefault="001B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細明體">
    <w:altName w:val="Microsoft JhengHei UI"/>
    <w:charset w:val="88"/>
    <w:family w:val="modern"/>
    <w:pitch w:val="fixed"/>
    <w:sig w:usb0="00000000"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28" w:rsidRDefault="00FA0228">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AA0DEA">
      <w:rPr>
        <w:rStyle w:val="ae"/>
        <w:noProof/>
        <w:sz w:val="24"/>
      </w:rPr>
      <w:t>26</w:t>
    </w:r>
    <w:r>
      <w:rPr>
        <w:rStyle w:val="ae"/>
        <w:sz w:val="24"/>
      </w:rPr>
      <w:fldChar w:fldCharType="end"/>
    </w:r>
  </w:p>
  <w:p w:rsidR="00FA0228" w:rsidRDefault="00FA022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329" w:rsidRDefault="001B0329">
      <w:r>
        <w:separator/>
      </w:r>
    </w:p>
  </w:footnote>
  <w:footnote w:type="continuationSeparator" w:id="0">
    <w:p w:rsidR="001B0329" w:rsidRDefault="001B0329">
      <w:r>
        <w:continuationSeparator/>
      </w:r>
    </w:p>
  </w:footnote>
  <w:footnote w:id="1">
    <w:p w:rsidR="00FA0228" w:rsidRPr="00015F3E" w:rsidRDefault="00FA0228">
      <w:pPr>
        <w:pStyle w:val="aff2"/>
      </w:pPr>
      <w:r w:rsidRPr="00015F3E">
        <w:rPr>
          <w:rStyle w:val="aff4"/>
        </w:rPr>
        <w:footnoteRef/>
      </w:r>
      <w:r w:rsidRPr="00015F3E">
        <w:t xml:space="preserve"> </w:t>
      </w:r>
      <w:r w:rsidRPr="00015F3E">
        <w:rPr>
          <w:rFonts w:hint="eastAsia"/>
        </w:rPr>
        <w:t>115家業者包括71家已註銷食品業者登錄、43家辦理停歇業及1家已非屬公告業別之規模。</w:t>
      </w:r>
    </w:p>
  </w:footnote>
  <w:footnote w:id="2">
    <w:p w:rsidR="00FA0228" w:rsidRPr="00015F3E" w:rsidRDefault="00FA0228" w:rsidP="008B127E">
      <w:pPr>
        <w:pStyle w:val="aff2"/>
      </w:pPr>
      <w:r w:rsidRPr="00015F3E">
        <w:rPr>
          <w:rStyle w:val="aff4"/>
        </w:rPr>
        <w:footnoteRef/>
      </w:r>
      <w:r w:rsidRPr="00015F3E">
        <w:t xml:space="preserve"> </w:t>
      </w:r>
      <w:r w:rsidRPr="00015F3E">
        <w:rPr>
          <w:rFonts w:hint="eastAsia"/>
        </w:rPr>
        <w:t>食安法第8條第3項規定：「經中央主管機關公告類別及規模之食品業者，應向中央或直轄市、縣（市）主管機關申請登錄，始得營業。」</w:t>
      </w:r>
    </w:p>
  </w:footnote>
  <w:footnote w:id="3">
    <w:p w:rsidR="00FA0228" w:rsidRPr="00015F3E" w:rsidRDefault="00FA0228" w:rsidP="00B55ECF">
      <w:pPr>
        <w:pStyle w:val="aff2"/>
        <w:ind w:left="170" w:hanging="170"/>
        <w:jc w:val="both"/>
      </w:pPr>
      <w:r w:rsidRPr="00015F3E">
        <w:rPr>
          <w:rStyle w:val="aff4"/>
        </w:rPr>
        <w:footnoteRef/>
      </w:r>
      <w:r w:rsidRPr="00015F3E">
        <w:t xml:space="preserve"> </w:t>
      </w:r>
      <w:r w:rsidRPr="00015F3E">
        <w:rPr>
          <w:lang w:eastAsia="zh-HK"/>
        </w:rPr>
        <w:t>HACCP(Hazard Analysisand Critical Control Points</w:t>
      </w:r>
      <w:r w:rsidRPr="00015F3E">
        <w:rPr>
          <w:rFonts w:hint="eastAsia"/>
          <w:lang w:eastAsia="zh-HK"/>
        </w:rPr>
        <w:t>，</w:t>
      </w:r>
      <w:r w:rsidRPr="00015F3E">
        <w:rPr>
          <w:lang w:eastAsia="zh-HK"/>
        </w:rPr>
        <w:t>危害分析重要管制點)系統制度</w:t>
      </w:r>
      <w:r w:rsidRPr="00015F3E">
        <w:rPr>
          <w:rFonts w:hint="eastAsia"/>
          <w:lang w:eastAsia="zh-HK"/>
        </w:rPr>
        <w:t>亦稱為「食品安全管制系統」，為一分析、評估和控制食品生產過程中安全危害之系統。</w:t>
      </w:r>
      <w:r w:rsidRPr="00015F3E">
        <w:rPr>
          <w:lang w:eastAsia="zh-HK"/>
        </w:rPr>
        <w:t>HACCP</w:t>
      </w:r>
      <w:r w:rsidRPr="00015F3E">
        <w:rPr>
          <w:rFonts w:hint="eastAsia"/>
          <w:lang w:eastAsia="zh-HK"/>
        </w:rPr>
        <w:t>系統以重要管制點管理方式，分析食品從原材料、製造工程、製造環境、作業人員、貯存、運送等過程中，每一步驟對衛生安全的影響程度，找出重要管制點，並加以監控及進行記錄，作為改善之依據，其系統包括</w:t>
      </w:r>
      <w:r w:rsidRPr="00015F3E">
        <w:rPr>
          <w:lang w:eastAsia="zh-HK"/>
        </w:rPr>
        <w:t>(1)</w:t>
      </w:r>
      <w:r w:rsidRPr="00015F3E">
        <w:rPr>
          <w:rFonts w:hint="eastAsia"/>
          <w:lang w:eastAsia="zh-HK"/>
        </w:rPr>
        <w:t>成立管制小組</w:t>
      </w:r>
      <w:r w:rsidRPr="00015F3E">
        <w:rPr>
          <w:lang w:eastAsia="zh-HK"/>
        </w:rPr>
        <w:t>(2)</w:t>
      </w:r>
      <w:r w:rsidRPr="00015F3E">
        <w:rPr>
          <w:rFonts w:hint="eastAsia"/>
          <w:lang w:eastAsia="zh-HK"/>
        </w:rPr>
        <w:t>執行危害分析</w:t>
      </w:r>
      <w:r w:rsidRPr="00015F3E">
        <w:rPr>
          <w:lang w:eastAsia="zh-HK"/>
        </w:rPr>
        <w:t>(3)</w:t>
      </w:r>
      <w:r w:rsidRPr="00015F3E">
        <w:rPr>
          <w:rFonts w:hint="eastAsia"/>
          <w:lang w:eastAsia="zh-HK"/>
        </w:rPr>
        <w:t>決定重要管制點</w:t>
      </w:r>
      <w:r w:rsidRPr="00015F3E">
        <w:rPr>
          <w:lang w:eastAsia="zh-HK"/>
        </w:rPr>
        <w:t>(4)</w:t>
      </w:r>
      <w:r w:rsidRPr="00015F3E">
        <w:rPr>
          <w:rFonts w:hint="eastAsia"/>
          <w:lang w:eastAsia="zh-HK"/>
        </w:rPr>
        <w:t>建立管制界限</w:t>
      </w:r>
      <w:r w:rsidRPr="00015F3E">
        <w:rPr>
          <w:lang w:eastAsia="zh-HK"/>
        </w:rPr>
        <w:t>(5)</w:t>
      </w:r>
      <w:r w:rsidRPr="00015F3E">
        <w:rPr>
          <w:rFonts w:hint="eastAsia"/>
          <w:lang w:eastAsia="zh-HK"/>
        </w:rPr>
        <w:t>研訂及執行監測計畫</w:t>
      </w:r>
      <w:r w:rsidRPr="00015F3E">
        <w:rPr>
          <w:lang w:eastAsia="zh-HK"/>
        </w:rPr>
        <w:t>(6)</w:t>
      </w:r>
      <w:r w:rsidRPr="00015F3E">
        <w:rPr>
          <w:rFonts w:hint="eastAsia"/>
          <w:lang w:eastAsia="zh-HK"/>
        </w:rPr>
        <w:t>研訂及執行矯正措施</w:t>
      </w:r>
      <w:r w:rsidRPr="00015F3E">
        <w:rPr>
          <w:lang w:eastAsia="zh-HK"/>
        </w:rPr>
        <w:t>(7)</w:t>
      </w:r>
      <w:r w:rsidRPr="00015F3E">
        <w:rPr>
          <w:rFonts w:hint="eastAsia"/>
          <w:lang w:eastAsia="zh-HK"/>
        </w:rPr>
        <w:t>確認系統執行之有效性</w:t>
      </w:r>
      <w:r w:rsidRPr="00015F3E">
        <w:rPr>
          <w:lang w:eastAsia="zh-HK"/>
        </w:rPr>
        <w:t>(8)</w:t>
      </w:r>
      <w:r w:rsidRPr="00015F3E">
        <w:rPr>
          <w:rFonts w:hint="eastAsia"/>
          <w:lang w:eastAsia="zh-HK"/>
        </w:rPr>
        <w:t>建立系統執行之文件及紀錄。此種重視源頭管理與製程的風險分析及控管，強調事前預防勝於事後檢驗，屬系統性預防管制，已為世界各國公認為最佳的食品安全管理系統。衛福部為提升我國食品業者之食品衛生安全，自</w:t>
      </w:r>
      <w:r w:rsidRPr="00015F3E">
        <w:rPr>
          <w:lang w:eastAsia="zh-HK"/>
        </w:rPr>
        <w:t>86</w:t>
      </w:r>
      <w:r w:rsidRPr="00015F3E">
        <w:rPr>
          <w:rFonts w:hint="eastAsia"/>
          <w:lang w:eastAsia="zh-HK"/>
        </w:rPr>
        <w:t>年起引入「食品安全管制系統」，並於</w:t>
      </w:r>
      <w:r w:rsidRPr="00015F3E">
        <w:rPr>
          <w:lang w:eastAsia="zh-HK"/>
        </w:rPr>
        <w:t>103</w:t>
      </w:r>
      <w:r w:rsidRPr="00015F3E">
        <w:rPr>
          <w:rFonts w:hint="eastAsia"/>
          <w:lang w:eastAsia="zh-HK"/>
        </w:rPr>
        <w:t>年</w:t>
      </w:r>
      <w:r w:rsidRPr="00015F3E">
        <w:rPr>
          <w:lang w:eastAsia="zh-HK"/>
        </w:rPr>
        <w:t>3</w:t>
      </w:r>
      <w:r w:rsidRPr="00015F3E">
        <w:rPr>
          <w:rFonts w:hint="eastAsia"/>
          <w:lang w:eastAsia="zh-HK"/>
        </w:rPr>
        <w:t>月</w:t>
      </w:r>
      <w:r w:rsidRPr="00015F3E">
        <w:rPr>
          <w:lang w:eastAsia="zh-HK"/>
        </w:rPr>
        <w:t>11</w:t>
      </w:r>
      <w:r w:rsidRPr="00015F3E">
        <w:rPr>
          <w:rFonts w:hint="eastAsia"/>
          <w:lang w:eastAsia="zh-HK"/>
        </w:rPr>
        <w:t>日依據食安法第</w:t>
      </w:r>
      <w:r w:rsidRPr="00015F3E">
        <w:rPr>
          <w:lang w:eastAsia="zh-HK"/>
        </w:rPr>
        <w:t>8</w:t>
      </w:r>
      <w:r w:rsidRPr="00015F3E">
        <w:rPr>
          <w:rFonts w:hint="eastAsia"/>
          <w:lang w:eastAsia="zh-HK"/>
        </w:rPr>
        <w:t>條第</w:t>
      </w:r>
      <w:r w:rsidRPr="00015F3E">
        <w:rPr>
          <w:lang w:eastAsia="zh-HK"/>
        </w:rPr>
        <w:t>4</w:t>
      </w:r>
      <w:r w:rsidRPr="00015F3E">
        <w:rPr>
          <w:rFonts w:hint="eastAsia"/>
          <w:lang w:eastAsia="zh-HK"/>
        </w:rPr>
        <w:t>項規定訂定「食品安全管制系統準則」</w:t>
      </w:r>
      <w:r w:rsidRPr="00015F3E">
        <w:rPr>
          <w:lang w:eastAsia="zh-HK"/>
        </w:rPr>
        <w:t>。</w:t>
      </w:r>
    </w:p>
  </w:footnote>
  <w:footnote w:id="4">
    <w:p w:rsidR="00FA0228" w:rsidRPr="00015F3E" w:rsidRDefault="00FA0228" w:rsidP="005B6665">
      <w:pPr>
        <w:pStyle w:val="aff2"/>
        <w:ind w:left="170" w:hanging="170"/>
        <w:jc w:val="both"/>
      </w:pPr>
      <w:r w:rsidRPr="00015F3E">
        <w:rPr>
          <w:rStyle w:val="aff4"/>
        </w:rPr>
        <w:footnoteRef/>
      </w:r>
      <w:r w:rsidRPr="00015F3E">
        <w:t xml:space="preserve"> </w:t>
      </w:r>
      <w:r w:rsidRPr="00015F3E">
        <w:rPr>
          <w:rFonts w:hAnsi="標楷體" w:cs="Arial" w:hint="eastAsia"/>
          <w:kern w:val="32"/>
          <w:lang w:eastAsia="zh-HK"/>
        </w:rPr>
        <w:t>「</w:t>
      </w:r>
      <w:r w:rsidRPr="00015F3E">
        <w:rPr>
          <w:rFonts w:hAnsi="標楷體" w:hint="eastAsia"/>
        </w:rPr>
        <w:t>所有食品業者應保存產品原材料、半成品及成品之來源相關文件至少5年。」</w:t>
      </w:r>
    </w:p>
  </w:footnote>
  <w:footnote w:id="5">
    <w:p w:rsidR="00FA0228" w:rsidRPr="00015F3E" w:rsidRDefault="00FA0228" w:rsidP="005B6665">
      <w:pPr>
        <w:pStyle w:val="aff2"/>
        <w:ind w:left="170" w:hanging="170"/>
        <w:jc w:val="both"/>
      </w:pPr>
      <w:r w:rsidRPr="00015F3E">
        <w:rPr>
          <w:rStyle w:val="aff4"/>
        </w:rPr>
        <w:footnoteRef/>
      </w:r>
      <w:r w:rsidRPr="00015F3E">
        <w:t xml:space="preserve"> </w:t>
      </w:r>
      <w:r w:rsidRPr="00015F3E">
        <w:rPr>
          <w:rFonts w:hAnsi="標楷體" w:cs="Arial" w:hint="eastAsia"/>
          <w:kern w:val="32"/>
          <w:lang w:eastAsia="zh-HK"/>
        </w:rPr>
        <w:t>「</w:t>
      </w:r>
      <w:r w:rsidRPr="00015F3E">
        <w:rPr>
          <w:rFonts w:hAnsi="標楷體" w:hint="eastAsia"/>
        </w:rPr>
        <w:t>使用之原材料，應符合本法及其相關法令之規定，並有可追溯來源之相關資料或紀錄。」</w:t>
      </w:r>
    </w:p>
  </w:footnote>
  <w:footnote w:id="6">
    <w:p w:rsidR="00FA0228" w:rsidRPr="00015F3E" w:rsidRDefault="00FA0228" w:rsidP="005B6665">
      <w:pPr>
        <w:pStyle w:val="aff2"/>
        <w:ind w:left="170" w:hanging="170"/>
        <w:jc w:val="both"/>
      </w:pPr>
      <w:r w:rsidRPr="00015F3E">
        <w:rPr>
          <w:rStyle w:val="aff4"/>
        </w:rPr>
        <w:footnoteRef/>
      </w:r>
      <w:r w:rsidRPr="00015F3E">
        <w:t xml:space="preserve"> </w:t>
      </w:r>
      <w:r w:rsidRPr="00015F3E">
        <w:rPr>
          <w:rFonts w:hAnsi="標楷體" w:cs="Arial" w:hint="eastAsia"/>
          <w:kern w:val="32"/>
          <w:lang w:eastAsia="zh-HK"/>
        </w:rPr>
        <w:t>「</w:t>
      </w:r>
      <w:r w:rsidRPr="00015F3E">
        <w:rPr>
          <w:rFonts w:hAnsi="標楷體" w:hint="eastAsia"/>
        </w:rPr>
        <w:t>每批成品銷售，應有相關文件或紀錄。」</w:t>
      </w:r>
    </w:p>
  </w:footnote>
  <w:footnote w:id="7">
    <w:p w:rsidR="00FA0228" w:rsidRPr="00015F3E" w:rsidRDefault="00FA0228" w:rsidP="00B55ECF">
      <w:pPr>
        <w:pStyle w:val="aff2"/>
        <w:ind w:left="170" w:hanging="170"/>
        <w:jc w:val="both"/>
      </w:pPr>
      <w:r w:rsidRPr="00015F3E">
        <w:rPr>
          <w:rStyle w:val="aff4"/>
        </w:rPr>
        <w:footnoteRef/>
      </w:r>
      <w:r w:rsidRPr="00015F3E">
        <w:t xml:space="preserve"> </w:t>
      </w:r>
      <w:r w:rsidRPr="00015F3E">
        <w:rPr>
          <w:rFonts w:hint="eastAsia"/>
          <w:lang w:eastAsia="zh-HK"/>
        </w:rPr>
        <w:t>目前</w:t>
      </w:r>
      <w:r w:rsidRPr="00015F3E">
        <w:rPr>
          <w:rFonts w:hAnsi="Arial" w:cs="Arial" w:hint="eastAsia"/>
          <w:spacing w:val="15"/>
          <w:kern w:val="32"/>
        </w:rPr>
        <w:t>電子發票</w:t>
      </w:r>
      <w:r w:rsidRPr="00015F3E">
        <w:rPr>
          <w:rFonts w:hAnsi="Arial" w:cs="Arial"/>
          <w:spacing w:val="15"/>
          <w:kern w:val="32"/>
        </w:rPr>
        <w:t>提供之</w:t>
      </w:r>
      <w:r w:rsidRPr="00015F3E">
        <w:rPr>
          <w:rFonts w:hAnsi="Arial" w:cs="Arial"/>
          <w:bCs/>
          <w:spacing w:val="15"/>
        </w:rPr>
        <w:t>溯源追蹤</w:t>
      </w:r>
      <w:r w:rsidRPr="00015F3E">
        <w:rPr>
          <w:rFonts w:hAnsi="Arial" w:cs="Arial"/>
          <w:spacing w:val="15"/>
          <w:kern w:val="32"/>
        </w:rPr>
        <w:t>功能</w:t>
      </w:r>
      <w:r w:rsidRPr="00015F3E">
        <w:rPr>
          <w:rFonts w:hAnsi="Arial" w:cs="Arial" w:hint="eastAsia"/>
          <w:spacing w:val="15"/>
          <w:kern w:val="32"/>
        </w:rPr>
        <w:t>包括：</w:t>
      </w:r>
      <w:r w:rsidRPr="00015F3E">
        <w:rPr>
          <w:rFonts w:hAnsi="Arial" w:cs="Arial"/>
          <w:spacing w:val="15"/>
          <w:kern w:val="32"/>
        </w:rPr>
        <w:t>輸入特定之統一編號，查詢該特定業者之上游或下游交易對象，以及交易之品項內容與金額級距；或輸入特定行業代號，查詢該業別之</w:t>
      </w:r>
      <w:r w:rsidRPr="00015F3E">
        <w:rPr>
          <w:rFonts w:hAnsi="Arial" w:cs="Arial"/>
          <w:bCs/>
          <w:spacing w:val="15"/>
        </w:rPr>
        <w:t>業者清單與其下游交易對象清單；或輸入特定交易年月，查詢食品業者有上傳衛福部產品追溯系統串接碼之發票明細</w:t>
      </w:r>
      <w:r w:rsidRPr="00015F3E">
        <w:rPr>
          <w:rFonts w:hAnsi="Arial" w:cs="Arial" w:hint="eastAsia"/>
          <w:bCs/>
          <w:spacing w:val="15"/>
        </w:rPr>
        <w:t>等。</w:t>
      </w:r>
    </w:p>
  </w:footnote>
  <w:footnote w:id="8">
    <w:p w:rsidR="00FA0228" w:rsidRPr="00015F3E" w:rsidRDefault="00FA0228" w:rsidP="00B55ECF">
      <w:pPr>
        <w:widowControl/>
        <w:autoSpaceDE/>
        <w:autoSpaceDN/>
        <w:spacing w:line="240" w:lineRule="exact"/>
        <w:ind w:left="170" w:hanging="170"/>
      </w:pPr>
      <w:r w:rsidRPr="00015F3E">
        <w:rPr>
          <w:rStyle w:val="aff4"/>
          <w:sz w:val="20"/>
        </w:rPr>
        <w:footnoteRef/>
      </w:r>
      <w:r w:rsidRPr="00015F3E">
        <w:rPr>
          <w:sz w:val="20"/>
        </w:rPr>
        <w:t xml:space="preserve"> </w:t>
      </w:r>
      <w:r w:rsidRPr="00015F3E">
        <w:rPr>
          <w:rFonts w:hint="eastAsia"/>
          <w:sz w:val="20"/>
          <w:lang w:eastAsia="zh-HK"/>
        </w:rPr>
        <w:t>食品雲</w:t>
      </w:r>
      <w:r w:rsidRPr="00015F3E">
        <w:rPr>
          <w:rFonts w:ascii="Times New Roman" w:hint="eastAsia"/>
          <w:sz w:val="20"/>
        </w:rPr>
        <w:t>HUB</w:t>
      </w:r>
      <w:r w:rsidRPr="00015F3E">
        <w:rPr>
          <w:rFonts w:ascii="Times New Roman" w:hint="eastAsia"/>
          <w:sz w:val="20"/>
        </w:rPr>
        <w:t>平臺已完成介接至衛福部非追不可系統的「輸入產品之邊境查驗資訊」，提供食品業者透過</w:t>
      </w:r>
      <w:r w:rsidRPr="00015F3E">
        <w:rPr>
          <w:rFonts w:ascii="Times New Roman" w:hint="eastAsia"/>
          <w:sz w:val="20"/>
          <w:lang w:eastAsia="zh-HK"/>
        </w:rPr>
        <w:t>食品雲</w:t>
      </w:r>
      <w:r w:rsidRPr="00015F3E">
        <w:rPr>
          <w:rFonts w:ascii="Times New Roman" w:hint="eastAsia"/>
          <w:sz w:val="20"/>
        </w:rPr>
        <w:t>HUB</w:t>
      </w:r>
      <w:r w:rsidRPr="00015F3E">
        <w:rPr>
          <w:rFonts w:ascii="Times New Roman" w:hint="eastAsia"/>
          <w:sz w:val="20"/>
        </w:rPr>
        <w:t>平臺登錄資料時，針對輸入業所需進口資訊</w:t>
      </w:r>
      <w:r w:rsidRPr="00015F3E">
        <w:rPr>
          <w:rFonts w:ascii="Times New Roman" w:hint="eastAsia"/>
          <w:sz w:val="20"/>
        </w:rPr>
        <w:t>/</w:t>
      </w:r>
      <w:r w:rsidRPr="00015F3E">
        <w:rPr>
          <w:rFonts w:ascii="Times New Roman" w:hint="eastAsia"/>
          <w:sz w:val="20"/>
        </w:rPr>
        <w:t>產品資訊</w:t>
      </w:r>
      <w:r w:rsidRPr="00015F3E">
        <w:rPr>
          <w:rFonts w:ascii="Times New Roman" w:hint="eastAsia"/>
          <w:sz w:val="20"/>
        </w:rPr>
        <w:t>/</w:t>
      </w:r>
      <w:r w:rsidRPr="00015F3E">
        <w:rPr>
          <w:rFonts w:ascii="Times New Roman" w:hint="eastAsia"/>
          <w:sz w:val="20"/>
        </w:rPr>
        <w:t>交易對象</w:t>
      </w:r>
      <w:r w:rsidRPr="00015F3E">
        <w:rPr>
          <w:rFonts w:ascii="Times New Roman" w:hint="eastAsia"/>
          <w:sz w:val="20"/>
        </w:rPr>
        <w:t>/</w:t>
      </w:r>
      <w:r w:rsidRPr="00015F3E">
        <w:rPr>
          <w:rFonts w:ascii="Times New Roman" w:hint="eastAsia"/>
          <w:sz w:val="20"/>
        </w:rPr>
        <w:t>收貨資料等，由衛福部非追不可系統直接帶入，簡化食品業者於</w:t>
      </w:r>
      <w:r w:rsidRPr="00015F3E">
        <w:rPr>
          <w:rFonts w:ascii="Times New Roman" w:hint="eastAsia"/>
          <w:sz w:val="20"/>
          <w:lang w:eastAsia="zh-HK"/>
        </w:rPr>
        <w:t>該</w:t>
      </w:r>
      <w:r w:rsidRPr="00015F3E">
        <w:rPr>
          <w:rFonts w:ascii="Times New Roman" w:hint="eastAsia"/>
          <w:sz w:val="20"/>
        </w:rPr>
        <w:t>平臺輸入邊境查驗資料作業。</w:t>
      </w:r>
    </w:p>
  </w:footnote>
  <w:footnote w:id="9">
    <w:p w:rsidR="00FA0228" w:rsidRPr="00015F3E" w:rsidRDefault="00FA0228" w:rsidP="00B55ECF">
      <w:pPr>
        <w:pStyle w:val="aff2"/>
        <w:ind w:left="170" w:hanging="170"/>
        <w:jc w:val="both"/>
      </w:pPr>
      <w:r w:rsidRPr="00015F3E">
        <w:rPr>
          <w:rStyle w:val="aff4"/>
        </w:rPr>
        <w:footnoteRef/>
      </w:r>
      <w:r w:rsidRPr="00015F3E">
        <w:t xml:space="preserve"> </w:t>
      </w:r>
      <w:r w:rsidRPr="00015F3E">
        <w:rPr>
          <w:rFonts w:hint="eastAsia"/>
          <w:lang w:eastAsia="zh-HK"/>
        </w:rPr>
        <w:t>經費使用規劃包括</w:t>
      </w:r>
      <w:r w:rsidRPr="00015F3E">
        <w:rPr>
          <w:rFonts w:hint="eastAsia"/>
        </w:rPr>
        <w:t>:</w:t>
      </w:r>
      <w:r w:rsidRPr="00015F3E">
        <w:rPr>
          <w:rFonts w:hAnsi="標楷體" w:hint="eastAsia"/>
        </w:rPr>
        <w:t>1.</w:t>
      </w:r>
      <w:r w:rsidRPr="00015F3E">
        <w:rPr>
          <w:rFonts w:hint="eastAsia"/>
          <w:lang w:eastAsia="zh-HK"/>
        </w:rPr>
        <w:t>辦理衛生安全管理系統驗證資訊系統擴充建置計列</w:t>
      </w:r>
      <w:r w:rsidRPr="00015F3E">
        <w:rPr>
          <w:rFonts w:hint="eastAsia"/>
        </w:rPr>
        <w:t>3,075</w:t>
      </w:r>
      <w:r w:rsidRPr="00015F3E">
        <w:rPr>
          <w:rFonts w:hint="eastAsia"/>
          <w:lang w:eastAsia="zh-HK"/>
        </w:rPr>
        <w:t>千元</w:t>
      </w:r>
      <w:r w:rsidRPr="00015F3E">
        <w:rPr>
          <w:rFonts w:hint="eastAsia"/>
        </w:rPr>
        <w:t>；2.</w:t>
      </w:r>
      <w:r w:rsidRPr="00015F3E">
        <w:rPr>
          <w:rFonts w:hint="eastAsia"/>
          <w:lang w:eastAsia="zh-HK"/>
        </w:rPr>
        <w:t>辦理化學物質流向鏈結跨部會資訊系統</w:t>
      </w:r>
      <w:r w:rsidRPr="00015F3E">
        <w:rPr>
          <w:rFonts w:hint="eastAsia"/>
        </w:rPr>
        <w:t>、</w:t>
      </w:r>
      <w:r w:rsidRPr="00015F3E">
        <w:rPr>
          <w:rFonts w:hint="eastAsia"/>
          <w:lang w:eastAsia="zh-HK"/>
        </w:rPr>
        <w:t>後市場跨部會大數據監測系統等建置及維運計列</w:t>
      </w:r>
      <w:r w:rsidRPr="00015F3E">
        <w:rPr>
          <w:rFonts w:hint="eastAsia"/>
        </w:rPr>
        <w:t>16,303</w:t>
      </w:r>
      <w:r w:rsidRPr="00015F3E">
        <w:rPr>
          <w:rFonts w:hint="eastAsia"/>
          <w:lang w:eastAsia="zh-HK"/>
        </w:rPr>
        <w:t>千元</w:t>
      </w:r>
      <w:r w:rsidRPr="00015F3E">
        <w:rPr>
          <w:rFonts w:hint="eastAsia"/>
        </w:rPr>
        <w:t>；3.</w:t>
      </w:r>
      <w:r w:rsidRPr="00015F3E">
        <w:rPr>
          <w:rFonts w:hint="eastAsia"/>
          <w:lang w:eastAsia="zh-HK"/>
        </w:rPr>
        <w:t>辦理食品風險決策輔助系統功能擴充及維運計列</w:t>
      </w:r>
      <w:r w:rsidRPr="00015F3E">
        <w:rPr>
          <w:rFonts w:hint="eastAsia"/>
        </w:rPr>
        <w:t>5,456</w:t>
      </w:r>
      <w:r w:rsidRPr="00015F3E">
        <w:rPr>
          <w:rFonts w:hint="eastAsia"/>
          <w:lang w:eastAsia="zh-HK"/>
        </w:rPr>
        <w:t>千元</w:t>
      </w:r>
      <w:r w:rsidRPr="00015F3E">
        <w:rPr>
          <w:rFonts w:hint="eastAsia"/>
        </w:rPr>
        <w:t>；4、</w:t>
      </w:r>
      <w:r w:rsidRPr="00015F3E">
        <w:rPr>
          <w:rFonts w:hint="eastAsia"/>
          <w:lang w:eastAsia="zh-HK"/>
        </w:rPr>
        <w:t>購置食藥安全跨部會資訊系統整合平臺等軟硬體及設備計列</w:t>
      </w:r>
      <w:r w:rsidRPr="00015F3E">
        <w:rPr>
          <w:rFonts w:hint="eastAsia"/>
        </w:rPr>
        <w:t>6</w:t>
      </w:r>
      <w:r w:rsidRPr="00015F3E">
        <w:t>,</w:t>
      </w:r>
      <w:r w:rsidRPr="00015F3E">
        <w:rPr>
          <w:rFonts w:hint="eastAsia"/>
        </w:rPr>
        <w:t>827</w:t>
      </w:r>
      <w:r w:rsidRPr="00015F3E">
        <w:rPr>
          <w:rFonts w:hint="eastAsia"/>
          <w:lang w:eastAsia="zh-HK"/>
        </w:rPr>
        <w:t>千元</w:t>
      </w:r>
      <w:r w:rsidRPr="00015F3E">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403162"/>
    <w:multiLevelType w:val="multilevel"/>
    <w:tmpl w:val="4E604546"/>
    <w:styleLink w:val="WWNum11"/>
    <w:lvl w:ilvl="0">
      <w:start w:val="1"/>
      <w:numFmt w:val="japaneseCounting"/>
      <w:suff w:val="nothing"/>
      <w:lvlText w:val="%1、"/>
      <w:lvlJc w:val="left"/>
      <w:pPr>
        <w:ind w:left="561" w:hanging="561"/>
      </w:pPr>
      <w:rPr>
        <w:rFonts w:ascii="Times New Roman" w:eastAsia="標楷體" w:hAnsi="Times New Roman"/>
        <w:b w:val="0"/>
        <w:i w:val="0"/>
        <w:sz w:val="28"/>
        <w:lang w:val="en-US"/>
      </w:rPr>
    </w:lvl>
    <w:lvl w:ilvl="1">
      <w:start w:val="1"/>
      <w:numFmt w:val="japaneseCounting"/>
      <w:suff w:val="nothing"/>
      <w:lvlText w:val="(%2)"/>
      <w:lvlJc w:val="left"/>
      <w:pPr>
        <w:ind w:left="845" w:hanging="561"/>
      </w:pPr>
      <w:rPr>
        <w:rFonts w:eastAsia="標楷體"/>
        <w:b w:val="0"/>
        <w:i w:val="0"/>
        <w:sz w:val="28"/>
      </w:rPr>
    </w:lvl>
    <w:lvl w:ilvl="2">
      <w:start w:val="1"/>
      <w:numFmt w:val="decimal"/>
      <w:suff w:val="nothing"/>
      <w:lvlText w:val="%3、"/>
      <w:lvlJc w:val="left"/>
      <w:pPr>
        <w:ind w:left="1128" w:hanging="561"/>
      </w:pPr>
      <w:rPr>
        <w:rFonts w:eastAsia="標楷體"/>
        <w:b w:val="0"/>
        <w:i w:val="0"/>
        <w:sz w:val="28"/>
      </w:rPr>
    </w:lvl>
    <w:lvl w:ilvl="3">
      <w:start w:val="1"/>
      <w:numFmt w:val="decimal"/>
      <w:suff w:val="nothing"/>
      <w:lvlText w:val="(%4)"/>
      <w:lvlJc w:val="left"/>
      <w:pPr>
        <w:ind w:left="1412" w:hanging="556"/>
      </w:pPr>
      <w:rPr>
        <w:rFonts w:eastAsia="標楷體"/>
        <w:b w:val="0"/>
        <w:i w:val="0"/>
        <w:sz w:val="28"/>
      </w:rPr>
    </w:lvl>
    <w:lvl w:ilvl="4">
      <w:start w:val="1"/>
      <w:numFmt w:val="decimal"/>
      <w:suff w:val="nothing"/>
      <w:lvlText w:val="&lt;%5&gt;"/>
      <w:lvlJc w:val="left"/>
      <w:pPr>
        <w:ind w:left="1701" w:hanging="567"/>
      </w:pPr>
      <w:rPr>
        <w:rFonts w:eastAsia="標楷體"/>
        <w:b w:val="0"/>
        <w:i w:val="0"/>
        <w:sz w:val="28"/>
      </w:r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 w15:restartNumberingAfterBreak="0">
    <w:nsid w:val="140E010C"/>
    <w:multiLevelType w:val="multilevel"/>
    <w:tmpl w:val="B8FC0A4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D71E71"/>
    <w:multiLevelType w:val="hybridMultilevel"/>
    <w:tmpl w:val="09B84DEA"/>
    <w:lvl w:ilvl="0" w:tplc="EDC681DA">
      <w:start w:val="1"/>
      <w:numFmt w:val="decimal"/>
      <w:lvlText w:val="&lt;%1&gt;"/>
      <w:lvlJc w:val="left"/>
      <w:pPr>
        <w:ind w:left="2011" w:hanging="480"/>
      </w:pPr>
      <w:rPr>
        <w:rFonts w:hint="eastAsia"/>
        <w:b w:val="0"/>
        <w:color w:val="auto"/>
        <w:sz w:val="32"/>
        <w:szCs w:val="32"/>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E961240"/>
    <w:multiLevelType w:val="multilevel"/>
    <w:tmpl w:val="C17C3B70"/>
    <w:styleLink w:val="WWNum24"/>
    <w:lvl w:ilvl="0">
      <w:start w:val="1"/>
      <w:numFmt w:val="japaneseCounting"/>
      <w:suff w:val="nothing"/>
      <w:lvlText w:val="%1、"/>
      <w:lvlJc w:val="left"/>
      <w:pPr>
        <w:ind w:left="561" w:hanging="561"/>
      </w:pPr>
      <w:rPr>
        <w:rFonts w:eastAsia="標楷體"/>
        <w:b w:val="0"/>
        <w:i w:val="0"/>
        <w:sz w:val="28"/>
        <w:lang w:val="en-US"/>
      </w:rPr>
    </w:lvl>
    <w:lvl w:ilvl="1">
      <w:start w:val="1"/>
      <w:numFmt w:val="japaneseCounting"/>
      <w:suff w:val="nothing"/>
      <w:lvlText w:val="(%2)"/>
      <w:lvlJc w:val="left"/>
      <w:pPr>
        <w:ind w:left="845" w:hanging="561"/>
      </w:pPr>
      <w:rPr>
        <w:rFonts w:ascii="Times New Roman" w:eastAsia="標楷體" w:hAnsi="Times New Roman"/>
        <w:b w:val="0"/>
        <w:i w:val="0"/>
        <w:sz w:val="28"/>
      </w:rPr>
    </w:lvl>
    <w:lvl w:ilvl="2">
      <w:start w:val="1"/>
      <w:numFmt w:val="decimal"/>
      <w:suff w:val="nothing"/>
      <w:lvlText w:val="%3、"/>
      <w:lvlJc w:val="left"/>
      <w:pPr>
        <w:ind w:left="1128" w:hanging="561"/>
      </w:pPr>
      <w:rPr>
        <w:rFonts w:eastAsia="標楷體"/>
        <w:b w:val="0"/>
        <w:i w:val="0"/>
        <w:sz w:val="28"/>
      </w:rPr>
    </w:lvl>
    <w:lvl w:ilvl="3">
      <w:start w:val="1"/>
      <w:numFmt w:val="decimal"/>
      <w:suff w:val="nothing"/>
      <w:lvlText w:val="(%4)"/>
      <w:lvlJc w:val="left"/>
      <w:pPr>
        <w:ind w:left="1412" w:hanging="556"/>
      </w:pPr>
      <w:rPr>
        <w:rFonts w:eastAsia="標楷體"/>
        <w:b w:val="0"/>
        <w:i w:val="0"/>
        <w:sz w:val="28"/>
      </w:rPr>
    </w:lvl>
    <w:lvl w:ilvl="4">
      <w:start w:val="1"/>
      <w:numFmt w:val="decimal"/>
      <w:suff w:val="nothing"/>
      <w:lvlText w:val="&lt;%5&gt;"/>
      <w:lvlJc w:val="left"/>
      <w:pPr>
        <w:ind w:left="1701" w:hanging="567"/>
      </w:pPr>
      <w:rPr>
        <w:rFonts w:eastAsia="標楷體"/>
        <w:b w:val="0"/>
        <w:i w:val="0"/>
        <w:sz w:val="28"/>
      </w:r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 w:numId="5">
    <w:abstractNumId w:val="7"/>
  </w:num>
  <w:num w:numId="6">
    <w:abstractNumId w:val="6"/>
  </w:num>
  <w:num w:numId="7">
    <w:abstractNumId w:val="4"/>
  </w:num>
  <w:num w:numId="8">
    <w:abstractNumId w:val="0"/>
  </w:num>
  <w:num w:numId="9">
    <w:abstractNumId w:val="9"/>
  </w:num>
  <w:num w:numId="10">
    <w:abstractNumId w:val="10"/>
  </w:num>
  <w:num w:numId="11">
    <w:abstractNumId w:val="5"/>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848"/>
    <w:rsid w:val="00002D1F"/>
    <w:rsid w:val="00004688"/>
    <w:rsid w:val="00006961"/>
    <w:rsid w:val="0000698C"/>
    <w:rsid w:val="00006B0D"/>
    <w:rsid w:val="000112BF"/>
    <w:rsid w:val="00011B3E"/>
    <w:rsid w:val="00012233"/>
    <w:rsid w:val="00012B8C"/>
    <w:rsid w:val="00015F3E"/>
    <w:rsid w:val="00017318"/>
    <w:rsid w:val="000213E6"/>
    <w:rsid w:val="00023275"/>
    <w:rsid w:val="00024289"/>
    <w:rsid w:val="000245CD"/>
    <w:rsid w:val="000246F7"/>
    <w:rsid w:val="00024A6A"/>
    <w:rsid w:val="00024AC3"/>
    <w:rsid w:val="00027D30"/>
    <w:rsid w:val="000304FD"/>
    <w:rsid w:val="00030611"/>
    <w:rsid w:val="0003114D"/>
    <w:rsid w:val="00033476"/>
    <w:rsid w:val="00034EBB"/>
    <w:rsid w:val="00036809"/>
    <w:rsid w:val="00036AF3"/>
    <w:rsid w:val="00036D76"/>
    <w:rsid w:val="000438AD"/>
    <w:rsid w:val="00051F32"/>
    <w:rsid w:val="00052067"/>
    <w:rsid w:val="00052A9F"/>
    <w:rsid w:val="000537CF"/>
    <w:rsid w:val="00053C0D"/>
    <w:rsid w:val="00056653"/>
    <w:rsid w:val="00057F32"/>
    <w:rsid w:val="00061B6D"/>
    <w:rsid w:val="000623DC"/>
    <w:rsid w:val="00062A25"/>
    <w:rsid w:val="000630AF"/>
    <w:rsid w:val="0006473D"/>
    <w:rsid w:val="00067751"/>
    <w:rsid w:val="0006799D"/>
    <w:rsid w:val="00067E8D"/>
    <w:rsid w:val="000727FD"/>
    <w:rsid w:val="00072B8A"/>
    <w:rsid w:val="00073C59"/>
    <w:rsid w:val="00073CB5"/>
    <w:rsid w:val="0007425C"/>
    <w:rsid w:val="000748A3"/>
    <w:rsid w:val="00076150"/>
    <w:rsid w:val="000762DE"/>
    <w:rsid w:val="00076354"/>
    <w:rsid w:val="00077553"/>
    <w:rsid w:val="000776D1"/>
    <w:rsid w:val="00077D3B"/>
    <w:rsid w:val="000812D1"/>
    <w:rsid w:val="00082456"/>
    <w:rsid w:val="00084167"/>
    <w:rsid w:val="000851A2"/>
    <w:rsid w:val="00085ACE"/>
    <w:rsid w:val="000861B2"/>
    <w:rsid w:val="00086982"/>
    <w:rsid w:val="00090B9A"/>
    <w:rsid w:val="0009200D"/>
    <w:rsid w:val="0009352E"/>
    <w:rsid w:val="00093E1F"/>
    <w:rsid w:val="0009583A"/>
    <w:rsid w:val="00096B96"/>
    <w:rsid w:val="000A10DB"/>
    <w:rsid w:val="000A21FB"/>
    <w:rsid w:val="000A2F3F"/>
    <w:rsid w:val="000A3879"/>
    <w:rsid w:val="000A3B0C"/>
    <w:rsid w:val="000A3F30"/>
    <w:rsid w:val="000A4BE9"/>
    <w:rsid w:val="000A6609"/>
    <w:rsid w:val="000B0B4A"/>
    <w:rsid w:val="000B2495"/>
    <w:rsid w:val="000B279A"/>
    <w:rsid w:val="000B2D61"/>
    <w:rsid w:val="000B4141"/>
    <w:rsid w:val="000B61D2"/>
    <w:rsid w:val="000B70A7"/>
    <w:rsid w:val="000B73DD"/>
    <w:rsid w:val="000C3F76"/>
    <w:rsid w:val="000C495F"/>
    <w:rsid w:val="000C4F84"/>
    <w:rsid w:val="000C7D37"/>
    <w:rsid w:val="000D0704"/>
    <w:rsid w:val="000D0C05"/>
    <w:rsid w:val="000D28C6"/>
    <w:rsid w:val="000D2984"/>
    <w:rsid w:val="000D2AD0"/>
    <w:rsid w:val="000D4A4C"/>
    <w:rsid w:val="000D5A6D"/>
    <w:rsid w:val="000D61FA"/>
    <w:rsid w:val="000E2A9C"/>
    <w:rsid w:val="000E3E89"/>
    <w:rsid w:val="000E6431"/>
    <w:rsid w:val="000E6E49"/>
    <w:rsid w:val="000F21A5"/>
    <w:rsid w:val="000F226A"/>
    <w:rsid w:val="000F4706"/>
    <w:rsid w:val="000F5D80"/>
    <w:rsid w:val="000F6AED"/>
    <w:rsid w:val="0010221B"/>
    <w:rsid w:val="00102B9F"/>
    <w:rsid w:val="00102CA4"/>
    <w:rsid w:val="0010361A"/>
    <w:rsid w:val="00103873"/>
    <w:rsid w:val="00105E88"/>
    <w:rsid w:val="001061A4"/>
    <w:rsid w:val="00107782"/>
    <w:rsid w:val="00107AE2"/>
    <w:rsid w:val="00111F1C"/>
    <w:rsid w:val="001120A0"/>
    <w:rsid w:val="00112581"/>
    <w:rsid w:val="00112637"/>
    <w:rsid w:val="00112ABC"/>
    <w:rsid w:val="00115135"/>
    <w:rsid w:val="001153E0"/>
    <w:rsid w:val="001158DA"/>
    <w:rsid w:val="00116F70"/>
    <w:rsid w:val="0012001E"/>
    <w:rsid w:val="00125639"/>
    <w:rsid w:val="00126640"/>
    <w:rsid w:val="00126A55"/>
    <w:rsid w:val="00126EB3"/>
    <w:rsid w:val="0013289A"/>
    <w:rsid w:val="00133F08"/>
    <w:rsid w:val="001345E6"/>
    <w:rsid w:val="00136EED"/>
    <w:rsid w:val="001378B0"/>
    <w:rsid w:val="00140800"/>
    <w:rsid w:val="00142E00"/>
    <w:rsid w:val="00142F07"/>
    <w:rsid w:val="00143192"/>
    <w:rsid w:val="001459D7"/>
    <w:rsid w:val="00150338"/>
    <w:rsid w:val="00152793"/>
    <w:rsid w:val="00153B7E"/>
    <w:rsid w:val="001545A9"/>
    <w:rsid w:val="001609FD"/>
    <w:rsid w:val="001618A8"/>
    <w:rsid w:val="00162081"/>
    <w:rsid w:val="0016268B"/>
    <w:rsid w:val="00162691"/>
    <w:rsid w:val="001637C7"/>
    <w:rsid w:val="0016480E"/>
    <w:rsid w:val="00164E76"/>
    <w:rsid w:val="00165763"/>
    <w:rsid w:val="001676FC"/>
    <w:rsid w:val="00167E14"/>
    <w:rsid w:val="00172429"/>
    <w:rsid w:val="00174297"/>
    <w:rsid w:val="00175A1A"/>
    <w:rsid w:val="001778EA"/>
    <w:rsid w:val="001809E7"/>
    <w:rsid w:val="00180E06"/>
    <w:rsid w:val="00181252"/>
    <w:rsid w:val="001817B3"/>
    <w:rsid w:val="0018263C"/>
    <w:rsid w:val="00183014"/>
    <w:rsid w:val="00185001"/>
    <w:rsid w:val="00187635"/>
    <w:rsid w:val="00187CBD"/>
    <w:rsid w:val="00191838"/>
    <w:rsid w:val="001925D6"/>
    <w:rsid w:val="001959C2"/>
    <w:rsid w:val="00196D51"/>
    <w:rsid w:val="001A51E3"/>
    <w:rsid w:val="001A5E38"/>
    <w:rsid w:val="001A7968"/>
    <w:rsid w:val="001A7DA7"/>
    <w:rsid w:val="001B0329"/>
    <w:rsid w:val="001B2E98"/>
    <w:rsid w:val="001B331B"/>
    <w:rsid w:val="001B3483"/>
    <w:rsid w:val="001B3BE6"/>
    <w:rsid w:val="001B3C1E"/>
    <w:rsid w:val="001B4494"/>
    <w:rsid w:val="001B5A61"/>
    <w:rsid w:val="001B63FE"/>
    <w:rsid w:val="001C0D8B"/>
    <w:rsid w:val="001C0DA8"/>
    <w:rsid w:val="001C111F"/>
    <w:rsid w:val="001C1691"/>
    <w:rsid w:val="001C4EC4"/>
    <w:rsid w:val="001C50A3"/>
    <w:rsid w:val="001C5308"/>
    <w:rsid w:val="001C6506"/>
    <w:rsid w:val="001C7C6F"/>
    <w:rsid w:val="001D03C4"/>
    <w:rsid w:val="001D0618"/>
    <w:rsid w:val="001D0F8D"/>
    <w:rsid w:val="001D1573"/>
    <w:rsid w:val="001D174F"/>
    <w:rsid w:val="001D32FB"/>
    <w:rsid w:val="001D36A4"/>
    <w:rsid w:val="001D4AD7"/>
    <w:rsid w:val="001D56C8"/>
    <w:rsid w:val="001D57E2"/>
    <w:rsid w:val="001D74DB"/>
    <w:rsid w:val="001E0D8A"/>
    <w:rsid w:val="001E147E"/>
    <w:rsid w:val="001E2671"/>
    <w:rsid w:val="001E2B9D"/>
    <w:rsid w:val="001E67BA"/>
    <w:rsid w:val="001E74C2"/>
    <w:rsid w:val="001E7CB7"/>
    <w:rsid w:val="001F0E7D"/>
    <w:rsid w:val="001F0F50"/>
    <w:rsid w:val="001F3563"/>
    <w:rsid w:val="001F3F33"/>
    <w:rsid w:val="001F4C14"/>
    <w:rsid w:val="001F4F82"/>
    <w:rsid w:val="001F5A48"/>
    <w:rsid w:val="001F5EB4"/>
    <w:rsid w:val="001F61F7"/>
    <w:rsid w:val="001F6260"/>
    <w:rsid w:val="001F636E"/>
    <w:rsid w:val="00200007"/>
    <w:rsid w:val="0020021E"/>
    <w:rsid w:val="00200FAE"/>
    <w:rsid w:val="002030A5"/>
    <w:rsid w:val="00203131"/>
    <w:rsid w:val="0020445C"/>
    <w:rsid w:val="00205559"/>
    <w:rsid w:val="0021152F"/>
    <w:rsid w:val="00211FF7"/>
    <w:rsid w:val="00212E88"/>
    <w:rsid w:val="00213C9C"/>
    <w:rsid w:val="00217B38"/>
    <w:rsid w:val="0022009E"/>
    <w:rsid w:val="00223241"/>
    <w:rsid w:val="002237B7"/>
    <w:rsid w:val="0022425C"/>
    <w:rsid w:val="002246DE"/>
    <w:rsid w:val="002251C4"/>
    <w:rsid w:val="002269E4"/>
    <w:rsid w:val="00227127"/>
    <w:rsid w:val="0022775E"/>
    <w:rsid w:val="00230B86"/>
    <w:rsid w:val="00232EB5"/>
    <w:rsid w:val="002378F1"/>
    <w:rsid w:val="00240E31"/>
    <w:rsid w:val="00241EA2"/>
    <w:rsid w:val="0024314B"/>
    <w:rsid w:val="00244002"/>
    <w:rsid w:val="00247155"/>
    <w:rsid w:val="00252BC4"/>
    <w:rsid w:val="002530DD"/>
    <w:rsid w:val="00253120"/>
    <w:rsid w:val="00254014"/>
    <w:rsid w:val="00254B39"/>
    <w:rsid w:val="00255560"/>
    <w:rsid w:val="0025591F"/>
    <w:rsid w:val="00256065"/>
    <w:rsid w:val="0025664E"/>
    <w:rsid w:val="00256779"/>
    <w:rsid w:val="0025695A"/>
    <w:rsid w:val="002577F3"/>
    <w:rsid w:val="00257CA3"/>
    <w:rsid w:val="00264868"/>
    <w:rsid w:val="0026504D"/>
    <w:rsid w:val="002659DB"/>
    <w:rsid w:val="00266BDA"/>
    <w:rsid w:val="00273828"/>
    <w:rsid w:val="00273A2F"/>
    <w:rsid w:val="0027417F"/>
    <w:rsid w:val="00274E36"/>
    <w:rsid w:val="0027524F"/>
    <w:rsid w:val="002779A8"/>
    <w:rsid w:val="00277B7B"/>
    <w:rsid w:val="00280986"/>
    <w:rsid w:val="00281ECE"/>
    <w:rsid w:val="0028245E"/>
    <w:rsid w:val="002824F5"/>
    <w:rsid w:val="00282E2C"/>
    <w:rsid w:val="002831C7"/>
    <w:rsid w:val="0028377C"/>
    <w:rsid w:val="002838D4"/>
    <w:rsid w:val="002840C6"/>
    <w:rsid w:val="00287E38"/>
    <w:rsid w:val="00291882"/>
    <w:rsid w:val="00294CC9"/>
    <w:rsid w:val="00294FD4"/>
    <w:rsid w:val="00295174"/>
    <w:rsid w:val="00296172"/>
    <w:rsid w:val="00296B92"/>
    <w:rsid w:val="00297264"/>
    <w:rsid w:val="0029742D"/>
    <w:rsid w:val="002A14B6"/>
    <w:rsid w:val="002A2C22"/>
    <w:rsid w:val="002A5166"/>
    <w:rsid w:val="002A5BAF"/>
    <w:rsid w:val="002A6706"/>
    <w:rsid w:val="002A686B"/>
    <w:rsid w:val="002B02EB"/>
    <w:rsid w:val="002B2E76"/>
    <w:rsid w:val="002B34AE"/>
    <w:rsid w:val="002B537A"/>
    <w:rsid w:val="002B5DA9"/>
    <w:rsid w:val="002B7890"/>
    <w:rsid w:val="002C05BD"/>
    <w:rsid w:val="002C0602"/>
    <w:rsid w:val="002C65B5"/>
    <w:rsid w:val="002D19A6"/>
    <w:rsid w:val="002D4216"/>
    <w:rsid w:val="002D4F0B"/>
    <w:rsid w:val="002D5203"/>
    <w:rsid w:val="002D5C16"/>
    <w:rsid w:val="002D675D"/>
    <w:rsid w:val="002D680B"/>
    <w:rsid w:val="002D756D"/>
    <w:rsid w:val="002E0299"/>
    <w:rsid w:val="002E1996"/>
    <w:rsid w:val="002E27D7"/>
    <w:rsid w:val="002E2B57"/>
    <w:rsid w:val="002E3517"/>
    <w:rsid w:val="002E727E"/>
    <w:rsid w:val="002F0A64"/>
    <w:rsid w:val="002F1B91"/>
    <w:rsid w:val="002F2476"/>
    <w:rsid w:val="002F3DFF"/>
    <w:rsid w:val="002F5E05"/>
    <w:rsid w:val="002F5E82"/>
    <w:rsid w:val="002F668D"/>
    <w:rsid w:val="003016B9"/>
    <w:rsid w:val="00301B6C"/>
    <w:rsid w:val="003060FE"/>
    <w:rsid w:val="00307A76"/>
    <w:rsid w:val="003117F8"/>
    <w:rsid w:val="00312A5D"/>
    <w:rsid w:val="00315A16"/>
    <w:rsid w:val="003165A7"/>
    <w:rsid w:val="00317053"/>
    <w:rsid w:val="0032109C"/>
    <w:rsid w:val="003215A2"/>
    <w:rsid w:val="00322B45"/>
    <w:rsid w:val="003236F4"/>
    <w:rsid w:val="00323809"/>
    <w:rsid w:val="00323D41"/>
    <w:rsid w:val="00325414"/>
    <w:rsid w:val="003302F1"/>
    <w:rsid w:val="00332AB3"/>
    <w:rsid w:val="003330FA"/>
    <w:rsid w:val="00340605"/>
    <w:rsid w:val="003423B1"/>
    <w:rsid w:val="003432BF"/>
    <w:rsid w:val="00343A53"/>
    <w:rsid w:val="0034470E"/>
    <w:rsid w:val="0034717D"/>
    <w:rsid w:val="00350FDE"/>
    <w:rsid w:val="00351BD6"/>
    <w:rsid w:val="00352301"/>
    <w:rsid w:val="00352991"/>
    <w:rsid w:val="00352DB0"/>
    <w:rsid w:val="00356258"/>
    <w:rsid w:val="00361063"/>
    <w:rsid w:val="00361B56"/>
    <w:rsid w:val="00361E49"/>
    <w:rsid w:val="00363A3B"/>
    <w:rsid w:val="00363F38"/>
    <w:rsid w:val="00366E96"/>
    <w:rsid w:val="00370084"/>
    <w:rsid w:val="0037094A"/>
    <w:rsid w:val="00371100"/>
    <w:rsid w:val="00371ED3"/>
    <w:rsid w:val="00372F2E"/>
    <w:rsid w:val="00372FFC"/>
    <w:rsid w:val="00373DF9"/>
    <w:rsid w:val="0037728A"/>
    <w:rsid w:val="00380B7D"/>
    <w:rsid w:val="0038181E"/>
    <w:rsid w:val="00381A99"/>
    <w:rsid w:val="003829C2"/>
    <w:rsid w:val="003830B2"/>
    <w:rsid w:val="00384724"/>
    <w:rsid w:val="0038506E"/>
    <w:rsid w:val="0038637D"/>
    <w:rsid w:val="00390A44"/>
    <w:rsid w:val="003919B7"/>
    <w:rsid w:val="00391B0A"/>
    <w:rsid w:val="00391D57"/>
    <w:rsid w:val="00392292"/>
    <w:rsid w:val="00392587"/>
    <w:rsid w:val="0039414D"/>
    <w:rsid w:val="00394F45"/>
    <w:rsid w:val="00395260"/>
    <w:rsid w:val="003975E6"/>
    <w:rsid w:val="003A1C02"/>
    <w:rsid w:val="003A5927"/>
    <w:rsid w:val="003B0B05"/>
    <w:rsid w:val="003B1017"/>
    <w:rsid w:val="003B160E"/>
    <w:rsid w:val="003B1FFC"/>
    <w:rsid w:val="003B279A"/>
    <w:rsid w:val="003B3C07"/>
    <w:rsid w:val="003B5411"/>
    <w:rsid w:val="003B5DEB"/>
    <w:rsid w:val="003B5E91"/>
    <w:rsid w:val="003B6081"/>
    <w:rsid w:val="003B6775"/>
    <w:rsid w:val="003B763E"/>
    <w:rsid w:val="003B7CC5"/>
    <w:rsid w:val="003C0DB7"/>
    <w:rsid w:val="003C2591"/>
    <w:rsid w:val="003C2780"/>
    <w:rsid w:val="003C2E0F"/>
    <w:rsid w:val="003C5FE2"/>
    <w:rsid w:val="003C6C62"/>
    <w:rsid w:val="003D05FB"/>
    <w:rsid w:val="003D080E"/>
    <w:rsid w:val="003D14A8"/>
    <w:rsid w:val="003D1B16"/>
    <w:rsid w:val="003D3462"/>
    <w:rsid w:val="003D4362"/>
    <w:rsid w:val="003D45BF"/>
    <w:rsid w:val="003D4902"/>
    <w:rsid w:val="003D508A"/>
    <w:rsid w:val="003D537F"/>
    <w:rsid w:val="003D58F2"/>
    <w:rsid w:val="003D6383"/>
    <w:rsid w:val="003D693B"/>
    <w:rsid w:val="003D6C05"/>
    <w:rsid w:val="003D7B75"/>
    <w:rsid w:val="003D7CE4"/>
    <w:rsid w:val="003E0208"/>
    <w:rsid w:val="003E1D81"/>
    <w:rsid w:val="003E372F"/>
    <w:rsid w:val="003E3EEB"/>
    <w:rsid w:val="003E4B57"/>
    <w:rsid w:val="003F13F6"/>
    <w:rsid w:val="003F27E1"/>
    <w:rsid w:val="003F39C0"/>
    <w:rsid w:val="003F3DC6"/>
    <w:rsid w:val="003F437A"/>
    <w:rsid w:val="003F52A1"/>
    <w:rsid w:val="003F5ADE"/>
    <w:rsid w:val="003F5C2B"/>
    <w:rsid w:val="003F5C55"/>
    <w:rsid w:val="003F6C49"/>
    <w:rsid w:val="00401181"/>
    <w:rsid w:val="00401706"/>
    <w:rsid w:val="00402240"/>
    <w:rsid w:val="004023E9"/>
    <w:rsid w:val="0040454A"/>
    <w:rsid w:val="00406194"/>
    <w:rsid w:val="00406BDF"/>
    <w:rsid w:val="00407BDA"/>
    <w:rsid w:val="00413F83"/>
    <w:rsid w:val="0041490C"/>
    <w:rsid w:val="00414A4D"/>
    <w:rsid w:val="004150B9"/>
    <w:rsid w:val="00415BC3"/>
    <w:rsid w:val="00416191"/>
    <w:rsid w:val="00416721"/>
    <w:rsid w:val="00421EF0"/>
    <w:rsid w:val="004224FA"/>
    <w:rsid w:val="00423D07"/>
    <w:rsid w:val="00424146"/>
    <w:rsid w:val="00424515"/>
    <w:rsid w:val="00424C6B"/>
    <w:rsid w:val="0042546C"/>
    <w:rsid w:val="004254CD"/>
    <w:rsid w:val="004273F1"/>
    <w:rsid w:val="00427936"/>
    <w:rsid w:val="00430577"/>
    <w:rsid w:val="00431DAC"/>
    <w:rsid w:val="00432842"/>
    <w:rsid w:val="00433EC7"/>
    <w:rsid w:val="00434B5A"/>
    <w:rsid w:val="00436BB4"/>
    <w:rsid w:val="00440638"/>
    <w:rsid w:val="00440B9B"/>
    <w:rsid w:val="00441CDC"/>
    <w:rsid w:val="0044346F"/>
    <w:rsid w:val="004439E6"/>
    <w:rsid w:val="0044454F"/>
    <w:rsid w:val="00445006"/>
    <w:rsid w:val="00446D52"/>
    <w:rsid w:val="00453D4C"/>
    <w:rsid w:val="00453FF6"/>
    <w:rsid w:val="00454104"/>
    <w:rsid w:val="00454E73"/>
    <w:rsid w:val="00457C24"/>
    <w:rsid w:val="00463293"/>
    <w:rsid w:val="0046520A"/>
    <w:rsid w:val="00465658"/>
    <w:rsid w:val="00465A29"/>
    <w:rsid w:val="004672AB"/>
    <w:rsid w:val="004675FE"/>
    <w:rsid w:val="004677B3"/>
    <w:rsid w:val="004679A3"/>
    <w:rsid w:val="00470F6E"/>
    <w:rsid w:val="0047145B"/>
    <w:rsid w:val="004714FE"/>
    <w:rsid w:val="00471A3E"/>
    <w:rsid w:val="00472ADE"/>
    <w:rsid w:val="0047307A"/>
    <w:rsid w:val="00473793"/>
    <w:rsid w:val="00475469"/>
    <w:rsid w:val="00475867"/>
    <w:rsid w:val="00475EE8"/>
    <w:rsid w:val="0047786A"/>
    <w:rsid w:val="00477BAA"/>
    <w:rsid w:val="00480DCF"/>
    <w:rsid w:val="0049010E"/>
    <w:rsid w:val="00491758"/>
    <w:rsid w:val="00491DE8"/>
    <w:rsid w:val="00492594"/>
    <w:rsid w:val="00493E03"/>
    <w:rsid w:val="00495053"/>
    <w:rsid w:val="004952F0"/>
    <w:rsid w:val="004A05A1"/>
    <w:rsid w:val="004A1538"/>
    <w:rsid w:val="004A1F59"/>
    <w:rsid w:val="004A2251"/>
    <w:rsid w:val="004A29BE"/>
    <w:rsid w:val="004A3225"/>
    <w:rsid w:val="004A3355"/>
    <w:rsid w:val="004A33EE"/>
    <w:rsid w:val="004A3AA8"/>
    <w:rsid w:val="004A3DF6"/>
    <w:rsid w:val="004A46B0"/>
    <w:rsid w:val="004A7810"/>
    <w:rsid w:val="004B13C7"/>
    <w:rsid w:val="004B15AD"/>
    <w:rsid w:val="004B3FBA"/>
    <w:rsid w:val="004B7539"/>
    <w:rsid w:val="004B778F"/>
    <w:rsid w:val="004C014B"/>
    <w:rsid w:val="004C04D7"/>
    <w:rsid w:val="004C0609"/>
    <w:rsid w:val="004C0873"/>
    <w:rsid w:val="004C66A1"/>
    <w:rsid w:val="004D141F"/>
    <w:rsid w:val="004D2742"/>
    <w:rsid w:val="004D3532"/>
    <w:rsid w:val="004D6310"/>
    <w:rsid w:val="004D66CD"/>
    <w:rsid w:val="004D7412"/>
    <w:rsid w:val="004E0062"/>
    <w:rsid w:val="004E05A1"/>
    <w:rsid w:val="004E10FA"/>
    <w:rsid w:val="004E4781"/>
    <w:rsid w:val="004E653F"/>
    <w:rsid w:val="004E7667"/>
    <w:rsid w:val="004E7851"/>
    <w:rsid w:val="004F3947"/>
    <w:rsid w:val="004F472A"/>
    <w:rsid w:val="004F4DA4"/>
    <w:rsid w:val="004F5E57"/>
    <w:rsid w:val="004F5F01"/>
    <w:rsid w:val="004F6710"/>
    <w:rsid w:val="004F6FF4"/>
    <w:rsid w:val="00500B5E"/>
    <w:rsid w:val="00500C3E"/>
    <w:rsid w:val="00502849"/>
    <w:rsid w:val="00503953"/>
    <w:rsid w:val="00504334"/>
    <w:rsid w:val="005046CF"/>
    <w:rsid w:val="0050498D"/>
    <w:rsid w:val="005104D7"/>
    <w:rsid w:val="00510B9E"/>
    <w:rsid w:val="00511366"/>
    <w:rsid w:val="0052237B"/>
    <w:rsid w:val="005234A5"/>
    <w:rsid w:val="0052544B"/>
    <w:rsid w:val="00526DD5"/>
    <w:rsid w:val="00530FB8"/>
    <w:rsid w:val="00535639"/>
    <w:rsid w:val="00535DAD"/>
    <w:rsid w:val="00536863"/>
    <w:rsid w:val="00536A3C"/>
    <w:rsid w:val="00536BC2"/>
    <w:rsid w:val="00540C09"/>
    <w:rsid w:val="00541AE5"/>
    <w:rsid w:val="005425E1"/>
    <w:rsid w:val="00542725"/>
    <w:rsid w:val="005427C5"/>
    <w:rsid w:val="00542CF6"/>
    <w:rsid w:val="00542FCA"/>
    <w:rsid w:val="00543407"/>
    <w:rsid w:val="005436AD"/>
    <w:rsid w:val="00544ED3"/>
    <w:rsid w:val="00545B83"/>
    <w:rsid w:val="0055051D"/>
    <w:rsid w:val="00552B18"/>
    <w:rsid w:val="00553C03"/>
    <w:rsid w:val="00555078"/>
    <w:rsid w:val="00557B47"/>
    <w:rsid w:val="00557F9B"/>
    <w:rsid w:val="00563692"/>
    <w:rsid w:val="00564263"/>
    <w:rsid w:val="00565715"/>
    <w:rsid w:val="00565C44"/>
    <w:rsid w:val="00566811"/>
    <w:rsid w:val="005673CD"/>
    <w:rsid w:val="00571209"/>
    <w:rsid w:val="00571679"/>
    <w:rsid w:val="0057352D"/>
    <w:rsid w:val="00573EA6"/>
    <w:rsid w:val="0057407C"/>
    <w:rsid w:val="00574EAF"/>
    <w:rsid w:val="00577543"/>
    <w:rsid w:val="00580FD5"/>
    <w:rsid w:val="0058101A"/>
    <w:rsid w:val="00582C8D"/>
    <w:rsid w:val="00583B02"/>
    <w:rsid w:val="00583F53"/>
    <w:rsid w:val="005844E7"/>
    <w:rsid w:val="00584F0E"/>
    <w:rsid w:val="0058511C"/>
    <w:rsid w:val="0058522F"/>
    <w:rsid w:val="00586D79"/>
    <w:rsid w:val="005908B8"/>
    <w:rsid w:val="00591917"/>
    <w:rsid w:val="00591978"/>
    <w:rsid w:val="005939DE"/>
    <w:rsid w:val="0059512E"/>
    <w:rsid w:val="00596423"/>
    <w:rsid w:val="00596FF8"/>
    <w:rsid w:val="00597DC4"/>
    <w:rsid w:val="005A1594"/>
    <w:rsid w:val="005A1C40"/>
    <w:rsid w:val="005A2F38"/>
    <w:rsid w:val="005A4057"/>
    <w:rsid w:val="005A43B5"/>
    <w:rsid w:val="005A556F"/>
    <w:rsid w:val="005A56DB"/>
    <w:rsid w:val="005A683E"/>
    <w:rsid w:val="005A6DD2"/>
    <w:rsid w:val="005B249A"/>
    <w:rsid w:val="005B5933"/>
    <w:rsid w:val="005B6665"/>
    <w:rsid w:val="005B7C69"/>
    <w:rsid w:val="005B7C99"/>
    <w:rsid w:val="005C0374"/>
    <w:rsid w:val="005C0576"/>
    <w:rsid w:val="005C385D"/>
    <w:rsid w:val="005C61B6"/>
    <w:rsid w:val="005C6246"/>
    <w:rsid w:val="005D13B7"/>
    <w:rsid w:val="005D2152"/>
    <w:rsid w:val="005D3B20"/>
    <w:rsid w:val="005D49B4"/>
    <w:rsid w:val="005D4B7F"/>
    <w:rsid w:val="005D4EB1"/>
    <w:rsid w:val="005D773C"/>
    <w:rsid w:val="005D787F"/>
    <w:rsid w:val="005E1970"/>
    <w:rsid w:val="005E34B8"/>
    <w:rsid w:val="005E4371"/>
    <w:rsid w:val="005E45EC"/>
    <w:rsid w:val="005E473C"/>
    <w:rsid w:val="005E4759"/>
    <w:rsid w:val="005E53FE"/>
    <w:rsid w:val="005E5C68"/>
    <w:rsid w:val="005E61A2"/>
    <w:rsid w:val="005E65C0"/>
    <w:rsid w:val="005E683C"/>
    <w:rsid w:val="005E7EAB"/>
    <w:rsid w:val="005F0156"/>
    <w:rsid w:val="005F0390"/>
    <w:rsid w:val="005F1257"/>
    <w:rsid w:val="005F4135"/>
    <w:rsid w:val="005F4B18"/>
    <w:rsid w:val="005F6EC5"/>
    <w:rsid w:val="005F77F8"/>
    <w:rsid w:val="00600B2B"/>
    <w:rsid w:val="00603942"/>
    <w:rsid w:val="00606B66"/>
    <w:rsid w:val="00606F8A"/>
    <w:rsid w:val="00607172"/>
    <w:rsid w:val="006072CD"/>
    <w:rsid w:val="006100BD"/>
    <w:rsid w:val="006103FA"/>
    <w:rsid w:val="00610ABD"/>
    <w:rsid w:val="006111DF"/>
    <w:rsid w:val="00612023"/>
    <w:rsid w:val="00614190"/>
    <w:rsid w:val="00614390"/>
    <w:rsid w:val="006144EC"/>
    <w:rsid w:val="00614A96"/>
    <w:rsid w:val="00622A99"/>
    <w:rsid w:val="00622E67"/>
    <w:rsid w:val="00625E9E"/>
    <w:rsid w:val="00626B57"/>
    <w:rsid w:val="00626EDC"/>
    <w:rsid w:val="0063070F"/>
    <w:rsid w:val="00633C6D"/>
    <w:rsid w:val="00635025"/>
    <w:rsid w:val="00635142"/>
    <w:rsid w:val="00637886"/>
    <w:rsid w:val="00641AEF"/>
    <w:rsid w:val="00642B2E"/>
    <w:rsid w:val="00642CA1"/>
    <w:rsid w:val="00643588"/>
    <w:rsid w:val="006470EC"/>
    <w:rsid w:val="00647B3C"/>
    <w:rsid w:val="0065309E"/>
    <w:rsid w:val="006542D6"/>
    <w:rsid w:val="0065566E"/>
    <w:rsid w:val="0065598E"/>
    <w:rsid w:val="00655AF2"/>
    <w:rsid w:val="00655BC5"/>
    <w:rsid w:val="006568BE"/>
    <w:rsid w:val="0065777E"/>
    <w:rsid w:val="0066025D"/>
    <w:rsid w:val="006603EA"/>
    <w:rsid w:val="0066091A"/>
    <w:rsid w:val="00660DA5"/>
    <w:rsid w:val="00661D9F"/>
    <w:rsid w:val="00662695"/>
    <w:rsid w:val="00662F1D"/>
    <w:rsid w:val="00663251"/>
    <w:rsid w:val="006642E7"/>
    <w:rsid w:val="0066533F"/>
    <w:rsid w:val="00666F6A"/>
    <w:rsid w:val="00667AD2"/>
    <w:rsid w:val="00670E8D"/>
    <w:rsid w:val="00671FF0"/>
    <w:rsid w:val="00673F24"/>
    <w:rsid w:val="00674B52"/>
    <w:rsid w:val="00676C05"/>
    <w:rsid w:val="006773EC"/>
    <w:rsid w:val="00680504"/>
    <w:rsid w:val="00681CD9"/>
    <w:rsid w:val="00683E30"/>
    <w:rsid w:val="00686785"/>
    <w:rsid w:val="00687024"/>
    <w:rsid w:val="006917FC"/>
    <w:rsid w:val="006945E1"/>
    <w:rsid w:val="00695E22"/>
    <w:rsid w:val="006A2E5C"/>
    <w:rsid w:val="006A3955"/>
    <w:rsid w:val="006A3BD4"/>
    <w:rsid w:val="006A57AB"/>
    <w:rsid w:val="006A5826"/>
    <w:rsid w:val="006A5C49"/>
    <w:rsid w:val="006A61D1"/>
    <w:rsid w:val="006A7B33"/>
    <w:rsid w:val="006B10AB"/>
    <w:rsid w:val="006B2C2D"/>
    <w:rsid w:val="006B32B4"/>
    <w:rsid w:val="006B7093"/>
    <w:rsid w:val="006B7417"/>
    <w:rsid w:val="006C3DEA"/>
    <w:rsid w:val="006C5110"/>
    <w:rsid w:val="006C7084"/>
    <w:rsid w:val="006C7D94"/>
    <w:rsid w:val="006D0A73"/>
    <w:rsid w:val="006D264C"/>
    <w:rsid w:val="006D3691"/>
    <w:rsid w:val="006D5887"/>
    <w:rsid w:val="006D5D24"/>
    <w:rsid w:val="006D6083"/>
    <w:rsid w:val="006D779E"/>
    <w:rsid w:val="006E3B0E"/>
    <w:rsid w:val="006E5EF0"/>
    <w:rsid w:val="006F0FD0"/>
    <w:rsid w:val="006F3259"/>
    <w:rsid w:val="006F3563"/>
    <w:rsid w:val="006F356D"/>
    <w:rsid w:val="006F3FE2"/>
    <w:rsid w:val="006F42B9"/>
    <w:rsid w:val="006F5CD1"/>
    <w:rsid w:val="006F6103"/>
    <w:rsid w:val="006F62C3"/>
    <w:rsid w:val="0070138C"/>
    <w:rsid w:val="007048C1"/>
    <w:rsid w:val="00704E00"/>
    <w:rsid w:val="00707E19"/>
    <w:rsid w:val="0071239E"/>
    <w:rsid w:val="00714202"/>
    <w:rsid w:val="0071648E"/>
    <w:rsid w:val="00717FE7"/>
    <w:rsid w:val="007209E7"/>
    <w:rsid w:val="00724EDB"/>
    <w:rsid w:val="00725CCF"/>
    <w:rsid w:val="00726182"/>
    <w:rsid w:val="00727240"/>
    <w:rsid w:val="00727635"/>
    <w:rsid w:val="00731FB2"/>
    <w:rsid w:val="00732329"/>
    <w:rsid w:val="007337CA"/>
    <w:rsid w:val="00734CE4"/>
    <w:rsid w:val="00735123"/>
    <w:rsid w:val="00735412"/>
    <w:rsid w:val="00737992"/>
    <w:rsid w:val="007407EB"/>
    <w:rsid w:val="00741837"/>
    <w:rsid w:val="00742CF9"/>
    <w:rsid w:val="007453E6"/>
    <w:rsid w:val="00745509"/>
    <w:rsid w:val="007466D3"/>
    <w:rsid w:val="00753DD0"/>
    <w:rsid w:val="00754678"/>
    <w:rsid w:val="00761BB6"/>
    <w:rsid w:val="00762735"/>
    <w:rsid w:val="00765F75"/>
    <w:rsid w:val="00766678"/>
    <w:rsid w:val="00771D6C"/>
    <w:rsid w:val="0077309D"/>
    <w:rsid w:val="007748B7"/>
    <w:rsid w:val="0077507A"/>
    <w:rsid w:val="007756CF"/>
    <w:rsid w:val="007757D0"/>
    <w:rsid w:val="007774EE"/>
    <w:rsid w:val="0077776B"/>
    <w:rsid w:val="007801D9"/>
    <w:rsid w:val="0078141E"/>
    <w:rsid w:val="00781822"/>
    <w:rsid w:val="00783F21"/>
    <w:rsid w:val="0078478A"/>
    <w:rsid w:val="00787159"/>
    <w:rsid w:val="007872CC"/>
    <w:rsid w:val="0079043A"/>
    <w:rsid w:val="0079102C"/>
    <w:rsid w:val="00791668"/>
    <w:rsid w:val="00791AA1"/>
    <w:rsid w:val="00793136"/>
    <w:rsid w:val="00793700"/>
    <w:rsid w:val="00794EAC"/>
    <w:rsid w:val="00795CBF"/>
    <w:rsid w:val="00796AD3"/>
    <w:rsid w:val="007A093B"/>
    <w:rsid w:val="007A3682"/>
    <w:rsid w:val="007A3793"/>
    <w:rsid w:val="007A5AB8"/>
    <w:rsid w:val="007A66CC"/>
    <w:rsid w:val="007A76D9"/>
    <w:rsid w:val="007B0757"/>
    <w:rsid w:val="007B0D0A"/>
    <w:rsid w:val="007B16D9"/>
    <w:rsid w:val="007B172B"/>
    <w:rsid w:val="007B453F"/>
    <w:rsid w:val="007B642D"/>
    <w:rsid w:val="007C038B"/>
    <w:rsid w:val="007C108F"/>
    <w:rsid w:val="007C1BA2"/>
    <w:rsid w:val="007C25DA"/>
    <w:rsid w:val="007C2B48"/>
    <w:rsid w:val="007C5067"/>
    <w:rsid w:val="007C6100"/>
    <w:rsid w:val="007D0FEA"/>
    <w:rsid w:val="007D20E9"/>
    <w:rsid w:val="007D21B9"/>
    <w:rsid w:val="007D276F"/>
    <w:rsid w:val="007D340A"/>
    <w:rsid w:val="007D7881"/>
    <w:rsid w:val="007D7D1D"/>
    <w:rsid w:val="007D7E3A"/>
    <w:rsid w:val="007E0837"/>
    <w:rsid w:val="007E0E10"/>
    <w:rsid w:val="007E137A"/>
    <w:rsid w:val="007E20B7"/>
    <w:rsid w:val="007E3B94"/>
    <w:rsid w:val="007E4467"/>
    <w:rsid w:val="007E460D"/>
    <w:rsid w:val="007E4768"/>
    <w:rsid w:val="007E777B"/>
    <w:rsid w:val="007F057A"/>
    <w:rsid w:val="007F08E7"/>
    <w:rsid w:val="007F2070"/>
    <w:rsid w:val="007F2648"/>
    <w:rsid w:val="007F3AF5"/>
    <w:rsid w:val="007F4DB4"/>
    <w:rsid w:val="007F63C1"/>
    <w:rsid w:val="007F6FD8"/>
    <w:rsid w:val="00801020"/>
    <w:rsid w:val="00801A49"/>
    <w:rsid w:val="00801D76"/>
    <w:rsid w:val="00804EF6"/>
    <w:rsid w:val="008053F5"/>
    <w:rsid w:val="00805F12"/>
    <w:rsid w:val="00807AF7"/>
    <w:rsid w:val="00807C56"/>
    <w:rsid w:val="00810198"/>
    <w:rsid w:val="00810A6B"/>
    <w:rsid w:val="00810F84"/>
    <w:rsid w:val="00811DE0"/>
    <w:rsid w:val="0081453B"/>
    <w:rsid w:val="008153F0"/>
    <w:rsid w:val="0081565E"/>
    <w:rsid w:val="00815DA8"/>
    <w:rsid w:val="008168A3"/>
    <w:rsid w:val="008203B4"/>
    <w:rsid w:val="00820517"/>
    <w:rsid w:val="0082194D"/>
    <w:rsid w:val="008221F9"/>
    <w:rsid w:val="008258F2"/>
    <w:rsid w:val="00826095"/>
    <w:rsid w:val="00826EF5"/>
    <w:rsid w:val="008305E4"/>
    <w:rsid w:val="00830EBD"/>
    <w:rsid w:val="008312A7"/>
    <w:rsid w:val="00831693"/>
    <w:rsid w:val="008330D2"/>
    <w:rsid w:val="00835B01"/>
    <w:rsid w:val="00836FD9"/>
    <w:rsid w:val="00840104"/>
    <w:rsid w:val="00840C1F"/>
    <w:rsid w:val="008411C9"/>
    <w:rsid w:val="00841FC5"/>
    <w:rsid w:val="00842B72"/>
    <w:rsid w:val="00842C19"/>
    <w:rsid w:val="0084433F"/>
    <w:rsid w:val="00844825"/>
    <w:rsid w:val="00845709"/>
    <w:rsid w:val="008473D6"/>
    <w:rsid w:val="008525DA"/>
    <w:rsid w:val="008531BA"/>
    <w:rsid w:val="00853C8D"/>
    <w:rsid w:val="00853FEA"/>
    <w:rsid w:val="00855FD7"/>
    <w:rsid w:val="0085693A"/>
    <w:rsid w:val="00857186"/>
    <w:rsid w:val="008576BD"/>
    <w:rsid w:val="00860463"/>
    <w:rsid w:val="00860986"/>
    <w:rsid w:val="00861A4E"/>
    <w:rsid w:val="0086233A"/>
    <w:rsid w:val="0086322C"/>
    <w:rsid w:val="008653B5"/>
    <w:rsid w:val="0087050E"/>
    <w:rsid w:val="008733DA"/>
    <w:rsid w:val="008735A5"/>
    <w:rsid w:val="00873725"/>
    <w:rsid w:val="00875CA8"/>
    <w:rsid w:val="00876C25"/>
    <w:rsid w:val="00877B3A"/>
    <w:rsid w:val="008839FB"/>
    <w:rsid w:val="00884A6A"/>
    <w:rsid w:val="008850E4"/>
    <w:rsid w:val="008908BA"/>
    <w:rsid w:val="008939AB"/>
    <w:rsid w:val="00894AB6"/>
    <w:rsid w:val="0089732B"/>
    <w:rsid w:val="008A12F5"/>
    <w:rsid w:val="008A5B83"/>
    <w:rsid w:val="008B127E"/>
    <w:rsid w:val="008B1587"/>
    <w:rsid w:val="008B17EA"/>
    <w:rsid w:val="008B1B01"/>
    <w:rsid w:val="008B217A"/>
    <w:rsid w:val="008B35A2"/>
    <w:rsid w:val="008B37FB"/>
    <w:rsid w:val="008B3BCD"/>
    <w:rsid w:val="008B6DF8"/>
    <w:rsid w:val="008C05FB"/>
    <w:rsid w:val="008C0F62"/>
    <w:rsid w:val="008C106C"/>
    <w:rsid w:val="008C10F1"/>
    <w:rsid w:val="008C1926"/>
    <w:rsid w:val="008C1E99"/>
    <w:rsid w:val="008C2D7F"/>
    <w:rsid w:val="008C4187"/>
    <w:rsid w:val="008C6481"/>
    <w:rsid w:val="008D0FF2"/>
    <w:rsid w:val="008D1291"/>
    <w:rsid w:val="008D1A0A"/>
    <w:rsid w:val="008D323E"/>
    <w:rsid w:val="008D6972"/>
    <w:rsid w:val="008E0085"/>
    <w:rsid w:val="008E2AA6"/>
    <w:rsid w:val="008E311B"/>
    <w:rsid w:val="008E33E2"/>
    <w:rsid w:val="008F2A9D"/>
    <w:rsid w:val="008F36DA"/>
    <w:rsid w:val="008F46E7"/>
    <w:rsid w:val="008F66A0"/>
    <w:rsid w:val="008F6F0B"/>
    <w:rsid w:val="00900312"/>
    <w:rsid w:val="009022E6"/>
    <w:rsid w:val="00904F1B"/>
    <w:rsid w:val="0090621C"/>
    <w:rsid w:val="00907BA7"/>
    <w:rsid w:val="00910300"/>
    <w:rsid w:val="0091064E"/>
    <w:rsid w:val="00910C10"/>
    <w:rsid w:val="00910C53"/>
    <w:rsid w:val="00910F95"/>
    <w:rsid w:val="00911FC5"/>
    <w:rsid w:val="00913E1F"/>
    <w:rsid w:val="0091669C"/>
    <w:rsid w:val="00916CF9"/>
    <w:rsid w:val="0092053B"/>
    <w:rsid w:val="0092105D"/>
    <w:rsid w:val="00921A44"/>
    <w:rsid w:val="00921BFE"/>
    <w:rsid w:val="00922F4B"/>
    <w:rsid w:val="00923F3B"/>
    <w:rsid w:val="00927114"/>
    <w:rsid w:val="009273DE"/>
    <w:rsid w:val="00931A10"/>
    <w:rsid w:val="00933B21"/>
    <w:rsid w:val="00936943"/>
    <w:rsid w:val="00941E66"/>
    <w:rsid w:val="0094252C"/>
    <w:rsid w:val="00942D04"/>
    <w:rsid w:val="00942ECE"/>
    <w:rsid w:val="0094616E"/>
    <w:rsid w:val="0094679B"/>
    <w:rsid w:val="00947967"/>
    <w:rsid w:val="00953675"/>
    <w:rsid w:val="00955201"/>
    <w:rsid w:val="0095765B"/>
    <w:rsid w:val="00964E73"/>
    <w:rsid w:val="00965200"/>
    <w:rsid w:val="0096595A"/>
    <w:rsid w:val="009668B3"/>
    <w:rsid w:val="00966FFB"/>
    <w:rsid w:val="00971471"/>
    <w:rsid w:val="00974A51"/>
    <w:rsid w:val="00976659"/>
    <w:rsid w:val="00981165"/>
    <w:rsid w:val="00982202"/>
    <w:rsid w:val="00982DE5"/>
    <w:rsid w:val="009837F9"/>
    <w:rsid w:val="0098442D"/>
    <w:rsid w:val="009849C2"/>
    <w:rsid w:val="00984D24"/>
    <w:rsid w:val="009858EB"/>
    <w:rsid w:val="00986244"/>
    <w:rsid w:val="00986529"/>
    <w:rsid w:val="0098659B"/>
    <w:rsid w:val="009879F0"/>
    <w:rsid w:val="00995E9A"/>
    <w:rsid w:val="009967A5"/>
    <w:rsid w:val="009A1F99"/>
    <w:rsid w:val="009A2ABB"/>
    <w:rsid w:val="009A309E"/>
    <w:rsid w:val="009A3F47"/>
    <w:rsid w:val="009A601A"/>
    <w:rsid w:val="009A6838"/>
    <w:rsid w:val="009B0046"/>
    <w:rsid w:val="009B13F9"/>
    <w:rsid w:val="009B22BD"/>
    <w:rsid w:val="009B252A"/>
    <w:rsid w:val="009B2B69"/>
    <w:rsid w:val="009B36DD"/>
    <w:rsid w:val="009B5891"/>
    <w:rsid w:val="009B5CC0"/>
    <w:rsid w:val="009B5F1A"/>
    <w:rsid w:val="009B65D4"/>
    <w:rsid w:val="009C08F8"/>
    <w:rsid w:val="009C1440"/>
    <w:rsid w:val="009C2107"/>
    <w:rsid w:val="009C2797"/>
    <w:rsid w:val="009C33EE"/>
    <w:rsid w:val="009C5D9E"/>
    <w:rsid w:val="009C7744"/>
    <w:rsid w:val="009D0E53"/>
    <w:rsid w:val="009D130C"/>
    <w:rsid w:val="009D2C3E"/>
    <w:rsid w:val="009D4071"/>
    <w:rsid w:val="009D42D3"/>
    <w:rsid w:val="009D4CED"/>
    <w:rsid w:val="009D4F8D"/>
    <w:rsid w:val="009D54A6"/>
    <w:rsid w:val="009E0625"/>
    <w:rsid w:val="009E0865"/>
    <w:rsid w:val="009E3034"/>
    <w:rsid w:val="009E43BE"/>
    <w:rsid w:val="009E549F"/>
    <w:rsid w:val="009E54FC"/>
    <w:rsid w:val="009E60C5"/>
    <w:rsid w:val="009F01A1"/>
    <w:rsid w:val="009F074C"/>
    <w:rsid w:val="009F28A8"/>
    <w:rsid w:val="009F2D11"/>
    <w:rsid w:val="009F2E00"/>
    <w:rsid w:val="009F473E"/>
    <w:rsid w:val="009F682A"/>
    <w:rsid w:val="009F765D"/>
    <w:rsid w:val="009F7CAE"/>
    <w:rsid w:val="00A00C8A"/>
    <w:rsid w:val="00A022BE"/>
    <w:rsid w:val="00A0281D"/>
    <w:rsid w:val="00A031C1"/>
    <w:rsid w:val="00A059D4"/>
    <w:rsid w:val="00A05E4A"/>
    <w:rsid w:val="00A05EB3"/>
    <w:rsid w:val="00A07B4B"/>
    <w:rsid w:val="00A12B24"/>
    <w:rsid w:val="00A152B4"/>
    <w:rsid w:val="00A17B34"/>
    <w:rsid w:val="00A17E10"/>
    <w:rsid w:val="00A21051"/>
    <w:rsid w:val="00A21722"/>
    <w:rsid w:val="00A21A17"/>
    <w:rsid w:val="00A220C1"/>
    <w:rsid w:val="00A22438"/>
    <w:rsid w:val="00A24C95"/>
    <w:rsid w:val="00A2599A"/>
    <w:rsid w:val="00A26052"/>
    <w:rsid w:val="00A26094"/>
    <w:rsid w:val="00A301BF"/>
    <w:rsid w:val="00A302B2"/>
    <w:rsid w:val="00A317A8"/>
    <w:rsid w:val="00A324BC"/>
    <w:rsid w:val="00A331B4"/>
    <w:rsid w:val="00A3405A"/>
    <w:rsid w:val="00A3484E"/>
    <w:rsid w:val="00A354FA"/>
    <w:rsid w:val="00A356D3"/>
    <w:rsid w:val="00A36ADA"/>
    <w:rsid w:val="00A37183"/>
    <w:rsid w:val="00A37E6A"/>
    <w:rsid w:val="00A438D8"/>
    <w:rsid w:val="00A43B7D"/>
    <w:rsid w:val="00A473F5"/>
    <w:rsid w:val="00A517B3"/>
    <w:rsid w:val="00A51E4A"/>
    <w:rsid w:val="00A51F9D"/>
    <w:rsid w:val="00A538A2"/>
    <w:rsid w:val="00A5416A"/>
    <w:rsid w:val="00A55203"/>
    <w:rsid w:val="00A5756F"/>
    <w:rsid w:val="00A639F4"/>
    <w:rsid w:val="00A656DF"/>
    <w:rsid w:val="00A65C53"/>
    <w:rsid w:val="00A6685A"/>
    <w:rsid w:val="00A704B9"/>
    <w:rsid w:val="00A737C0"/>
    <w:rsid w:val="00A743A5"/>
    <w:rsid w:val="00A7577D"/>
    <w:rsid w:val="00A76721"/>
    <w:rsid w:val="00A7772A"/>
    <w:rsid w:val="00A81810"/>
    <w:rsid w:val="00A81A32"/>
    <w:rsid w:val="00A835BD"/>
    <w:rsid w:val="00A85DDF"/>
    <w:rsid w:val="00A87013"/>
    <w:rsid w:val="00A9121F"/>
    <w:rsid w:val="00A91DDF"/>
    <w:rsid w:val="00A922F7"/>
    <w:rsid w:val="00A924E8"/>
    <w:rsid w:val="00A95E6C"/>
    <w:rsid w:val="00A97B15"/>
    <w:rsid w:val="00AA0DEA"/>
    <w:rsid w:val="00AA13D3"/>
    <w:rsid w:val="00AA1C4A"/>
    <w:rsid w:val="00AA2CE3"/>
    <w:rsid w:val="00AA2F05"/>
    <w:rsid w:val="00AA42D5"/>
    <w:rsid w:val="00AA43F7"/>
    <w:rsid w:val="00AA7FEA"/>
    <w:rsid w:val="00AB2FAB"/>
    <w:rsid w:val="00AB3289"/>
    <w:rsid w:val="00AB419E"/>
    <w:rsid w:val="00AB5C14"/>
    <w:rsid w:val="00AB7E79"/>
    <w:rsid w:val="00AC1EE7"/>
    <w:rsid w:val="00AC2ED1"/>
    <w:rsid w:val="00AC333F"/>
    <w:rsid w:val="00AC4741"/>
    <w:rsid w:val="00AC5186"/>
    <w:rsid w:val="00AC585C"/>
    <w:rsid w:val="00AC5C46"/>
    <w:rsid w:val="00AD1925"/>
    <w:rsid w:val="00AD2449"/>
    <w:rsid w:val="00AD2A91"/>
    <w:rsid w:val="00AD6020"/>
    <w:rsid w:val="00AD616B"/>
    <w:rsid w:val="00AD7D00"/>
    <w:rsid w:val="00AE067D"/>
    <w:rsid w:val="00AE375B"/>
    <w:rsid w:val="00AE3F18"/>
    <w:rsid w:val="00AE6E0E"/>
    <w:rsid w:val="00AE79E5"/>
    <w:rsid w:val="00AF09E6"/>
    <w:rsid w:val="00AF1181"/>
    <w:rsid w:val="00AF1CAC"/>
    <w:rsid w:val="00AF2F79"/>
    <w:rsid w:val="00AF3400"/>
    <w:rsid w:val="00AF4337"/>
    <w:rsid w:val="00AF4653"/>
    <w:rsid w:val="00AF49D6"/>
    <w:rsid w:val="00AF7DB7"/>
    <w:rsid w:val="00B01883"/>
    <w:rsid w:val="00B07BC9"/>
    <w:rsid w:val="00B07DDB"/>
    <w:rsid w:val="00B105D5"/>
    <w:rsid w:val="00B10D02"/>
    <w:rsid w:val="00B15B53"/>
    <w:rsid w:val="00B17283"/>
    <w:rsid w:val="00B201E2"/>
    <w:rsid w:val="00B2086B"/>
    <w:rsid w:val="00B22F88"/>
    <w:rsid w:val="00B2324B"/>
    <w:rsid w:val="00B23387"/>
    <w:rsid w:val="00B2395C"/>
    <w:rsid w:val="00B25C21"/>
    <w:rsid w:val="00B30102"/>
    <w:rsid w:val="00B30C72"/>
    <w:rsid w:val="00B334B1"/>
    <w:rsid w:val="00B35311"/>
    <w:rsid w:val="00B36D45"/>
    <w:rsid w:val="00B4096E"/>
    <w:rsid w:val="00B41006"/>
    <w:rsid w:val="00B41FA5"/>
    <w:rsid w:val="00B42262"/>
    <w:rsid w:val="00B43E82"/>
    <w:rsid w:val="00B443E4"/>
    <w:rsid w:val="00B4466C"/>
    <w:rsid w:val="00B44E64"/>
    <w:rsid w:val="00B51553"/>
    <w:rsid w:val="00B51709"/>
    <w:rsid w:val="00B531A0"/>
    <w:rsid w:val="00B5484D"/>
    <w:rsid w:val="00B5518C"/>
    <w:rsid w:val="00B55ECF"/>
    <w:rsid w:val="00B56068"/>
    <w:rsid w:val="00B563EA"/>
    <w:rsid w:val="00B56CDF"/>
    <w:rsid w:val="00B609CA"/>
    <w:rsid w:val="00B60A4C"/>
    <w:rsid w:val="00B60B0A"/>
    <w:rsid w:val="00B60C9E"/>
    <w:rsid w:val="00B60E51"/>
    <w:rsid w:val="00B61540"/>
    <w:rsid w:val="00B638FD"/>
    <w:rsid w:val="00B63A54"/>
    <w:rsid w:val="00B6771C"/>
    <w:rsid w:val="00B70A2D"/>
    <w:rsid w:val="00B70F88"/>
    <w:rsid w:val="00B71BF5"/>
    <w:rsid w:val="00B71C26"/>
    <w:rsid w:val="00B72566"/>
    <w:rsid w:val="00B77CF7"/>
    <w:rsid w:val="00B77D18"/>
    <w:rsid w:val="00B82496"/>
    <w:rsid w:val="00B8313A"/>
    <w:rsid w:val="00B84137"/>
    <w:rsid w:val="00B8484F"/>
    <w:rsid w:val="00B848C1"/>
    <w:rsid w:val="00B84BCF"/>
    <w:rsid w:val="00B86F6B"/>
    <w:rsid w:val="00B877AF"/>
    <w:rsid w:val="00B87BEB"/>
    <w:rsid w:val="00B91E41"/>
    <w:rsid w:val="00B92E55"/>
    <w:rsid w:val="00B93503"/>
    <w:rsid w:val="00B9637B"/>
    <w:rsid w:val="00B978EE"/>
    <w:rsid w:val="00BA061B"/>
    <w:rsid w:val="00BA108B"/>
    <w:rsid w:val="00BA178E"/>
    <w:rsid w:val="00BA31E8"/>
    <w:rsid w:val="00BA480D"/>
    <w:rsid w:val="00BA55E0"/>
    <w:rsid w:val="00BA5BD7"/>
    <w:rsid w:val="00BA6BD4"/>
    <w:rsid w:val="00BA6C7A"/>
    <w:rsid w:val="00BA7FC6"/>
    <w:rsid w:val="00BB12E4"/>
    <w:rsid w:val="00BB17D1"/>
    <w:rsid w:val="00BB2361"/>
    <w:rsid w:val="00BB3752"/>
    <w:rsid w:val="00BB6688"/>
    <w:rsid w:val="00BC26D4"/>
    <w:rsid w:val="00BC668D"/>
    <w:rsid w:val="00BD0318"/>
    <w:rsid w:val="00BD5A88"/>
    <w:rsid w:val="00BD6F10"/>
    <w:rsid w:val="00BE047C"/>
    <w:rsid w:val="00BE0C80"/>
    <w:rsid w:val="00BE247A"/>
    <w:rsid w:val="00BE42DB"/>
    <w:rsid w:val="00BE5E5F"/>
    <w:rsid w:val="00BF1D28"/>
    <w:rsid w:val="00BF1D8C"/>
    <w:rsid w:val="00BF23C2"/>
    <w:rsid w:val="00BF2A42"/>
    <w:rsid w:val="00BF32E0"/>
    <w:rsid w:val="00BF447B"/>
    <w:rsid w:val="00BF54D7"/>
    <w:rsid w:val="00C013D2"/>
    <w:rsid w:val="00C01CCC"/>
    <w:rsid w:val="00C02DC0"/>
    <w:rsid w:val="00C03D8C"/>
    <w:rsid w:val="00C04894"/>
    <w:rsid w:val="00C04A46"/>
    <w:rsid w:val="00C04F87"/>
    <w:rsid w:val="00C055EC"/>
    <w:rsid w:val="00C062AD"/>
    <w:rsid w:val="00C10724"/>
    <w:rsid w:val="00C10DC9"/>
    <w:rsid w:val="00C1167A"/>
    <w:rsid w:val="00C11A04"/>
    <w:rsid w:val="00C12FB3"/>
    <w:rsid w:val="00C15154"/>
    <w:rsid w:val="00C17182"/>
    <w:rsid w:val="00C17341"/>
    <w:rsid w:val="00C1795D"/>
    <w:rsid w:val="00C17AD5"/>
    <w:rsid w:val="00C2081A"/>
    <w:rsid w:val="00C21C5D"/>
    <w:rsid w:val="00C24EEF"/>
    <w:rsid w:val="00C25CF6"/>
    <w:rsid w:val="00C26C36"/>
    <w:rsid w:val="00C26C6E"/>
    <w:rsid w:val="00C272E6"/>
    <w:rsid w:val="00C32099"/>
    <w:rsid w:val="00C32768"/>
    <w:rsid w:val="00C34580"/>
    <w:rsid w:val="00C34B3B"/>
    <w:rsid w:val="00C35AB6"/>
    <w:rsid w:val="00C35C38"/>
    <w:rsid w:val="00C36A9E"/>
    <w:rsid w:val="00C40976"/>
    <w:rsid w:val="00C431DF"/>
    <w:rsid w:val="00C456B5"/>
    <w:rsid w:val="00C456BD"/>
    <w:rsid w:val="00C51CF5"/>
    <w:rsid w:val="00C5295A"/>
    <w:rsid w:val="00C52B7E"/>
    <w:rsid w:val="00C530DC"/>
    <w:rsid w:val="00C5350D"/>
    <w:rsid w:val="00C5358C"/>
    <w:rsid w:val="00C53749"/>
    <w:rsid w:val="00C53FD6"/>
    <w:rsid w:val="00C56AD1"/>
    <w:rsid w:val="00C603B7"/>
    <w:rsid w:val="00C60543"/>
    <w:rsid w:val="00C6123C"/>
    <w:rsid w:val="00C62F43"/>
    <w:rsid w:val="00C6311A"/>
    <w:rsid w:val="00C63437"/>
    <w:rsid w:val="00C67D0C"/>
    <w:rsid w:val="00C7084D"/>
    <w:rsid w:val="00C70D57"/>
    <w:rsid w:val="00C7315E"/>
    <w:rsid w:val="00C73A86"/>
    <w:rsid w:val="00C74FF4"/>
    <w:rsid w:val="00C7537D"/>
    <w:rsid w:val="00C75895"/>
    <w:rsid w:val="00C7619C"/>
    <w:rsid w:val="00C82BFF"/>
    <w:rsid w:val="00C83C9F"/>
    <w:rsid w:val="00C83EEE"/>
    <w:rsid w:val="00C85A8D"/>
    <w:rsid w:val="00C87874"/>
    <w:rsid w:val="00C91A54"/>
    <w:rsid w:val="00C92303"/>
    <w:rsid w:val="00C92688"/>
    <w:rsid w:val="00C936B7"/>
    <w:rsid w:val="00C94840"/>
    <w:rsid w:val="00CA0770"/>
    <w:rsid w:val="00CA0A77"/>
    <w:rsid w:val="00CA4EE3"/>
    <w:rsid w:val="00CA63C0"/>
    <w:rsid w:val="00CA6E3A"/>
    <w:rsid w:val="00CA721D"/>
    <w:rsid w:val="00CA7E95"/>
    <w:rsid w:val="00CB027F"/>
    <w:rsid w:val="00CB05C7"/>
    <w:rsid w:val="00CB145E"/>
    <w:rsid w:val="00CB20BE"/>
    <w:rsid w:val="00CB480F"/>
    <w:rsid w:val="00CB5635"/>
    <w:rsid w:val="00CC0EBB"/>
    <w:rsid w:val="00CC140A"/>
    <w:rsid w:val="00CC1B7F"/>
    <w:rsid w:val="00CC2373"/>
    <w:rsid w:val="00CC455C"/>
    <w:rsid w:val="00CC4B19"/>
    <w:rsid w:val="00CC51D2"/>
    <w:rsid w:val="00CC6297"/>
    <w:rsid w:val="00CC7276"/>
    <w:rsid w:val="00CC7690"/>
    <w:rsid w:val="00CD1986"/>
    <w:rsid w:val="00CD481B"/>
    <w:rsid w:val="00CD4F83"/>
    <w:rsid w:val="00CD5294"/>
    <w:rsid w:val="00CD54BF"/>
    <w:rsid w:val="00CE01D0"/>
    <w:rsid w:val="00CE1ED4"/>
    <w:rsid w:val="00CE2288"/>
    <w:rsid w:val="00CE3F54"/>
    <w:rsid w:val="00CE4D5C"/>
    <w:rsid w:val="00CE51A0"/>
    <w:rsid w:val="00CE5E8F"/>
    <w:rsid w:val="00CE68E7"/>
    <w:rsid w:val="00CE711A"/>
    <w:rsid w:val="00CE75F9"/>
    <w:rsid w:val="00CF05DA"/>
    <w:rsid w:val="00CF0754"/>
    <w:rsid w:val="00CF0950"/>
    <w:rsid w:val="00CF0FF2"/>
    <w:rsid w:val="00CF1BEB"/>
    <w:rsid w:val="00CF4634"/>
    <w:rsid w:val="00CF58EB"/>
    <w:rsid w:val="00CF6FEC"/>
    <w:rsid w:val="00D0106E"/>
    <w:rsid w:val="00D0108D"/>
    <w:rsid w:val="00D03106"/>
    <w:rsid w:val="00D03D2A"/>
    <w:rsid w:val="00D040E9"/>
    <w:rsid w:val="00D06383"/>
    <w:rsid w:val="00D11E24"/>
    <w:rsid w:val="00D143DF"/>
    <w:rsid w:val="00D14792"/>
    <w:rsid w:val="00D158E9"/>
    <w:rsid w:val="00D16B17"/>
    <w:rsid w:val="00D20E85"/>
    <w:rsid w:val="00D20F6A"/>
    <w:rsid w:val="00D21259"/>
    <w:rsid w:val="00D231F4"/>
    <w:rsid w:val="00D24615"/>
    <w:rsid w:val="00D24CAE"/>
    <w:rsid w:val="00D27DCF"/>
    <w:rsid w:val="00D3034F"/>
    <w:rsid w:val="00D32FFD"/>
    <w:rsid w:val="00D33014"/>
    <w:rsid w:val="00D37842"/>
    <w:rsid w:val="00D4053F"/>
    <w:rsid w:val="00D41D58"/>
    <w:rsid w:val="00D425C6"/>
    <w:rsid w:val="00D42DC2"/>
    <w:rsid w:val="00D4302B"/>
    <w:rsid w:val="00D47B74"/>
    <w:rsid w:val="00D537E1"/>
    <w:rsid w:val="00D54C88"/>
    <w:rsid w:val="00D55BB2"/>
    <w:rsid w:val="00D6091A"/>
    <w:rsid w:val="00D61E7E"/>
    <w:rsid w:val="00D636C9"/>
    <w:rsid w:val="00D6605A"/>
    <w:rsid w:val="00D6695F"/>
    <w:rsid w:val="00D72D1F"/>
    <w:rsid w:val="00D75644"/>
    <w:rsid w:val="00D7651A"/>
    <w:rsid w:val="00D76C3E"/>
    <w:rsid w:val="00D8074F"/>
    <w:rsid w:val="00D8086B"/>
    <w:rsid w:val="00D81656"/>
    <w:rsid w:val="00D81C65"/>
    <w:rsid w:val="00D8316A"/>
    <w:rsid w:val="00D83426"/>
    <w:rsid w:val="00D83D87"/>
    <w:rsid w:val="00D8401D"/>
    <w:rsid w:val="00D84A6D"/>
    <w:rsid w:val="00D853BB"/>
    <w:rsid w:val="00D86A30"/>
    <w:rsid w:val="00D9067E"/>
    <w:rsid w:val="00D91F65"/>
    <w:rsid w:val="00D92A81"/>
    <w:rsid w:val="00D97635"/>
    <w:rsid w:val="00D97CB4"/>
    <w:rsid w:val="00D97DD4"/>
    <w:rsid w:val="00DA0273"/>
    <w:rsid w:val="00DA1816"/>
    <w:rsid w:val="00DA408F"/>
    <w:rsid w:val="00DA41E6"/>
    <w:rsid w:val="00DA5A8A"/>
    <w:rsid w:val="00DA741D"/>
    <w:rsid w:val="00DB096B"/>
    <w:rsid w:val="00DB1170"/>
    <w:rsid w:val="00DB1FF0"/>
    <w:rsid w:val="00DB26CD"/>
    <w:rsid w:val="00DB441C"/>
    <w:rsid w:val="00DB44AF"/>
    <w:rsid w:val="00DB4BB1"/>
    <w:rsid w:val="00DB4F60"/>
    <w:rsid w:val="00DC1C7E"/>
    <w:rsid w:val="00DC1F58"/>
    <w:rsid w:val="00DC2405"/>
    <w:rsid w:val="00DC339B"/>
    <w:rsid w:val="00DC3C56"/>
    <w:rsid w:val="00DC4D7E"/>
    <w:rsid w:val="00DC5D40"/>
    <w:rsid w:val="00DC69A7"/>
    <w:rsid w:val="00DC69B6"/>
    <w:rsid w:val="00DC7C6B"/>
    <w:rsid w:val="00DD2FDF"/>
    <w:rsid w:val="00DD30E9"/>
    <w:rsid w:val="00DD3451"/>
    <w:rsid w:val="00DD3DE2"/>
    <w:rsid w:val="00DD4F47"/>
    <w:rsid w:val="00DD54B4"/>
    <w:rsid w:val="00DD7137"/>
    <w:rsid w:val="00DD7881"/>
    <w:rsid w:val="00DD7FBB"/>
    <w:rsid w:val="00DE0B9F"/>
    <w:rsid w:val="00DE24C0"/>
    <w:rsid w:val="00DE2A9E"/>
    <w:rsid w:val="00DE4238"/>
    <w:rsid w:val="00DE4E47"/>
    <w:rsid w:val="00DE5E5F"/>
    <w:rsid w:val="00DE657F"/>
    <w:rsid w:val="00DE7C86"/>
    <w:rsid w:val="00DE7D69"/>
    <w:rsid w:val="00DF0DCD"/>
    <w:rsid w:val="00DF0F4D"/>
    <w:rsid w:val="00DF1218"/>
    <w:rsid w:val="00DF2CCE"/>
    <w:rsid w:val="00DF3D89"/>
    <w:rsid w:val="00DF4FD6"/>
    <w:rsid w:val="00DF558D"/>
    <w:rsid w:val="00DF6462"/>
    <w:rsid w:val="00DF7829"/>
    <w:rsid w:val="00E000D7"/>
    <w:rsid w:val="00E02BF8"/>
    <w:rsid w:val="00E02FA0"/>
    <w:rsid w:val="00E030AE"/>
    <w:rsid w:val="00E036DC"/>
    <w:rsid w:val="00E06F55"/>
    <w:rsid w:val="00E075EB"/>
    <w:rsid w:val="00E10454"/>
    <w:rsid w:val="00E112E5"/>
    <w:rsid w:val="00E122C6"/>
    <w:rsid w:val="00E122D8"/>
    <w:rsid w:val="00E124C0"/>
    <w:rsid w:val="00E12CC8"/>
    <w:rsid w:val="00E15352"/>
    <w:rsid w:val="00E16EB3"/>
    <w:rsid w:val="00E21CC7"/>
    <w:rsid w:val="00E225BA"/>
    <w:rsid w:val="00E24132"/>
    <w:rsid w:val="00E24D9E"/>
    <w:rsid w:val="00E257FD"/>
    <w:rsid w:val="00E25849"/>
    <w:rsid w:val="00E25E26"/>
    <w:rsid w:val="00E25F2D"/>
    <w:rsid w:val="00E26DC0"/>
    <w:rsid w:val="00E30F15"/>
    <w:rsid w:val="00E30FB7"/>
    <w:rsid w:val="00E31386"/>
    <w:rsid w:val="00E3197E"/>
    <w:rsid w:val="00E3212D"/>
    <w:rsid w:val="00E342F8"/>
    <w:rsid w:val="00E351ED"/>
    <w:rsid w:val="00E44D17"/>
    <w:rsid w:val="00E461A1"/>
    <w:rsid w:val="00E4774F"/>
    <w:rsid w:val="00E52B0E"/>
    <w:rsid w:val="00E54294"/>
    <w:rsid w:val="00E55242"/>
    <w:rsid w:val="00E554A1"/>
    <w:rsid w:val="00E56A19"/>
    <w:rsid w:val="00E57207"/>
    <w:rsid w:val="00E6034B"/>
    <w:rsid w:val="00E6267C"/>
    <w:rsid w:val="00E62855"/>
    <w:rsid w:val="00E62CF2"/>
    <w:rsid w:val="00E63525"/>
    <w:rsid w:val="00E64984"/>
    <w:rsid w:val="00E64D13"/>
    <w:rsid w:val="00E6549E"/>
    <w:rsid w:val="00E65EDE"/>
    <w:rsid w:val="00E670BA"/>
    <w:rsid w:val="00E70F43"/>
    <w:rsid w:val="00E70F81"/>
    <w:rsid w:val="00E77055"/>
    <w:rsid w:val="00E77460"/>
    <w:rsid w:val="00E77C3C"/>
    <w:rsid w:val="00E83ABC"/>
    <w:rsid w:val="00E844F2"/>
    <w:rsid w:val="00E90AD0"/>
    <w:rsid w:val="00E92FCB"/>
    <w:rsid w:val="00E9545A"/>
    <w:rsid w:val="00EA01D3"/>
    <w:rsid w:val="00EA02DF"/>
    <w:rsid w:val="00EA0B10"/>
    <w:rsid w:val="00EA147F"/>
    <w:rsid w:val="00EA4A27"/>
    <w:rsid w:val="00EA4FA6"/>
    <w:rsid w:val="00EA62BF"/>
    <w:rsid w:val="00EB1A25"/>
    <w:rsid w:val="00EB4628"/>
    <w:rsid w:val="00EB53DA"/>
    <w:rsid w:val="00EB7009"/>
    <w:rsid w:val="00EC362B"/>
    <w:rsid w:val="00EC563A"/>
    <w:rsid w:val="00EC7363"/>
    <w:rsid w:val="00ED03AB"/>
    <w:rsid w:val="00ED1963"/>
    <w:rsid w:val="00ED1CD4"/>
    <w:rsid w:val="00ED1D2B"/>
    <w:rsid w:val="00ED2937"/>
    <w:rsid w:val="00ED4CC5"/>
    <w:rsid w:val="00ED64B5"/>
    <w:rsid w:val="00ED7477"/>
    <w:rsid w:val="00EE277A"/>
    <w:rsid w:val="00EE418F"/>
    <w:rsid w:val="00EE469A"/>
    <w:rsid w:val="00EE79A7"/>
    <w:rsid w:val="00EE7CCA"/>
    <w:rsid w:val="00EF12CF"/>
    <w:rsid w:val="00EF4274"/>
    <w:rsid w:val="00F008D8"/>
    <w:rsid w:val="00F07B22"/>
    <w:rsid w:val="00F13E1B"/>
    <w:rsid w:val="00F1442F"/>
    <w:rsid w:val="00F15181"/>
    <w:rsid w:val="00F15A2C"/>
    <w:rsid w:val="00F16A14"/>
    <w:rsid w:val="00F17548"/>
    <w:rsid w:val="00F20286"/>
    <w:rsid w:val="00F2124D"/>
    <w:rsid w:val="00F21ACF"/>
    <w:rsid w:val="00F220C2"/>
    <w:rsid w:val="00F23493"/>
    <w:rsid w:val="00F32ADC"/>
    <w:rsid w:val="00F34664"/>
    <w:rsid w:val="00F347A8"/>
    <w:rsid w:val="00F362D7"/>
    <w:rsid w:val="00F379A2"/>
    <w:rsid w:val="00F37D7B"/>
    <w:rsid w:val="00F4069D"/>
    <w:rsid w:val="00F426C0"/>
    <w:rsid w:val="00F4527F"/>
    <w:rsid w:val="00F45ECC"/>
    <w:rsid w:val="00F46505"/>
    <w:rsid w:val="00F521F1"/>
    <w:rsid w:val="00F530C6"/>
    <w:rsid w:val="00F5314C"/>
    <w:rsid w:val="00F5386B"/>
    <w:rsid w:val="00F54BE4"/>
    <w:rsid w:val="00F54C48"/>
    <w:rsid w:val="00F562C4"/>
    <w:rsid w:val="00F56759"/>
    <w:rsid w:val="00F5688C"/>
    <w:rsid w:val="00F60048"/>
    <w:rsid w:val="00F60D01"/>
    <w:rsid w:val="00F62073"/>
    <w:rsid w:val="00F62397"/>
    <w:rsid w:val="00F635DD"/>
    <w:rsid w:val="00F6409F"/>
    <w:rsid w:val="00F64511"/>
    <w:rsid w:val="00F64D8A"/>
    <w:rsid w:val="00F657EF"/>
    <w:rsid w:val="00F6581F"/>
    <w:rsid w:val="00F6627B"/>
    <w:rsid w:val="00F70E60"/>
    <w:rsid w:val="00F7336E"/>
    <w:rsid w:val="00F734F2"/>
    <w:rsid w:val="00F73AAB"/>
    <w:rsid w:val="00F73C7A"/>
    <w:rsid w:val="00F73CA9"/>
    <w:rsid w:val="00F73F9D"/>
    <w:rsid w:val="00F75052"/>
    <w:rsid w:val="00F76E63"/>
    <w:rsid w:val="00F804D3"/>
    <w:rsid w:val="00F80CE5"/>
    <w:rsid w:val="00F816CB"/>
    <w:rsid w:val="00F81BA6"/>
    <w:rsid w:val="00F81CD2"/>
    <w:rsid w:val="00F824CB"/>
    <w:rsid w:val="00F82641"/>
    <w:rsid w:val="00F83D3A"/>
    <w:rsid w:val="00F874A4"/>
    <w:rsid w:val="00F87D49"/>
    <w:rsid w:val="00F9016A"/>
    <w:rsid w:val="00F90F18"/>
    <w:rsid w:val="00F937E4"/>
    <w:rsid w:val="00F93AC1"/>
    <w:rsid w:val="00F95EE7"/>
    <w:rsid w:val="00F964F7"/>
    <w:rsid w:val="00F96959"/>
    <w:rsid w:val="00FA0228"/>
    <w:rsid w:val="00FA118E"/>
    <w:rsid w:val="00FA20E6"/>
    <w:rsid w:val="00FA2643"/>
    <w:rsid w:val="00FA39E6"/>
    <w:rsid w:val="00FA6732"/>
    <w:rsid w:val="00FA7BC9"/>
    <w:rsid w:val="00FB1DEC"/>
    <w:rsid w:val="00FB2733"/>
    <w:rsid w:val="00FB378E"/>
    <w:rsid w:val="00FB37F1"/>
    <w:rsid w:val="00FB47C0"/>
    <w:rsid w:val="00FB49E6"/>
    <w:rsid w:val="00FB501B"/>
    <w:rsid w:val="00FB61F9"/>
    <w:rsid w:val="00FB756D"/>
    <w:rsid w:val="00FB7770"/>
    <w:rsid w:val="00FB7A4B"/>
    <w:rsid w:val="00FB7F03"/>
    <w:rsid w:val="00FC3D65"/>
    <w:rsid w:val="00FC7498"/>
    <w:rsid w:val="00FD068E"/>
    <w:rsid w:val="00FD0AA1"/>
    <w:rsid w:val="00FD308B"/>
    <w:rsid w:val="00FD38B5"/>
    <w:rsid w:val="00FD3B91"/>
    <w:rsid w:val="00FD4C81"/>
    <w:rsid w:val="00FD4E39"/>
    <w:rsid w:val="00FD576B"/>
    <w:rsid w:val="00FD579E"/>
    <w:rsid w:val="00FD6845"/>
    <w:rsid w:val="00FE0B5A"/>
    <w:rsid w:val="00FE1474"/>
    <w:rsid w:val="00FE1855"/>
    <w:rsid w:val="00FE1E46"/>
    <w:rsid w:val="00FE3DDE"/>
    <w:rsid w:val="00FE3FDE"/>
    <w:rsid w:val="00FE4516"/>
    <w:rsid w:val="00FE45C6"/>
    <w:rsid w:val="00FE5DCA"/>
    <w:rsid w:val="00FE64C8"/>
    <w:rsid w:val="00FF0BCB"/>
    <w:rsid w:val="00FF33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F4135"/>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5F4135"/>
    <w:pPr>
      <w:numPr>
        <w:numId w:val="12"/>
      </w:numPr>
      <w:outlineLvl w:val="0"/>
    </w:pPr>
    <w:rPr>
      <w:rFonts w:hAnsi="Arial"/>
      <w:bCs/>
      <w:kern w:val="32"/>
      <w:szCs w:val="52"/>
    </w:rPr>
  </w:style>
  <w:style w:type="paragraph" w:styleId="2">
    <w:name w:val="heading 2"/>
    <w:aliases w:val="標題110/111,節,節1"/>
    <w:basedOn w:val="a6"/>
    <w:link w:val="20"/>
    <w:qFormat/>
    <w:rsid w:val="005F4135"/>
    <w:pPr>
      <w:numPr>
        <w:ilvl w:val="1"/>
        <w:numId w:val="12"/>
      </w:numPr>
      <w:outlineLvl w:val="1"/>
    </w:pPr>
    <w:rPr>
      <w:rFonts w:hAnsi="Arial"/>
      <w:bCs/>
      <w:kern w:val="32"/>
      <w:szCs w:val="48"/>
    </w:rPr>
  </w:style>
  <w:style w:type="paragraph" w:styleId="3">
    <w:name w:val="heading 3"/>
    <w:aliases w:val="(一)"/>
    <w:basedOn w:val="a6"/>
    <w:link w:val="30"/>
    <w:qFormat/>
    <w:rsid w:val="005F4135"/>
    <w:pPr>
      <w:numPr>
        <w:ilvl w:val="2"/>
        <w:numId w:val="12"/>
      </w:numPr>
      <w:outlineLvl w:val="2"/>
    </w:pPr>
    <w:rPr>
      <w:rFonts w:hAnsi="Arial"/>
      <w:bCs/>
      <w:kern w:val="32"/>
      <w:szCs w:val="36"/>
    </w:rPr>
  </w:style>
  <w:style w:type="paragraph" w:styleId="4">
    <w:name w:val="heading 4"/>
    <w:aliases w:val="表格"/>
    <w:basedOn w:val="a6"/>
    <w:link w:val="40"/>
    <w:qFormat/>
    <w:rsid w:val="005F4135"/>
    <w:pPr>
      <w:numPr>
        <w:ilvl w:val="3"/>
        <w:numId w:val="12"/>
      </w:numPr>
      <w:outlineLvl w:val="3"/>
    </w:pPr>
    <w:rPr>
      <w:rFonts w:hAnsi="Arial"/>
      <w:kern w:val="32"/>
      <w:szCs w:val="36"/>
    </w:rPr>
  </w:style>
  <w:style w:type="paragraph" w:styleId="5">
    <w:name w:val="heading 5"/>
    <w:basedOn w:val="a6"/>
    <w:link w:val="50"/>
    <w:qFormat/>
    <w:rsid w:val="005F4135"/>
    <w:pPr>
      <w:numPr>
        <w:ilvl w:val="4"/>
        <w:numId w:val="12"/>
      </w:numPr>
      <w:outlineLvl w:val="4"/>
    </w:pPr>
    <w:rPr>
      <w:rFonts w:hAnsi="Arial"/>
      <w:bCs/>
      <w:kern w:val="32"/>
      <w:szCs w:val="36"/>
    </w:rPr>
  </w:style>
  <w:style w:type="paragraph" w:styleId="6">
    <w:name w:val="heading 6"/>
    <w:basedOn w:val="a6"/>
    <w:link w:val="60"/>
    <w:qFormat/>
    <w:rsid w:val="005F4135"/>
    <w:pPr>
      <w:numPr>
        <w:ilvl w:val="5"/>
        <w:numId w:val="12"/>
      </w:numPr>
      <w:tabs>
        <w:tab w:val="left" w:pos="2094"/>
      </w:tabs>
      <w:outlineLvl w:val="5"/>
    </w:pPr>
    <w:rPr>
      <w:rFonts w:hAnsi="Arial"/>
      <w:kern w:val="32"/>
      <w:szCs w:val="36"/>
    </w:rPr>
  </w:style>
  <w:style w:type="paragraph" w:styleId="7">
    <w:name w:val="heading 7"/>
    <w:aliases w:val="(1)"/>
    <w:basedOn w:val="a6"/>
    <w:link w:val="70"/>
    <w:qFormat/>
    <w:rsid w:val="005F4135"/>
    <w:pPr>
      <w:numPr>
        <w:ilvl w:val="6"/>
        <w:numId w:val="12"/>
      </w:numPr>
      <w:outlineLvl w:val="6"/>
    </w:pPr>
    <w:rPr>
      <w:rFonts w:hAnsi="Arial"/>
      <w:bCs/>
      <w:kern w:val="32"/>
      <w:szCs w:val="36"/>
    </w:rPr>
  </w:style>
  <w:style w:type="paragraph" w:styleId="8">
    <w:name w:val="heading 8"/>
    <w:basedOn w:val="a6"/>
    <w:link w:val="80"/>
    <w:qFormat/>
    <w:rsid w:val="005F4135"/>
    <w:pPr>
      <w:numPr>
        <w:ilvl w:val="7"/>
        <w:numId w:val="12"/>
      </w:numPr>
      <w:outlineLvl w:val="7"/>
    </w:pPr>
    <w:rPr>
      <w:rFonts w:hAnsi="Arial"/>
      <w:kern w:val="32"/>
      <w:szCs w:val="36"/>
    </w:rPr>
  </w:style>
  <w:style w:type="paragraph" w:styleId="9">
    <w:name w:val="heading 9"/>
    <w:basedOn w:val="a6"/>
    <w:link w:val="90"/>
    <w:uiPriority w:val="9"/>
    <w:unhideWhenUsed/>
    <w:qFormat/>
    <w:rsid w:val="005F4135"/>
    <w:pPr>
      <w:numPr>
        <w:ilvl w:val="8"/>
        <w:numId w:val="12"/>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5F4135"/>
    <w:pPr>
      <w:spacing w:before="720" w:after="720"/>
      <w:ind w:left="7371"/>
    </w:pPr>
    <w:rPr>
      <w:b/>
      <w:snapToGrid w:val="0"/>
      <w:spacing w:val="10"/>
      <w:sz w:val="36"/>
    </w:rPr>
  </w:style>
  <w:style w:type="paragraph" w:styleId="ac">
    <w:name w:val="endnote text"/>
    <w:basedOn w:val="a6"/>
    <w:link w:val="ad"/>
    <w:semiHidden/>
    <w:rsid w:val="005F4135"/>
    <w:pPr>
      <w:kinsoku w:val="0"/>
      <w:autoSpaceDE/>
      <w:spacing w:before="240"/>
      <w:ind w:left="1021" w:hanging="1021"/>
    </w:pPr>
    <w:rPr>
      <w:snapToGrid w:val="0"/>
      <w:spacing w:val="10"/>
    </w:rPr>
  </w:style>
  <w:style w:type="paragraph" w:styleId="51">
    <w:name w:val="toc 5"/>
    <w:basedOn w:val="a6"/>
    <w:next w:val="a6"/>
    <w:autoRedefine/>
    <w:semiHidden/>
    <w:rsid w:val="005F4135"/>
    <w:pPr>
      <w:ind w:leftChars="400" w:left="600" w:rightChars="200" w:right="200" w:hangingChars="200" w:hanging="200"/>
    </w:pPr>
  </w:style>
  <w:style w:type="character" w:styleId="ae">
    <w:name w:val="page number"/>
    <w:basedOn w:val="a7"/>
    <w:semiHidden/>
    <w:rsid w:val="005F4135"/>
    <w:rPr>
      <w:rFonts w:ascii="標楷體" w:eastAsia="標楷體"/>
      <w:sz w:val="20"/>
    </w:rPr>
  </w:style>
  <w:style w:type="paragraph" w:styleId="61">
    <w:name w:val="toc 6"/>
    <w:basedOn w:val="a6"/>
    <w:next w:val="a6"/>
    <w:autoRedefine/>
    <w:semiHidden/>
    <w:rsid w:val="005F4135"/>
    <w:pPr>
      <w:ind w:leftChars="500" w:left="500"/>
    </w:pPr>
  </w:style>
  <w:style w:type="paragraph" w:customStyle="1" w:styleId="11">
    <w:name w:val="段落樣式1"/>
    <w:basedOn w:val="a6"/>
    <w:qFormat/>
    <w:rsid w:val="005F4135"/>
    <w:pPr>
      <w:tabs>
        <w:tab w:val="left" w:pos="567"/>
      </w:tabs>
      <w:ind w:leftChars="200" w:left="200" w:firstLineChars="200" w:firstLine="200"/>
    </w:pPr>
    <w:rPr>
      <w:kern w:val="32"/>
    </w:rPr>
  </w:style>
  <w:style w:type="paragraph" w:customStyle="1" w:styleId="21">
    <w:name w:val="段落樣式2"/>
    <w:basedOn w:val="a6"/>
    <w:qFormat/>
    <w:rsid w:val="005F4135"/>
    <w:pPr>
      <w:tabs>
        <w:tab w:val="left" w:pos="567"/>
      </w:tabs>
      <w:ind w:leftChars="300" w:left="300" w:firstLineChars="200" w:firstLine="200"/>
    </w:pPr>
    <w:rPr>
      <w:kern w:val="32"/>
    </w:rPr>
  </w:style>
  <w:style w:type="paragraph" w:styleId="12">
    <w:name w:val="toc 1"/>
    <w:basedOn w:val="a6"/>
    <w:next w:val="a6"/>
    <w:autoRedefine/>
    <w:uiPriority w:val="39"/>
    <w:rsid w:val="005F4135"/>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5F4135"/>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5F4135"/>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5F4135"/>
    <w:pPr>
      <w:kinsoku w:val="0"/>
      <w:ind w:leftChars="300" w:left="500" w:rightChars="200" w:right="200" w:hangingChars="200" w:hanging="200"/>
    </w:pPr>
  </w:style>
  <w:style w:type="paragraph" w:styleId="71">
    <w:name w:val="toc 7"/>
    <w:basedOn w:val="a6"/>
    <w:next w:val="a6"/>
    <w:autoRedefine/>
    <w:semiHidden/>
    <w:rsid w:val="005F4135"/>
    <w:pPr>
      <w:ind w:leftChars="600" w:left="800" w:hangingChars="200" w:hanging="200"/>
    </w:pPr>
  </w:style>
  <w:style w:type="paragraph" w:styleId="81">
    <w:name w:val="toc 8"/>
    <w:basedOn w:val="a6"/>
    <w:next w:val="a6"/>
    <w:autoRedefine/>
    <w:semiHidden/>
    <w:rsid w:val="005F4135"/>
    <w:pPr>
      <w:ind w:leftChars="700" w:left="900" w:hangingChars="200" w:hanging="200"/>
    </w:pPr>
  </w:style>
  <w:style w:type="paragraph" w:styleId="91">
    <w:name w:val="toc 9"/>
    <w:basedOn w:val="a6"/>
    <w:next w:val="a6"/>
    <w:autoRedefine/>
    <w:semiHidden/>
    <w:rsid w:val="005F4135"/>
    <w:pPr>
      <w:ind w:leftChars="1600" w:left="3840"/>
    </w:pPr>
  </w:style>
  <w:style w:type="paragraph" w:styleId="af">
    <w:name w:val="header"/>
    <w:basedOn w:val="a6"/>
    <w:link w:val="af0"/>
    <w:semiHidden/>
    <w:rsid w:val="005F4135"/>
    <w:pPr>
      <w:tabs>
        <w:tab w:val="center" w:pos="4153"/>
        <w:tab w:val="right" w:pos="8306"/>
      </w:tabs>
      <w:snapToGrid w:val="0"/>
    </w:pPr>
    <w:rPr>
      <w:sz w:val="20"/>
    </w:rPr>
  </w:style>
  <w:style w:type="paragraph" w:customStyle="1" w:styleId="32">
    <w:name w:val="段落樣式3"/>
    <w:basedOn w:val="21"/>
    <w:qFormat/>
    <w:rsid w:val="005F4135"/>
    <w:pPr>
      <w:ind w:leftChars="400" w:left="400"/>
    </w:pPr>
  </w:style>
  <w:style w:type="character" w:styleId="af1">
    <w:name w:val="Hyperlink"/>
    <w:basedOn w:val="a7"/>
    <w:uiPriority w:val="99"/>
    <w:rsid w:val="005F4135"/>
    <w:rPr>
      <w:color w:val="0000FF"/>
      <w:u w:val="single"/>
    </w:rPr>
  </w:style>
  <w:style w:type="paragraph" w:customStyle="1" w:styleId="af2">
    <w:name w:val="簽名日期"/>
    <w:basedOn w:val="a6"/>
    <w:rsid w:val="005F4135"/>
    <w:pPr>
      <w:kinsoku w:val="0"/>
      <w:jc w:val="distribute"/>
    </w:pPr>
    <w:rPr>
      <w:kern w:val="0"/>
    </w:rPr>
  </w:style>
  <w:style w:type="paragraph" w:customStyle="1" w:styleId="0">
    <w:name w:val="段落樣式0"/>
    <w:basedOn w:val="21"/>
    <w:qFormat/>
    <w:rsid w:val="005F4135"/>
    <w:pPr>
      <w:ind w:leftChars="200" w:left="200" w:firstLineChars="0" w:firstLine="0"/>
    </w:pPr>
  </w:style>
  <w:style w:type="paragraph" w:customStyle="1" w:styleId="af3">
    <w:name w:val="附件"/>
    <w:basedOn w:val="ac"/>
    <w:rsid w:val="005F4135"/>
    <w:pPr>
      <w:spacing w:before="0"/>
      <w:ind w:left="1047" w:hangingChars="300" w:hanging="1047"/>
    </w:pPr>
    <w:rPr>
      <w:snapToGrid/>
      <w:spacing w:val="0"/>
      <w:kern w:val="0"/>
    </w:rPr>
  </w:style>
  <w:style w:type="paragraph" w:customStyle="1" w:styleId="42">
    <w:name w:val="段落樣式4"/>
    <w:basedOn w:val="32"/>
    <w:qFormat/>
    <w:rsid w:val="005F4135"/>
    <w:pPr>
      <w:ind w:leftChars="500" w:left="500"/>
    </w:pPr>
  </w:style>
  <w:style w:type="paragraph" w:customStyle="1" w:styleId="52">
    <w:name w:val="段落樣式5"/>
    <w:basedOn w:val="42"/>
    <w:qFormat/>
    <w:rsid w:val="005F4135"/>
    <w:pPr>
      <w:ind w:leftChars="600" w:left="600"/>
    </w:pPr>
  </w:style>
  <w:style w:type="paragraph" w:customStyle="1" w:styleId="62">
    <w:name w:val="段落樣式6"/>
    <w:basedOn w:val="52"/>
    <w:qFormat/>
    <w:rsid w:val="005F4135"/>
    <w:pPr>
      <w:ind w:leftChars="700" w:left="700"/>
    </w:pPr>
  </w:style>
  <w:style w:type="paragraph" w:customStyle="1" w:styleId="72">
    <w:name w:val="段落樣式7"/>
    <w:basedOn w:val="62"/>
    <w:qFormat/>
    <w:rsid w:val="005F4135"/>
    <w:pPr>
      <w:ind w:leftChars="800" w:left="800"/>
    </w:pPr>
  </w:style>
  <w:style w:type="paragraph" w:customStyle="1" w:styleId="82">
    <w:name w:val="段落樣式8"/>
    <w:basedOn w:val="72"/>
    <w:qFormat/>
    <w:rsid w:val="005F4135"/>
    <w:pPr>
      <w:ind w:leftChars="900" w:left="900"/>
    </w:pPr>
  </w:style>
  <w:style w:type="paragraph" w:customStyle="1" w:styleId="a0">
    <w:name w:val="附表樣式"/>
    <w:basedOn w:val="a6"/>
    <w:qFormat/>
    <w:rsid w:val="005F4135"/>
    <w:pPr>
      <w:keepNext/>
      <w:numPr>
        <w:numId w:val="7"/>
      </w:numPr>
      <w:tabs>
        <w:tab w:val="clear" w:pos="1440"/>
      </w:tabs>
      <w:ind w:hangingChars="400" w:hanging="400"/>
      <w:outlineLvl w:val="0"/>
    </w:pPr>
    <w:rPr>
      <w:kern w:val="32"/>
    </w:rPr>
  </w:style>
  <w:style w:type="paragraph" w:styleId="af4">
    <w:name w:val="Body Text Indent"/>
    <w:basedOn w:val="a6"/>
    <w:link w:val="af5"/>
    <w:semiHidden/>
    <w:rsid w:val="005F4135"/>
    <w:pPr>
      <w:ind w:left="698" w:hangingChars="200" w:hanging="698"/>
    </w:pPr>
  </w:style>
  <w:style w:type="paragraph" w:customStyle="1" w:styleId="af6">
    <w:name w:val="調查報告"/>
    <w:basedOn w:val="ac"/>
    <w:rsid w:val="005F4135"/>
    <w:pPr>
      <w:adjustRightInd w:val="0"/>
      <w:spacing w:before="0"/>
      <w:ind w:left="0" w:firstLine="0"/>
      <w:jc w:val="center"/>
    </w:pPr>
    <w:rPr>
      <w:b/>
      <w:snapToGrid/>
      <w:spacing w:val="200"/>
      <w:kern w:val="0"/>
      <w:sz w:val="40"/>
    </w:rPr>
  </w:style>
  <w:style w:type="paragraph" w:customStyle="1" w:styleId="14">
    <w:name w:val="表格14"/>
    <w:basedOn w:val="a6"/>
    <w:rsid w:val="005F4135"/>
    <w:pPr>
      <w:adjustRightInd w:val="0"/>
      <w:snapToGrid w:val="0"/>
      <w:spacing w:line="360" w:lineRule="exact"/>
    </w:pPr>
    <w:rPr>
      <w:snapToGrid w:val="0"/>
      <w:spacing w:val="-14"/>
      <w:kern w:val="0"/>
      <w:sz w:val="28"/>
    </w:rPr>
  </w:style>
  <w:style w:type="paragraph" w:customStyle="1" w:styleId="a">
    <w:name w:val="附圖樣式"/>
    <w:basedOn w:val="a6"/>
    <w:qFormat/>
    <w:rsid w:val="005F4135"/>
    <w:pPr>
      <w:keepNext/>
      <w:numPr>
        <w:numId w:val="8"/>
      </w:numPr>
      <w:tabs>
        <w:tab w:val="clear" w:pos="1440"/>
      </w:tabs>
      <w:ind w:hangingChars="400" w:hanging="400"/>
      <w:outlineLvl w:val="0"/>
    </w:pPr>
    <w:rPr>
      <w:kern w:val="32"/>
    </w:rPr>
  </w:style>
  <w:style w:type="paragraph" w:styleId="af7">
    <w:name w:val="footer"/>
    <w:basedOn w:val="a6"/>
    <w:link w:val="af8"/>
    <w:semiHidden/>
    <w:rsid w:val="005F4135"/>
    <w:pPr>
      <w:tabs>
        <w:tab w:val="center" w:pos="4153"/>
        <w:tab w:val="right" w:pos="8306"/>
      </w:tabs>
      <w:snapToGrid w:val="0"/>
    </w:pPr>
    <w:rPr>
      <w:sz w:val="20"/>
    </w:rPr>
  </w:style>
  <w:style w:type="paragraph" w:styleId="af9">
    <w:name w:val="table of figures"/>
    <w:basedOn w:val="a6"/>
    <w:next w:val="a6"/>
    <w:semiHidden/>
    <w:rsid w:val="005F4135"/>
    <w:pPr>
      <w:ind w:left="400" w:hangingChars="400" w:hanging="400"/>
    </w:pPr>
  </w:style>
  <w:style w:type="paragraph" w:customStyle="1" w:styleId="140">
    <w:name w:val="表格標題14"/>
    <w:basedOn w:val="a6"/>
    <w:rsid w:val="005F4135"/>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5F4135"/>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5F4135"/>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5F4135"/>
    <w:pPr>
      <w:numPr>
        <w:numId w:val="11"/>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5F4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5F4135"/>
    <w:pPr>
      <w:spacing w:line="240" w:lineRule="exact"/>
    </w:pPr>
    <w:rPr>
      <w:sz w:val="24"/>
      <w:szCs w:val="24"/>
    </w:rPr>
  </w:style>
  <w:style w:type="paragraph" w:customStyle="1" w:styleId="121">
    <w:name w:val="表格12"/>
    <w:basedOn w:val="14"/>
    <w:rsid w:val="005F4135"/>
    <w:pPr>
      <w:spacing w:line="300" w:lineRule="exact"/>
    </w:pPr>
    <w:rPr>
      <w:sz w:val="24"/>
      <w:szCs w:val="24"/>
    </w:rPr>
  </w:style>
  <w:style w:type="paragraph" w:customStyle="1" w:styleId="a4">
    <w:name w:val="附錄"/>
    <w:basedOn w:val="a6"/>
    <w:qFormat/>
    <w:rsid w:val="005F4135"/>
    <w:pPr>
      <w:keepNext/>
      <w:numPr>
        <w:numId w:val="9"/>
      </w:numPr>
      <w:ind w:hangingChars="350" w:hanging="350"/>
      <w:outlineLvl w:val="0"/>
    </w:pPr>
    <w:rPr>
      <w:kern w:val="32"/>
    </w:rPr>
  </w:style>
  <w:style w:type="paragraph" w:styleId="afc">
    <w:name w:val="List Paragraph"/>
    <w:aliases w:val="卑南壹,List Paragraph"/>
    <w:basedOn w:val="a6"/>
    <w:link w:val="afd"/>
    <w:uiPriority w:val="34"/>
    <w:qFormat/>
    <w:rsid w:val="005F4135"/>
    <w:pPr>
      <w:ind w:leftChars="200" w:left="480"/>
    </w:pPr>
  </w:style>
  <w:style w:type="paragraph" w:styleId="afe">
    <w:name w:val="Balloon Text"/>
    <w:basedOn w:val="a6"/>
    <w:link w:val="aff"/>
    <w:uiPriority w:val="99"/>
    <w:semiHidden/>
    <w:unhideWhenUsed/>
    <w:rsid w:val="005F4135"/>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5F4135"/>
    <w:rPr>
      <w:rFonts w:asciiTheme="majorHAnsi" w:eastAsiaTheme="majorEastAsia" w:hAnsiTheme="majorHAnsi" w:cstheme="majorBidi"/>
      <w:kern w:val="2"/>
      <w:sz w:val="18"/>
      <w:szCs w:val="18"/>
    </w:rPr>
  </w:style>
  <w:style w:type="paragraph" w:customStyle="1" w:styleId="a5">
    <w:name w:val="照片標題"/>
    <w:qFormat/>
    <w:rsid w:val="005F4135"/>
    <w:pPr>
      <w:numPr>
        <w:numId w:val="10"/>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5F4135"/>
    <w:pPr>
      <w:keepNext/>
      <w:numPr>
        <w:numId w:val="6"/>
      </w:numPr>
      <w:ind w:hangingChars="400" w:hanging="400"/>
      <w:outlineLvl w:val="0"/>
    </w:pPr>
    <w:rPr>
      <w:kern w:val="32"/>
    </w:rPr>
  </w:style>
  <w:style w:type="character" w:customStyle="1" w:styleId="90">
    <w:name w:val="標題 9 字元"/>
    <w:basedOn w:val="a7"/>
    <w:link w:val="9"/>
    <w:uiPriority w:val="9"/>
    <w:rsid w:val="005F4135"/>
    <w:rPr>
      <w:rFonts w:ascii="標楷體" w:eastAsia="標楷體" w:hAnsiTheme="majorHAnsi" w:cstheme="majorBidi"/>
      <w:kern w:val="32"/>
      <w:sz w:val="32"/>
      <w:szCs w:val="36"/>
    </w:rPr>
  </w:style>
  <w:style w:type="paragraph" w:customStyle="1" w:styleId="92">
    <w:name w:val="段落樣式9"/>
    <w:basedOn w:val="82"/>
    <w:qFormat/>
    <w:rsid w:val="005F4135"/>
    <w:pPr>
      <w:ind w:leftChars="1000" w:left="1000"/>
    </w:pPr>
  </w:style>
  <w:style w:type="paragraph" w:styleId="aff0">
    <w:name w:val="Plain Text"/>
    <w:basedOn w:val="a6"/>
    <w:link w:val="aff1"/>
    <w:uiPriority w:val="99"/>
    <w:semiHidden/>
    <w:unhideWhenUsed/>
    <w:rsid w:val="005F4135"/>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5F4135"/>
    <w:rPr>
      <w:rFonts w:ascii="Calibri" w:eastAsia="標楷體" w:hAnsi="Courier New" w:cs="Courier New"/>
      <w:color w:val="244061" w:themeColor="accent1" w:themeShade="80"/>
      <w:sz w:val="28"/>
      <w:szCs w:val="24"/>
    </w:rPr>
  </w:style>
  <w:style w:type="paragraph" w:styleId="aff2">
    <w:name w:val="footnote text"/>
    <w:basedOn w:val="a6"/>
    <w:link w:val="aff3"/>
    <w:uiPriority w:val="99"/>
    <w:unhideWhenUsed/>
    <w:rsid w:val="00F81BA6"/>
    <w:pPr>
      <w:snapToGrid w:val="0"/>
      <w:jc w:val="left"/>
    </w:pPr>
    <w:rPr>
      <w:sz w:val="20"/>
    </w:rPr>
  </w:style>
  <w:style w:type="character" w:customStyle="1" w:styleId="aff3">
    <w:name w:val="註腳文字 字元"/>
    <w:basedOn w:val="a7"/>
    <w:link w:val="aff2"/>
    <w:uiPriority w:val="99"/>
    <w:rsid w:val="00F81BA6"/>
    <w:rPr>
      <w:rFonts w:ascii="標楷體" w:eastAsia="標楷體"/>
      <w:kern w:val="2"/>
    </w:rPr>
  </w:style>
  <w:style w:type="character" w:styleId="aff4">
    <w:name w:val="footnote reference"/>
    <w:basedOn w:val="a7"/>
    <w:uiPriority w:val="99"/>
    <w:semiHidden/>
    <w:unhideWhenUsed/>
    <w:rsid w:val="00F81BA6"/>
    <w:rPr>
      <w:vertAlign w:val="superscript"/>
    </w:rPr>
  </w:style>
  <w:style w:type="paragraph" w:customStyle="1" w:styleId="Default">
    <w:name w:val="Default"/>
    <w:rsid w:val="00F56759"/>
    <w:pPr>
      <w:widowControl w:val="0"/>
      <w:autoSpaceDE w:val="0"/>
      <w:autoSpaceDN w:val="0"/>
      <w:adjustRightInd w:val="0"/>
    </w:pPr>
    <w:rPr>
      <w:rFonts w:ascii="標楷體" w:hAnsi="標楷體" w:cs="標楷體"/>
      <w:color w:val="000000"/>
      <w:sz w:val="24"/>
      <w:szCs w:val="24"/>
    </w:rPr>
  </w:style>
  <w:style w:type="character" w:styleId="aff5">
    <w:name w:val="annotation reference"/>
    <w:basedOn w:val="a7"/>
    <w:uiPriority w:val="99"/>
    <w:semiHidden/>
    <w:unhideWhenUsed/>
    <w:rsid w:val="00EB4628"/>
    <w:rPr>
      <w:sz w:val="18"/>
      <w:szCs w:val="18"/>
    </w:rPr>
  </w:style>
  <w:style w:type="paragraph" w:styleId="aff6">
    <w:name w:val="annotation text"/>
    <w:basedOn w:val="a6"/>
    <w:link w:val="aff7"/>
    <w:uiPriority w:val="99"/>
    <w:semiHidden/>
    <w:unhideWhenUsed/>
    <w:rsid w:val="00EB4628"/>
    <w:pPr>
      <w:jc w:val="left"/>
    </w:pPr>
  </w:style>
  <w:style w:type="character" w:customStyle="1" w:styleId="aff7">
    <w:name w:val="註解文字 字元"/>
    <w:basedOn w:val="a7"/>
    <w:link w:val="aff6"/>
    <w:uiPriority w:val="99"/>
    <w:semiHidden/>
    <w:rsid w:val="00EB4628"/>
    <w:rPr>
      <w:rFonts w:ascii="標楷體" w:eastAsia="標楷體"/>
      <w:kern w:val="2"/>
      <w:sz w:val="32"/>
    </w:rPr>
  </w:style>
  <w:style w:type="paragraph" w:styleId="aff8">
    <w:name w:val="annotation subject"/>
    <w:basedOn w:val="aff6"/>
    <w:next w:val="aff6"/>
    <w:link w:val="aff9"/>
    <w:uiPriority w:val="99"/>
    <w:semiHidden/>
    <w:unhideWhenUsed/>
    <w:rsid w:val="00EB4628"/>
    <w:rPr>
      <w:b/>
      <w:bCs/>
    </w:rPr>
  </w:style>
  <w:style w:type="character" w:customStyle="1" w:styleId="aff9">
    <w:name w:val="註解主旨 字元"/>
    <w:basedOn w:val="aff7"/>
    <w:link w:val="aff8"/>
    <w:uiPriority w:val="99"/>
    <w:semiHidden/>
    <w:rsid w:val="00EB4628"/>
    <w:rPr>
      <w:rFonts w:ascii="標楷體" w:eastAsia="標楷體"/>
      <w:b/>
      <w:bCs/>
      <w:kern w:val="2"/>
      <w:sz w:val="32"/>
    </w:rPr>
  </w:style>
  <w:style w:type="character" w:customStyle="1" w:styleId="10">
    <w:name w:val="標題 1 字元"/>
    <w:aliases w:val="壹 字元"/>
    <w:basedOn w:val="a7"/>
    <w:link w:val="1"/>
    <w:rsid w:val="005F4135"/>
    <w:rPr>
      <w:rFonts w:ascii="標楷體" w:eastAsia="標楷體" w:hAnsi="Arial"/>
      <w:bCs/>
      <w:kern w:val="32"/>
      <w:sz w:val="32"/>
      <w:szCs w:val="52"/>
    </w:rPr>
  </w:style>
  <w:style w:type="character" w:customStyle="1" w:styleId="20">
    <w:name w:val="標題 2 字元"/>
    <w:aliases w:val="標題110/111 字元,節 字元,節1 字元"/>
    <w:basedOn w:val="a7"/>
    <w:link w:val="2"/>
    <w:rsid w:val="005F4135"/>
    <w:rPr>
      <w:rFonts w:ascii="標楷體" w:eastAsia="標楷體" w:hAnsi="Arial"/>
      <w:bCs/>
      <w:kern w:val="32"/>
      <w:sz w:val="32"/>
      <w:szCs w:val="48"/>
    </w:rPr>
  </w:style>
  <w:style w:type="character" w:customStyle="1" w:styleId="ab">
    <w:name w:val="簽名 字元"/>
    <w:basedOn w:val="a7"/>
    <w:link w:val="aa"/>
    <w:semiHidden/>
    <w:rsid w:val="005F4135"/>
    <w:rPr>
      <w:rFonts w:ascii="標楷體" w:eastAsia="標楷體"/>
      <w:b/>
      <w:snapToGrid w:val="0"/>
      <w:spacing w:val="10"/>
      <w:kern w:val="2"/>
      <w:sz w:val="36"/>
    </w:rPr>
  </w:style>
  <w:style w:type="character" w:customStyle="1" w:styleId="30">
    <w:name w:val="標題 3 字元"/>
    <w:aliases w:val="(一) 字元"/>
    <w:basedOn w:val="a7"/>
    <w:link w:val="3"/>
    <w:rsid w:val="005F4135"/>
    <w:rPr>
      <w:rFonts w:ascii="標楷體" w:eastAsia="標楷體" w:hAnsi="Arial"/>
      <w:bCs/>
      <w:kern w:val="32"/>
      <w:sz w:val="32"/>
      <w:szCs w:val="36"/>
    </w:rPr>
  </w:style>
  <w:style w:type="character" w:customStyle="1" w:styleId="40">
    <w:name w:val="標題 4 字元"/>
    <w:aliases w:val="表格 字元"/>
    <w:basedOn w:val="a7"/>
    <w:link w:val="4"/>
    <w:rsid w:val="005F4135"/>
    <w:rPr>
      <w:rFonts w:ascii="標楷體" w:eastAsia="標楷體" w:hAnsi="Arial"/>
      <w:kern w:val="32"/>
      <w:sz w:val="32"/>
      <w:szCs w:val="36"/>
    </w:rPr>
  </w:style>
  <w:style w:type="character" w:customStyle="1" w:styleId="a081">
    <w:name w:val="a081"/>
    <w:basedOn w:val="a7"/>
    <w:rsid w:val="00E64984"/>
    <w:rPr>
      <w:color w:val="333333"/>
      <w:sz w:val="20"/>
      <w:szCs w:val="20"/>
    </w:rPr>
  </w:style>
  <w:style w:type="character" w:customStyle="1" w:styleId="50">
    <w:name w:val="標題 5 字元"/>
    <w:basedOn w:val="a7"/>
    <w:link w:val="5"/>
    <w:rsid w:val="005F4135"/>
    <w:rPr>
      <w:rFonts w:ascii="標楷體" w:eastAsia="標楷體" w:hAnsi="Arial"/>
      <w:bCs/>
      <w:kern w:val="32"/>
      <w:sz w:val="32"/>
      <w:szCs w:val="36"/>
    </w:rPr>
  </w:style>
  <w:style w:type="character" w:customStyle="1" w:styleId="60">
    <w:name w:val="標題 6 字元"/>
    <w:basedOn w:val="a7"/>
    <w:link w:val="6"/>
    <w:rsid w:val="005F4135"/>
    <w:rPr>
      <w:rFonts w:ascii="標楷體" w:eastAsia="標楷體" w:hAnsi="Arial"/>
      <w:kern w:val="32"/>
      <w:sz w:val="32"/>
      <w:szCs w:val="36"/>
    </w:rPr>
  </w:style>
  <w:style w:type="paragraph" w:styleId="HTML">
    <w:name w:val="HTML Preformatted"/>
    <w:basedOn w:val="a6"/>
    <w:link w:val="HTML0"/>
    <w:uiPriority w:val="99"/>
    <w:unhideWhenUsed/>
    <w:rsid w:val="006D77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D779E"/>
    <w:rPr>
      <w:rFonts w:ascii="細明體" w:eastAsia="細明體" w:hAnsi="細明體" w:cs="細明體"/>
      <w:sz w:val="24"/>
      <w:szCs w:val="24"/>
    </w:rPr>
  </w:style>
  <w:style w:type="paragraph" w:styleId="affa">
    <w:name w:val="caption"/>
    <w:basedOn w:val="a6"/>
    <w:next w:val="a6"/>
    <w:uiPriority w:val="35"/>
    <w:unhideWhenUsed/>
    <w:qFormat/>
    <w:rsid w:val="002E0299"/>
    <w:rPr>
      <w:sz w:val="20"/>
    </w:rPr>
  </w:style>
  <w:style w:type="paragraph" w:styleId="affb">
    <w:name w:val="Date"/>
    <w:basedOn w:val="a6"/>
    <w:next w:val="a6"/>
    <w:link w:val="affc"/>
    <w:uiPriority w:val="99"/>
    <w:semiHidden/>
    <w:unhideWhenUsed/>
    <w:rsid w:val="00542725"/>
    <w:pPr>
      <w:jc w:val="right"/>
    </w:pPr>
  </w:style>
  <w:style w:type="character" w:customStyle="1" w:styleId="affc">
    <w:name w:val="日期 字元"/>
    <w:basedOn w:val="a7"/>
    <w:link w:val="affb"/>
    <w:uiPriority w:val="99"/>
    <w:semiHidden/>
    <w:rsid w:val="00542725"/>
    <w:rPr>
      <w:rFonts w:ascii="標楷體" w:eastAsia="標楷體"/>
      <w:kern w:val="2"/>
      <w:sz w:val="32"/>
    </w:rPr>
  </w:style>
  <w:style w:type="character" w:customStyle="1" w:styleId="af8">
    <w:name w:val="頁尾 字元"/>
    <w:basedOn w:val="a7"/>
    <w:link w:val="af7"/>
    <w:semiHidden/>
    <w:rsid w:val="005F4135"/>
    <w:rPr>
      <w:rFonts w:ascii="標楷體" w:eastAsia="標楷體"/>
      <w:kern w:val="2"/>
    </w:rPr>
  </w:style>
  <w:style w:type="character" w:customStyle="1" w:styleId="70">
    <w:name w:val="標題 7 字元"/>
    <w:aliases w:val="(1) 字元"/>
    <w:basedOn w:val="a7"/>
    <w:link w:val="7"/>
    <w:rsid w:val="005F4135"/>
    <w:rPr>
      <w:rFonts w:ascii="標楷體" w:eastAsia="標楷體" w:hAnsi="Arial"/>
      <w:bCs/>
      <w:kern w:val="32"/>
      <w:sz w:val="32"/>
      <w:szCs w:val="36"/>
    </w:rPr>
  </w:style>
  <w:style w:type="character" w:customStyle="1" w:styleId="80">
    <w:name w:val="標題 8 字元"/>
    <w:basedOn w:val="a7"/>
    <w:link w:val="8"/>
    <w:rsid w:val="005F4135"/>
    <w:rPr>
      <w:rFonts w:ascii="標楷體" w:eastAsia="標楷體" w:hAnsi="Arial"/>
      <w:kern w:val="32"/>
      <w:sz w:val="32"/>
      <w:szCs w:val="36"/>
    </w:rPr>
  </w:style>
  <w:style w:type="paragraph" w:styleId="Web">
    <w:name w:val="Normal (Web)"/>
    <w:basedOn w:val="a6"/>
    <w:uiPriority w:val="99"/>
    <w:unhideWhenUsed/>
    <w:rsid w:val="00660DA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d">
    <w:name w:val="清單段落 字元"/>
    <w:aliases w:val="卑南壹 字元,List Paragraph 字元"/>
    <w:basedOn w:val="a7"/>
    <w:link w:val="afc"/>
    <w:uiPriority w:val="34"/>
    <w:rsid w:val="00B92E55"/>
    <w:rPr>
      <w:rFonts w:ascii="標楷體" w:eastAsia="標楷體"/>
      <w:kern w:val="2"/>
      <w:sz w:val="32"/>
    </w:rPr>
  </w:style>
  <w:style w:type="paragraph" w:customStyle="1" w:styleId="affd">
    <w:name w:val="分項段落"/>
    <w:basedOn w:val="a6"/>
    <w:rsid w:val="00B15B53"/>
  </w:style>
  <w:style w:type="character" w:customStyle="1" w:styleId="af5">
    <w:name w:val="本文縮排 字元"/>
    <w:basedOn w:val="a7"/>
    <w:link w:val="af4"/>
    <w:semiHidden/>
    <w:rsid w:val="005F4135"/>
    <w:rPr>
      <w:rFonts w:ascii="標楷體" w:eastAsia="標楷體"/>
      <w:kern w:val="2"/>
      <w:sz w:val="32"/>
    </w:rPr>
  </w:style>
  <w:style w:type="character" w:customStyle="1" w:styleId="ad">
    <w:name w:val="章節附註文字 字元"/>
    <w:basedOn w:val="a7"/>
    <w:link w:val="ac"/>
    <w:semiHidden/>
    <w:rsid w:val="005F4135"/>
    <w:rPr>
      <w:rFonts w:ascii="標楷體" w:eastAsia="標楷體"/>
      <w:snapToGrid w:val="0"/>
      <w:spacing w:val="10"/>
      <w:kern w:val="2"/>
      <w:sz w:val="32"/>
    </w:rPr>
  </w:style>
  <w:style w:type="character" w:customStyle="1" w:styleId="af0">
    <w:name w:val="頁首 字元"/>
    <w:basedOn w:val="a7"/>
    <w:link w:val="af"/>
    <w:semiHidden/>
    <w:rsid w:val="005F4135"/>
    <w:rPr>
      <w:rFonts w:ascii="標楷體" w:eastAsia="標楷體"/>
      <w:kern w:val="2"/>
    </w:rPr>
  </w:style>
  <w:style w:type="paragraph" w:customStyle="1" w:styleId="Standard">
    <w:name w:val="Standard"/>
    <w:rsid w:val="00511366"/>
    <w:pPr>
      <w:widowControl w:val="0"/>
      <w:suppressAutoHyphens/>
      <w:autoSpaceDN w:val="0"/>
      <w:jc w:val="both"/>
      <w:textAlignment w:val="baseline"/>
    </w:pPr>
    <w:rPr>
      <w:rFonts w:ascii="標楷體" w:eastAsia="標楷體" w:hAnsi="標楷體" w:cs="標楷體"/>
      <w:kern w:val="3"/>
      <w:sz w:val="32"/>
    </w:rPr>
  </w:style>
  <w:style w:type="paragraph" w:customStyle="1" w:styleId="TableContents">
    <w:name w:val="Table Contents"/>
    <w:basedOn w:val="Standard"/>
    <w:rsid w:val="00511366"/>
  </w:style>
  <w:style w:type="paragraph" w:customStyle="1" w:styleId="13">
    <w:name w:val="清單段落1"/>
    <w:basedOn w:val="a6"/>
    <w:qFormat/>
    <w:rsid w:val="00B55ECF"/>
    <w:pPr>
      <w:overflowPunct/>
      <w:autoSpaceDE/>
      <w:autoSpaceDN/>
      <w:ind w:leftChars="200" w:left="480"/>
      <w:jc w:val="left"/>
    </w:pPr>
    <w:rPr>
      <w:rFonts w:ascii="Times New Roman" w:eastAsia="新細明體"/>
      <w:sz w:val="24"/>
      <w:szCs w:val="24"/>
    </w:rPr>
  </w:style>
  <w:style w:type="paragraph" w:customStyle="1" w:styleId="23">
    <w:name w:val="清單段落2"/>
    <w:basedOn w:val="a6"/>
    <w:qFormat/>
    <w:rsid w:val="00B55ECF"/>
    <w:pPr>
      <w:overflowPunct/>
      <w:autoSpaceDE/>
      <w:autoSpaceDN/>
      <w:ind w:leftChars="200" w:left="480"/>
      <w:jc w:val="left"/>
    </w:pPr>
    <w:rPr>
      <w:rFonts w:ascii="Times New Roman" w:eastAsia="新細明體"/>
      <w:sz w:val="24"/>
      <w:szCs w:val="24"/>
    </w:rPr>
  </w:style>
  <w:style w:type="numbering" w:customStyle="1" w:styleId="WWNum11">
    <w:name w:val="WWNum11"/>
    <w:basedOn w:val="a9"/>
    <w:rsid w:val="00B55ECF"/>
    <w:pPr>
      <w:numPr>
        <w:numId w:val="14"/>
      </w:numPr>
    </w:pPr>
  </w:style>
  <w:style w:type="numbering" w:customStyle="1" w:styleId="WWNum24">
    <w:name w:val="WWNum24"/>
    <w:basedOn w:val="a9"/>
    <w:rsid w:val="00B55ECF"/>
    <w:pPr>
      <w:numPr>
        <w:numId w:val="15"/>
      </w:numPr>
    </w:pPr>
  </w:style>
  <w:style w:type="character" w:customStyle="1" w:styleId="title33">
    <w:name w:val="title33"/>
    <w:basedOn w:val="a7"/>
    <w:rsid w:val="00B55ECF"/>
  </w:style>
  <w:style w:type="character" w:customStyle="1" w:styleId="st1">
    <w:name w:val="st1"/>
    <w:basedOn w:val="a7"/>
    <w:rsid w:val="00B55ECF"/>
  </w:style>
  <w:style w:type="character" w:styleId="affe">
    <w:name w:val="Emphasis"/>
    <w:basedOn w:val="a7"/>
    <w:uiPriority w:val="20"/>
    <w:qFormat/>
    <w:rsid w:val="00B55ECF"/>
    <w:rPr>
      <w:b w:val="0"/>
      <w:bCs w:val="0"/>
      <w:i w:val="0"/>
      <w:iCs w:val="0"/>
      <w:color w:val="DD4B39"/>
    </w:rPr>
  </w:style>
  <w:style w:type="character" w:styleId="afff">
    <w:name w:val="Placeholder Text"/>
    <w:basedOn w:val="a7"/>
    <w:uiPriority w:val="99"/>
    <w:semiHidden/>
    <w:rsid w:val="00B55ECF"/>
    <w:rPr>
      <w:color w:val="808080"/>
    </w:rPr>
  </w:style>
  <w:style w:type="character" w:styleId="afff0">
    <w:name w:val="Strong"/>
    <w:basedOn w:val="a7"/>
    <w:uiPriority w:val="22"/>
    <w:qFormat/>
    <w:rsid w:val="00B55ECF"/>
    <w:rPr>
      <w:b/>
      <w:bCs/>
    </w:rPr>
  </w:style>
  <w:style w:type="paragraph" w:customStyle="1" w:styleId="afff1">
    <w:name w:val="函件(說明項目符號)"/>
    <w:basedOn w:val="a6"/>
    <w:next w:val="a6"/>
    <w:rsid w:val="00B55ECF"/>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afff2">
    <w:name w:val="函件說明(一般項目)"/>
    <w:basedOn w:val="a6"/>
    <w:next w:val="a6"/>
    <w:rsid w:val="00B55ECF"/>
    <w:pPr>
      <w:kinsoku w:val="0"/>
      <w:autoSpaceDE/>
      <w:autoSpaceDN/>
      <w:spacing w:line="420" w:lineRule="exact"/>
      <w:ind w:leftChars="500" w:left="600" w:hangingChars="100" w:hanging="100"/>
      <w:textAlignment w:val="center"/>
    </w:pPr>
    <w:rPr>
      <w:rFonts w:ascii="Times New Roman" w:eastAsia="華康細明體"/>
      <w:noProof/>
      <w:kern w:val="0"/>
      <w:sz w:val="21"/>
      <w:szCs w:val="24"/>
    </w:rPr>
  </w:style>
  <w:style w:type="character" w:customStyle="1" w:styleId="highlight1">
    <w:name w:val="highlight1"/>
    <w:basedOn w:val="a7"/>
    <w:rsid w:val="00B55EC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5781">
      <w:bodyDiv w:val="1"/>
      <w:marLeft w:val="0"/>
      <w:marRight w:val="0"/>
      <w:marTop w:val="0"/>
      <w:marBottom w:val="0"/>
      <w:divBdr>
        <w:top w:val="none" w:sz="0" w:space="0" w:color="auto"/>
        <w:left w:val="none" w:sz="0" w:space="0" w:color="auto"/>
        <w:bottom w:val="none" w:sz="0" w:space="0" w:color="auto"/>
        <w:right w:val="none" w:sz="0" w:space="0" w:color="auto"/>
      </w:divBdr>
      <w:divsChild>
        <w:div w:id="922761246">
          <w:marLeft w:val="0"/>
          <w:marRight w:val="0"/>
          <w:marTop w:val="0"/>
          <w:marBottom w:val="0"/>
          <w:divBdr>
            <w:top w:val="none" w:sz="0" w:space="0" w:color="auto"/>
            <w:left w:val="none" w:sz="0" w:space="0" w:color="auto"/>
            <w:bottom w:val="none" w:sz="0" w:space="0" w:color="auto"/>
            <w:right w:val="none" w:sz="0" w:space="0" w:color="auto"/>
          </w:divBdr>
          <w:divsChild>
            <w:div w:id="107626245">
              <w:marLeft w:val="0"/>
              <w:marRight w:val="0"/>
              <w:marTop w:val="0"/>
              <w:marBottom w:val="0"/>
              <w:divBdr>
                <w:top w:val="none" w:sz="0" w:space="0" w:color="auto"/>
                <w:left w:val="none" w:sz="0" w:space="0" w:color="auto"/>
                <w:bottom w:val="none" w:sz="0" w:space="0" w:color="auto"/>
                <w:right w:val="none" w:sz="0" w:space="0" w:color="auto"/>
              </w:divBdr>
              <w:divsChild>
                <w:div w:id="591091565">
                  <w:marLeft w:val="0"/>
                  <w:marRight w:val="0"/>
                  <w:marTop w:val="0"/>
                  <w:marBottom w:val="0"/>
                  <w:divBdr>
                    <w:top w:val="none" w:sz="0" w:space="0" w:color="auto"/>
                    <w:left w:val="none" w:sz="0" w:space="0" w:color="auto"/>
                    <w:bottom w:val="none" w:sz="0" w:space="0" w:color="auto"/>
                    <w:right w:val="none" w:sz="0" w:space="0" w:color="auto"/>
                  </w:divBdr>
                  <w:divsChild>
                    <w:div w:id="8161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9776">
      <w:bodyDiv w:val="1"/>
      <w:marLeft w:val="0"/>
      <w:marRight w:val="0"/>
      <w:marTop w:val="0"/>
      <w:marBottom w:val="0"/>
      <w:divBdr>
        <w:top w:val="none" w:sz="0" w:space="0" w:color="auto"/>
        <w:left w:val="none" w:sz="0" w:space="0" w:color="auto"/>
        <w:bottom w:val="none" w:sz="0" w:space="0" w:color="auto"/>
        <w:right w:val="none" w:sz="0" w:space="0" w:color="auto"/>
      </w:divBdr>
    </w:div>
    <w:div w:id="213927153">
      <w:bodyDiv w:val="1"/>
      <w:marLeft w:val="0"/>
      <w:marRight w:val="0"/>
      <w:marTop w:val="0"/>
      <w:marBottom w:val="0"/>
      <w:divBdr>
        <w:top w:val="none" w:sz="0" w:space="0" w:color="auto"/>
        <w:left w:val="none" w:sz="0" w:space="0" w:color="auto"/>
        <w:bottom w:val="none" w:sz="0" w:space="0" w:color="auto"/>
        <w:right w:val="none" w:sz="0" w:space="0" w:color="auto"/>
      </w:divBdr>
    </w:div>
    <w:div w:id="469785112">
      <w:bodyDiv w:val="1"/>
      <w:marLeft w:val="0"/>
      <w:marRight w:val="0"/>
      <w:marTop w:val="0"/>
      <w:marBottom w:val="0"/>
      <w:divBdr>
        <w:top w:val="none" w:sz="0" w:space="0" w:color="auto"/>
        <w:left w:val="none" w:sz="0" w:space="0" w:color="auto"/>
        <w:bottom w:val="none" w:sz="0" w:space="0" w:color="auto"/>
        <w:right w:val="none" w:sz="0" w:space="0" w:color="auto"/>
      </w:divBdr>
      <w:divsChild>
        <w:div w:id="1005747203">
          <w:marLeft w:val="0"/>
          <w:marRight w:val="0"/>
          <w:marTop w:val="0"/>
          <w:marBottom w:val="0"/>
          <w:divBdr>
            <w:top w:val="none" w:sz="0" w:space="0" w:color="auto"/>
            <w:left w:val="none" w:sz="0" w:space="0" w:color="auto"/>
            <w:bottom w:val="none" w:sz="0" w:space="0" w:color="auto"/>
            <w:right w:val="none" w:sz="0" w:space="0" w:color="auto"/>
          </w:divBdr>
          <w:divsChild>
            <w:div w:id="7057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7296">
      <w:bodyDiv w:val="1"/>
      <w:marLeft w:val="0"/>
      <w:marRight w:val="0"/>
      <w:marTop w:val="0"/>
      <w:marBottom w:val="0"/>
      <w:divBdr>
        <w:top w:val="none" w:sz="0" w:space="0" w:color="auto"/>
        <w:left w:val="none" w:sz="0" w:space="0" w:color="auto"/>
        <w:bottom w:val="none" w:sz="0" w:space="0" w:color="auto"/>
        <w:right w:val="none" w:sz="0" w:space="0" w:color="auto"/>
      </w:divBdr>
    </w:div>
    <w:div w:id="779839969">
      <w:bodyDiv w:val="1"/>
      <w:marLeft w:val="0"/>
      <w:marRight w:val="0"/>
      <w:marTop w:val="0"/>
      <w:marBottom w:val="0"/>
      <w:divBdr>
        <w:top w:val="none" w:sz="0" w:space="0" w:color="auto"/>
        <w:left w:val="none" w:sz="0" w:space="0" w:color="auto"/>
        <w:bottom w:val="none" w:sz="0" w:space="0" w:color="auto"/>
        <w:right w:val="none" w:sz="0" w:space="0" w:color="auto"/>
      </w:divBdr>
      <w:divsChild>
        <w:div w:id="76482385">
          <w:marLeft w:val="0"/>
          <w:marRight w:val="0"/>
          <w:marTop w:val="0"/>
          <w:marBottom w:val="0"/>
          <w:divBdr>
            <w:top w:val="none" w:sz="0" w:space="0" w:color="auto"/>
            <w:left w:val="none" w:sz="0" w:space="0" w:color="auto"/>
            <w:bottom w:val="none" w:sz="0" w:space="0" w:color="auto"/>
            <w:right w:val="none" w:sz="0" w:space="0" w:color="auto"/>
          </w:divBdr>
          <w:divsChild>
            <w:div w:id="20589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7772384">
      <w:bodyDiv w:val="1"/>
      <w:marLeft w:val="0"/>
      <w:marRight w:val="0"/>
      <w:marTop w:val="0"/>
      <w:marBottom w:val="0"/>
      <w:divBdr>
        <w:top w:val="none" w:sz="0" w:space="0" w:color="auto"/>
        <w:left w:val="none" w:sz="0" w:space="0" w:color="auto"/>
        <w:bottom w:val="none" w:sz="0" w:space="0" w:color="auto"/>
        <w:right w:val="none" w:sz="0" w:space="0" w:color="auto"/>
      </w:divBdr>
      <w:divsChild>
        <w:div w:id="1811944137">
          <w:marLeft w:val="0"/>
          <w:marRight w:val="0"/>
          <w:marTop w:val="0"/>
          <w:marBottom w:val="0"/>
          <w:divBdr>
            <w:top w:val="none" w:sz="0" w:space="0" w:color="auto"/>
            <w:left w:val="none" w:sz="0" w:space="0" w:color="auto"/>
            <w:bottom w:val="none" w:sz="0" w:space="0" w:color="auto"/>
            <w:right w:val="none" w:sz="0" w:space="0" w:color="auto"/>
          </w:divBdr>
          <w:divsChild>
            <w:div w:id="4152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7309">
      <w:bodyDiv w:val="1"/>
      <w:marLeft w:val="0"/>
      <w:marRight w:val="0"/>
      <w:marTop w:val="0"/>
      <w:marBottom w:val="0"/>
      <w:divBdr>
        <w:top w:val="none" w:sz="0" w:space="0" w:color="auto"/>
        <w:left w:val="none" w:sz="0" w:space="0" w:color="auto"/>
        <w:bottom w:val="none" w:sz="0" w:space="0" w:color="auto"/>
        <w:right w:val="none" w:sz="0" w:space="0" w:color="auto"/>
      </w:divBdr>
      <w:divsChild>
        <w:div w:id="669911636">
          <w:marLeft w:val="0"/>
          <w:marRight w:val="0"/>
          <w:marTop w:val="0"/>
          <w:marBottom w:val="0"/>
          <w:divBdr>
            <w:top w:val="none" w:sz="0" w:space="0" w:color="auto"/>
            <w:left w:val="none" w:sz="0" w:space="0" w:color="auto"/>
            <w:bottom w:val="none" w:sz="0" w:space="0" w:color="auto"/>
            <w:right w:val="none" w:sz="0" w:space="0" w:color="auto"/>
          </w:divBdr>
          <w:divsChild>
            <w:div w:id="17150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14532">
      <w:bodyDiv w:val="1"/>
      <w:marLeft w:val="0"/>
      <w:marRight w:val="0"/>
      <w:marTop w:val="0"/>
      <w:marBottom w:val="0"/>
      <w:divBdr>
        <w:top w:val="none" w:sz="0" w:space="0" w:color="auto"/>
        <w:left w:val="none" w:sz="0" w:space="0" w:color="auto"/>
        <w:bottom w:val="none" w:sz="0" w:space="0" w:color="auto"/>
        <w:right w:val="none" w:sz="0" w:space="0" w:color="auto"/>
      </w:divBdr>
    </w:div>
    <w:div w:id="1078672846">
      <w:bodyDiv w:val="1"/>
      <w:marLeft w:val="0"/>
      <w:marRight w:val="0"/>
      <w:marTop w:val="0"/>
      <w:marBottom w:val="0"/>
      <w:divBdr>
        <w:top w:val="none" w:sz="0" w:space="0" w:color="auto"/>
        <w:left w:val="none" w:sz="0" w:space="0" w:color="auto"/>
        <w:bottom w:val="none" w:sz="0" w:space="0" w:color="auto"/>
        <w:right w:val="none" w:sz="0" w:space="0" w:color="auto"/>
      </w:divBdr>
    </w:div>
    <w:div w:id="1097404034">
      <w:bodyDiv w:val="1"/>
      <w:marLeft w:val="0"/>
      <w:marRight w:val="0"/>
      <w:marTop w:val="0"/>
      <w:marBottom w:val="0"/>
      <w:divBdr>
        <w:top w:val="none" w:sz="0" w:space="0" w:color="auto"/>
        <w:left w:val="none" w:sz="0" w:space="0" w:color="auto"/>
        <w:bottom w:val="none" w:sz="0" w:space="0" w:color="auto"/>
        <w:right w:val="none" w:sz="0" w:space="0" w:color="auto"/>
      </w:divBdr>
    </w:div>
    <w:div w:id="1161844815">
      <w:bodyDiv w:val="1"/>
      <w:marLeft w:val="0"/>
      <w:marRight w:val="0"/>
      <w:marTop w:val="0"/>
      <w:marBottom w:val="0"/>
      <w:divBdr>
        <w:top w:val="none" w:sz="0" w:space="0" w:color="auto"/>
        <w:left w:val="none" w:sz="0" w:space="0" w:color="auto"/>
        <w:bottom w:val="none" w:sz="0" w:space="0" w:color="auto"/>
        <w:right w:val="none" w:sz="0" w:space="0" w:color="auto"/>
      </w:divBdr>
    </w:div>
    <w:div w:id="1216309753">
      <w:bodyDiv w:val="1"/>
      <w:marLeft w:val="0"/>
      <w:marRight w:val="0"/>
      <w:marTop w:val="0"/>
      <w:marBottom w:val="0"/>
      <w:divBdr>
        <w:top w:val="none" w:sz="0" w:space="0" w:color="auto"/>
        <w:left w:val="none" w:sz="0" w:space="0" w:color="auto"/>
        <w:bottom w:val="none" w:sz="0" w:space="0" w:color="auto"/>
        <w:right w:val="none" w:sz="0" w:space="0" w:color="auto"/>
      </w:divBdr>
    </w:div>
    <w:div w:id="1220676628">
      <w:bodyDiv w:val="1"/>
      <w:marLeft w:val="0"/>
      <w:marRight w:val="0"/>
      <w:marTop w:val="0"/>
      <w:marBottom w:val="0"/>
      <w:divBdr>
        <w:top w:val="none" w:sz="0" w:space="0" w:color="auto"/>
        <w:left w:val="none" w:sz="0" w:space="0" w:color="auto"/>
        <w:bottom w:val="none" w:sz="0" w:space="0" w:color="auto"/>
        <w:right w:val="none" w:sz="0" w:space="0" w:color="auto"/>
      </w:divBdr>
    </w:div>
    <w:div w:id="1344823642">
      <w:bodyDiv w:val="1"/>
      <w:marLeft w:val="0"/>
      <w:marRight w:val="0"/>
      <w:marTop w:val="0"/>
      <w:marBottom w:val="0"/>
      <w:divBdr>
        <w:top w:val="none" w:sz="0" w:space="0" w:color="auto"/>
        <w:left w:val="none" w:sz="0" w:space="0" w:color="auto"/>
        <w:bottom w:val="none" w:sz="0" w:space="0" w:color="auto"/>
        <w:right w:val="none" w:sz="0" w:space="0" w:color="auto"/>
      </w:divBdr>
      <w:divsChild>
        <w:div w:id="2094816171">
          <w:marLeft w:val="0"/>
          <w:marRight w:val="0"/>
          <w:marTop w:val="0"/>
          <w:marBottom w:val="0"/>
          <w:divBdr>
            <w:top w:val="none" w:sz="0" w:space="0" w:color="auto"/>
            <w:left w:val="none" w:sz="0" w:space="0" w:color="auto"/>
            <w:bottom w:val="none" w:sz="0" w:space="0" w:color="auto"/>
            <w:right w:val="none" w:sz="0" w:space="0" w:color="auto"/>
          </w:divBdr>
          <w:divsChild>
            <w:div w:id="2114133164">
              <w:marLeft w:val="0"/>
              <w:marRight w:val="0"/>
              <w:marTop w:val="100"/>
              <w:marBottom w:val="100"/>
              <w:divBdr>
                <w:top w:val="none" w:sz="0" w:space="0" w:color="auto"/>
                <w:left w:val="none" w:sz="0" w:space="0" w:color="auto"/>
                <w:bottom w:val="none" w:sz="0" w:space="0" w:color="auto"/>
                <w:right w:val="none" w:sz="0" w:space="0" w:color="auto"/>
              </w:divBdr>
              <w:divsChild>
                <w:div w:id="365837947">
                  <w:marLeft w:val="0"/>
                  <w:marRight w:val="0"/>
                  <w:marTop w:val="45"/>
                  <w:marBottom w:val="120"/>
                  <w:divBdr>
                    <w:top w:val="none" w:sz="0" w:space="0" w:color="auto"/>
                    <w:left w:val="none" w:sz="0" w:space="0" w:color="auto"/>
                    <w:bottom w:val="none" w:sz="0" w:space="0" w:color="auto"/>
                    <w:right w:val="none" w:sz="0" w:space="0" w:color="auto"/>
                  </w:divBdr>
                  <w:divsChild>
                    <w:div w:id="1359547517">
                      <w:marLeft w:val="0"/>
                      <w:marRight w:val="0"/>
                      <w:marTop w:val="0"/>
                      <w:marBottom w:val="0"/>
                      <w:divBdr>
                        <w:top w:val="none" w:sz="0" w:space="0" w:color="auto"/>
                        <w:left w:val="none" w:sz="0" w:space="0" w:color="auto"/>
                        <w:bottom w:val="none" w:sz="0" w:space="0" w:color="auto"/>
                        <w:right w:val="none" w:sz="0" w:space="0" w:color="auto"/>
                      </w:divBdr>
                      <w:divsChild>
                        <w:div w:id="7841570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46679918">
      <w:bodyDiv w:val="1"/>
      <w:marLeft w:val="0"/>
      <w:marRight w:val="0"/>
      <w:marTop w:val="0"/>
      <w:marBottom w:val="0"/>
      <w:divBdr>
        <w:top w:val="none" w:sz="0" w:space="0" w:color="auto"/>
        <w:left w:val="none" w:sz="0" w:space="0" w:color="auto"/>
        <w:bottom w:val="none" w:sz="0" w:space="0" w:color="auto"/>
        <w:right w:val="none" w:sz="0" w:space="0" w:color="auto"/>
      </w:divBdr>
    </w:div>
    <w:div w:id="1609238317">
      <w:bodyDiv w:val="1"/>
      <w:marLeft w:val="0"/>
      <w:marRight w:val="0"/>
      <w:marTop w:val="0"/>
      <w:marBottom w:val="0"/>
      <w:divBdr>
        <w:top w:val="none" w:sz="0" w:space="0" w:color="auto"/>
        <w:left w:val="none" w:sz="0" w:space="0" w:color="auto"/>
        <w:bottom w:val="none" w:sz="0" w:space="0" w:color="auto"/>
        <w:right w:val="none" w:sz="0" w:space="0" w:color="auto"/>
      </w:divBdr>
    </w:div>
    <w:div w:id="1609267179">
      <w:bodyDiv w:val="1"/>
      <w:marLeft w:val="0"/>
      <w:marRight w:val="0"/>
      <w:marTop w:val="0"/>
      <w:marBottom w:val="0"/>
      <w:divBdr>
        <w:top w:val="none" w:sz="0" w:space="0" w:color="auto"/>
        <w:left w:val="none" w:sz="0" w:space="0" w:color="auto"/>
        <w:bottom w:val="none" w:sz="0" w:space="0" w:color="auto"/>
        <w:right w:val="none" w:sz="0" w:space="0" w:color="auto"/>
      </w:divBdr>
    </w:div>
    <w:div w:id="1627737216">
      <w:bodyDiv w:val="1"/>
      <w:marLeft w:val="0"/>
      <w:marRight w:val="0"/>
      <w:marTop w:val="0"/>
      <w:marBottom w:val="0"/>
      <w:divBdr>
        <w:top w:val="none" w:sz="0" w:space="0" w:color="auto"/>
        <w:left w:val="none" w:sz="0" w:space="0" w:color="auto"/>
        <w:bottom w:val="none" w:sz="0" w:space="0" w:color="auto"/>
        <w:right w:val="none" w:sz="0" w:space="0" w:color="auto"/>
      </w:divBdr>
    </w:div>
    <w:div w:id="1771194473">
      <w:bodyDiv w:val="1"/>
      <w:marLeft w:val="0"/>
      <w:marRight w:val="0"/>
      <w:marTop w:val="0"/>
      <w:marBottom w:val="0"/>
      <w:divBdr>
        <w:top w:val="none" w:sz="0" w:space="0" w:color="auto"/>
        <w:left w:val="none" w:sz="0" w:space="0" w:color="auto"/>
        <w:bottom w:val="none" w:sz="0" w:space="0" w:color="auto"/>
        <w:right w:val="none" w:sz="0" w:space="0" w:color="auto"/>
      </w:divBdr>
    </w:div>
    <w:div w:id="1957561449">
      <w:bodyDiv w:val="1"/>
      <w:marLeft w:val="0"/>
      <w:marRight w:val="0"/>
      <w:marTop w:val="0"/>
      <w:marBottom w:val="0"/>
      <w:divBdr>
        <w:top w:val="none" w:sz="0" w:space="0" w:color="auto"/>
        <w:left w:val="none" w:sz="0" w:space="0" w:color="auto"/>
        <w:bottom w:val="none" w:sz="0" w:space="0" w:color="auto"/>
        <w:right w:val="none" w:sz="0" w:space="0" w:color="auto"/>
      </w:divBdr>
    </w:div>
    <w:div w:id="2075421471">
      <w:bodyDiv w:val="1"/>
      <w:marLeft w:val="0"/>
      <w:marRight w:val="0"/>
      <w:marTop w:val="0"/>
      <w:marBottom w:val="0"/>
      <w:divBdr>
        <w:top w:val="none" w:sz="0" w:space="0" w:color="auto"/>
        <w:left w:val="none" w:sz="0" w:space="0" w:color="auto"/>
        <w:bottom w:val="none" w:sz="0" w:space="0" w:color="auto"/>
        <w:right w:val="none" w:sz="0" w:space="0" w:color="auto"/>
      </w:divBdr>
      <w:divsChild>
        <w:div w:id="346059707">
          <w:marLeft w:val="0"/>
          <w:marRight w:val="0"/>
          <w:marTop w:val="0"/>
          <w:marBottom w:val="0"/>
          <w:divBdr>
            <w:top w:val="none" w:sz="0" w:space="0" w:color="auto"/>
            <w:left w:val="none" w:sz="0" w:space="0" w:color="auto"/>
            <w:bottom w:val="none" w:sz="0" w:space="0" w:color="auto"/>
            <w:right w:val="none" w:sz="0" w:space="0" w:color="auto"/>
          </w:divBdr>
          <w:divsChild>
            <w:div w:id="20596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622604">
      <w:bodyDiv w:val="1"/>
      <w:marLeft w:val="0"/>
      <w:marRight w:val="0"/>
      <w:marTop w:val="0"/>
      <w:marBottom w:val="0"/>
      <w:divBdr>
        <w:top w:val="none" w:sz="0" w:space="0" w:color="auto"/>
        <w:left w:val="none" w:sz="0" w:space="0" w:color="auto"/>
        <w:bottom w:val="none" w:sz="0" w:space="0" w:color="auto"/>
        <w:right w:val="none" w:sz="0" w:space="0" w:color="auto"/>
      </w:divBdr>
    </w:div>
    <w:div w:id="21457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14052</Words>
  <Characters>14335</Characters>
  <Application>Microsoft Office Word</Application>
  <DocSecurity>0</DocSecurity>
  <Lines>754</Lines>
  <Paragraphs>359</Paragraphs>
  <ScaleCrop>false</ScaleCrop>
  <Company/>
  <LinksUpToDate>false</LinksUpToDate>
  <CharactersWithSpaces>28028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2020-07-24T05:39:00Z</dcterms:created>
  <dcterms:modified xsi:type="dcterms:W3CDTF">2020-07-24T05:39:00Z</dcterms:modified>
</cp:coreProperties>
</file>