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08" w:rsidRPr="004D141F" w:rsidRDefault="00497708" w:rsidP="00F37D7B">
      <w:pPr>
        <w:pStyle w:val="af3"/>
      </w:pPr>
      <w:r w:rsidRPr="004D141F">
        <w:rPr>
          <w:rFonts w:hint="eastAsia"/>
        </w:rPr>
        <w:t>調查報告</w:t>
      </w:r>
    </w:p>
    <w:p w:rsidR="00497708" w:rsidRDefault="00497708" w:rsidP="00BC7B0F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案　　由：</w:t>
      </w:r>
      <w:r w:rsidRPr="00E729C0">
        <w:rPr>
          <w:rFonts w:hint="eastAsia"/>
          <w:noProof/>
        </w:rPr>
        <w:t>我國81年發生輻射污染鋼筋事件後，行政院原子能委員會即進行各項善後及防範工作，行政院並於83年6月1日起核定實施輻射污染建築物事件防範及處理辦法，以健全各項善後處理措施。究原能會對於受污染建物，及受影響居民之善後處理方式是否積極允當？相關建物輻射劑量評估是否嚴謹妥適？均有深入瞭解之必要案。</w:t>
      </w:r>
    </w:p>
    <w:p w:rsidR="00497708" w:rsidRDefault="00497708" w:rsidP="00497708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調查意見：</w:t>
      </w:r>
    </w:p>
    <w:p w:rsidR="00497708" w:rsidRPr="00E036DC" w:rsidRDefault="00BC7B0F" w:rsidP="00497708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行政院原子能委員會</w:t>
      </w:r>
      <w:r w:rsidR="008519B1">
        <w:rPr>
          <w:rFonts w:hint="eastAsia"/>
          <w:b/>
        </w:rPr>
        <w:t>自81年輻射屋事件爆發後，</w:t>
      </w:r>
      <w:r w:rsidR="009C34EA">
        <w:rPr>
          <w:rFonts w:hint="eastAsia"/>
          <w:b/>
        </w:rPr>
        <w:t>經行政院核定訂定「輻射污染建築物事件防範及處理辦法」</w:t>
      </w:r>
      <w:r w:rsidR="00A54E97">
        <w:rPr>
          <w:rFonts w:hint="eastAsia"/>
          <w:b/>
        </w:rPr>
        <w:t>施行後</w:t>
      </w:r>
      <w:r w:rsidR="009C34EA">
        <w:rPr>
          <w:rFonts w:hint="eastAsia"/>
          <w:b/>
        </w:rPr>
        <w:t>，依該處理辦法</w:t>
      </w:r>
      <w:r w:rsidR="00A14B88">
        <w:rPr>
          <w:rFonts w:hint="eastAsia"/>
          <w:b/>
        </w:rPr>
        <w:t>之規定，</w:t>
      </w:r>
      <w:r w:rsidR="009C34EA">
        <w:rPr>
          <w:rFonts w:hint="eastAsia"/>
          <w:b/>
        </w:rPr>
        <w:t>收購年劑量高達15毫西</w:t>
      </w:r>
      <w:proofErr w:type="gramStart"/>
      <w:r w:rsidR="009C34EA">
        <w:rPr>
          <w:rFonts w:hint="eastAsia"/>
          <w:b/>
        </w:rPr>
        <w:t>弗</w:t>
      </w:r>
      <w:proofErr w:type="gramEnd"/>
      <w:r w:rsidR="009C34EA">
        <w:rPr>
          <w:rFonts w:hint="eastAsia"/>
          <w:b/>
        </w:rPr>
        <w:t>以上</w:t>
      </w:r>
      <w:r w:rsidR="00A14B88">
        <w:rPr>
          <w:rFonts w:hint="eastAsia"/>
          <w:b/>
        </w:rPr>
        <w:t>之輻射屋共計98戶，</w:t>
      </w:r>
      <w:r w:rsidR="00A54E97">
        <w:rPr>
          <w:rFonts w:hint="eastAsia"/>
          <w:b/>
        </w:rPr>
        <w:t>除已拆除45戶、已改善4戶外，其餘49戶國有房屋閒置迄今，截至109年6月10日</w:t>
      </w:r>
      <w:r w:rsidR="006813F9">
        <w:rPr>
          <w:rFonts w:hint="eastAsia"/>
          <w:b/>
        </w:rPr>
        <w:t>本院調查</w:t>
      </w:r>
      <w:proofErr w:type="gramStart"/>
      <w:r w:rsidR="006813F9">
        <w:rPr>
          <w:rFonts w:hint="eastAsia"/>
          <w:b/>
        </w:rPr>
        <w:t>期間</w:t>
      </w:r>
      <w:r w:rsidR="00A54E97">
        <w:rPr>
          <w:rFonts w:hint="eastAsia"/>
          <w:b/>
        </w:rPr>
        <w:t>，</w:t>
      </w:r>
      <w:proofErr w:type="gramEnd"/>
      <w:r w:rsidR="00A54E97">
        <w:rPr>
          <w:rFonts w:hint="eastAsia"/>
          <w:b/>
        </w:rPr>
        <w:t>輻射劑量低於</w:t>
      </w:r>
      <w:r w:rsidR="00FE0FE5">
        <w:rPr>
          <w:rFonts w:hint="eastAsia"/>
          <w:b/>
        </w:rPr>
        <w:t>法定</w:t>
      </w:r>
      <w:r w:rsidR="00A54E97">
        <w:rPr>
          <w:rFonts w:hint="eastAsia"/>
          <w:b/>
        </w:rPr>
        <w:t>生活環境背景值1毫西</w:t>
      </w:r>
      <w:proofErr w:type="gramStart"/>
      <w:r w:rsidR="00A54E97">
        <w:rPr>
          <w:rFonts w:hint="eastAsia"/>
          <w:b/>
        </w:rPr>
        <w:t>弗</w:t>
      </w:r>
      <w:proofErr w:type="gramEnd"/>
      <w:r w:rsidR="00A54E97">
        <w:rPr>
          <w:rFonts w:hint="eastAsia"/>
          <w:b/>
        </w:rPr>
        <w:t>以下計有31戶（占63</w:t>
      </w:r>
      <w:r w:rsidR="006813F9">
        <w:rPr>
          <w:b/>
        </w:rPr>
        <w:t>.27</w:t>
      </w:r>
      <w:r w:rsidR="00A54E97">
        <w:rPr>
          <w:rFonts w:hint="eastAsia"/>
          <w:b/>
        </w:rPr>
        <w:t>％）</w:t>
      </w:r>
      <w:r w:rsidR="006813F9">
        <w:rPr>
          <w:rFonts w:hint="eastAsia"/>
          <w:b/>
        </w:rPr>
        <w:t>、1~2毫西</w:t>
      </w:r>
      <w:proofErr w:type="gramStart"/>
      <w:r w:rsidR="006813F9">
        <w:rPr>
          <w:rFonts w:hint="eastAsia"/>
          <w:b/>
        </w:rPr>
        <w:t>弗</w:t>
      </w:r>
      <w:proofErr w:type="gramEnd"/>
      <w:r w:rsidR="006813F9">
        <w:rPr>
          <w:rFonts w:hint="eastAsia"/>
          <w:b/>
        </w:rPr>
        <w:t>計有12戶（占24.49％）、2</w:t>
      </w:r>
      <w:r w:rsidR="006813F9">
        <w:rPr>
          <w:b/>
        </w:rPr>
        <w:t>~3</w:t>
      </w:r>
      <w:r w:rsidR="006813F9">
        <w:rPr>
          <w:rFonts w:hint="eastAsia"/>
          <w:b/>
        </w:rPr>
        <w:t>毫西</w:t>
      </w:r>
      <w:proofErr w:type="gramStart"/>
      <w:r w:rsidR="006813F9">
        <w:rPr>
          <w:rFonts w:hint="eastAsia"/>
          <w:b/>
        </w:rPr>
        <w:t>弗</w:t>
      </w:r>
      <w:proofErr w:type="gramEnd"/>
      <w:r w:rsidR="006813F9">
        <w:rPr>
          <w:rFonts w:hint="eastAsia"/>
          <w:b/>
        </w:rPr>
        <w:t>計有5戶（占10.20％）、3毫西</w:t>
      </w:r>
      <w:proofErr w:type="gramStart"/>
      <w:r w:rsidR="006813F9">
        <w:rPr>
          <w:rFonts w:hint="eastAsia"/>
          <w:b/>
        </w:rPr>
        <w:t>弗</w:t>
      </w:r>
      <w:proofErr w:type="gramEnd"/>
      <w:r w:rsidR="006813F9">
        <w:rPr>
          <w:rFonts w:hint="eastAsia"/>
          <w:b/>
        </w:rPr>
        <w:t>以上計有1戶（占2.04％）</w:t>
      </w:r>
      <w:r w:rsidR="00E80864">
        <w:rPr>
          <w:rFonts w:hint="eastAsia"/>
          <w:b/>
        </w:rPr>
        <w:t>，</w:t>
      </w:r>
      <w:r w:rsidR="002572AE">
        <w:rPr>
          <w:rFonts w:hint="eastAsia"/>
          <w:b/>
        </w:rPr>
        <w:t>原</w:t>
      </w:r>
      <w:proofErr w:type="gramStart"/>
      <w:r w:rsidR="002572AE">
        <w:rPr>
          <w:rFonts w:hint="eastAsia"/>
          <w:b/>
        </w:rPr>
        <w:t>能</w:t>
      </w:r>
      <w:r w:rsidR="00E80864">
        <w:rPr>
          <w:rFonts w:hint="eastAsia"/>
          <w:b/>
        </w:rPr>
        <w:t>會允應</w:t>
      </w:r>
      <w:proofErr w:type="gramEnd"/>
      <w:r w:rsidR="00E80864">
        <w:rPr>
          <w:rFonts w:hint="eastAsia"/>
          <w:b/>
        </w:rPr>
        <w:t>重新委託專業檢測機構，確定安全無虞、符合法規適合人居之國有房屋，連同專業檢測報告，</w:t>
      </w:r>
      <w:r w:rsidR="00FE0FE5">
        <w:rPr>
          <w:rFonts w:hint="eastAsia"/>
          <w:b/>
        </w:rPr>
        <w:t>考量輻射建物社區更新之整體規劃，</w:t>
      </w:r>
      <w:r w:rsidR="00E80864">
        <w:rPr>
          <w:rFonts w:hint="eastAsia"/>
          <w:b/>
        </w:rPr>
        <w:t>移請財政部國有財產署依法辦理</w:t>
      </w:r>
      <w:r w:rsidR="006E79BD">
        <w:rPr>
          <w:rFonts w:hint="eastAsia"/>
          <w:b/>
        </w:rPr>
        <w:t>後續</w:t>
      </w:r>
      <w:r w:rsidR="00090A4B">
        <w:rPr>
          <w:rFonts w:hint="eastAsia"/>
          <w:b/>
        </w:rPr>
        <w:t>活化事宜</w:t>
      </w:r>
    </w:p>
    <w:p w:rsidR="00497708" w:rsidRDefault="006D7625" w:rsidP="00EB1D81">
      <w:pPr>
        <w:pStyle w:val="3"/>
      </w:pPr>
      <w:r>
        <w:rPr>
          <w:rFonts w:hint="eastAsia"/>
        </w:rPr>
        <w:t>81年輻射</w:t>
      </w:r>
      <w:r w:rsidR="002A2B44">
        <w:rPr>
          <w:rFonts w:hint="eastAsia"/>
        </w:rPr>
        <w:t>屋事件爆發後，原能會除進行全面性之普查，確認全國共計有1</w:t>
      </w:r>
      <w:r w:rsidR="005F4C56">
        <w:t>,</w:t>
      </w:r>
      <w:r w:rsidR="002A2B44">
        <w:rPr>
          <w:rFonts w:hint="eastAsia"/>
        </w:rPr>
        <w:t>669戶放射性污染建築物外，原能會亦經行政院核定後，於83年6月1日以（83）</w:t>
      </w:r>
      <w:proofErr w:type="gramStart"/>
      <w:r w:rsidR="002A2B44">
        <w:rPr>
          <w:rFonts w:hint="eastAsia"/>
        </w:rPr>
        <w:t>會法字第10830</w:t>
      </w:r>
      <w:proofErr w:type="gramEnd"/>
      <w:r w:rsidR="002A2B44">
        <w:rPr>
          <w:rFonts w:hint="eastAsia"/>
        </w:rPr>
        <w:t>號令訂定發布施行「</w:t>
      </w:r>
      <w:r w:rsidR="002A2B44" w:rsidRPr="002A2B44">
        <w:rPr>
          <w:rFonts w:hint="eastAsia"/>
        </w:rPr>
        <w:t>放射性污染建築物事件防範及處理辦法</w:t>
      </w:r>
      <w:r w:rsidR="002A2B44">
        <w:rPr>
          <w:rFonts w:hint="eastAsia"/>
        </w:rPr>
        <w:t>」，該處理辦法第10條第1項規定：「輻射污染建築物於發現污染時之</w:t>
      </w:r>
      <w:r w:rsidR="002A2B44" w:rsidRPr="005F4C56">
        <w:rPr>
          <w:rFonts w:hint="eastAsia"/>
          <w:b/>
        </w:rPr>
        <w:t>年劑量</w:t>
      </w:r>
      <w:r w:rsidR="002A2B44" w:rsidRPr="005F4C56">
        <w:rPr>
          <w:rFonts w:hint="eastAsia"/>
          <w:b/>
        </w:rPr>
        <w:lastRenderedPageBreak/>
        <w:t>達15毫西</w:t>
      </w:r>
      <w:proofErr w:type="gramStart"/>
      <w:r w:rsidR="002A2B44" w:rsidRPr="005F4C56">
        <w:rPr>
          <w:rFonts w:hint="eastAsia"/>
          <w:b/>
        </w:rPr>
        <w:t>弗</w:t>
      </w:r>
      <w:proofErr w:type="gramEnd"/>
      <w:r w:rsidR="002A2B44" w:rsidRPr="005F4C56">
        <w:rPr>
          <w:rFonts w:hint="eastAsia"/>
          <w:b/>
        </w:rPr>
        <w:t>以上</w:t>
      </w:r>
      <w:r w:rsidR="002A2B44">
        <w:rPr>
          <w:rFonts w:hint="eastAsia"/>
        </w:rPr>
        <w:t>，</w:t>
      </w:r>
      <w:r w:rsidR="002A2B44" w:rsidRPr="005F4C56">
        <w:rPr>
          <w:rFonts w:hint="eastAsia"/>
          <w:b/>
        </w:rPr>
        <w:t>不適宜繼續長期居住者</w:t>
      </w:r>
      <w:r w:rsidR="002A2B44">
        <w:rPr>
          <w:rFonts w:hint="eastAsia"/>
        </w:rPr>
        <w:t>，該戶建築物所有權人、區分所有權人或共有人，</w:t>
      </w:r>
      <w:r w:rsidR="002A2B44" w:rsidRPr="005F4C56">
        <w:rPr>
          <w:rFonts w:hint="eastAsia"/>
          <w:b/>
        </w:rPr>
        <w:t>得向主管機關申請依合理價格收購該戶建築物及土地</w:t>
      </w:r>
      <w:r w:rsidR="002A2B44">
        <w:rPr>
          <w:rFonts w:hint="eastAsia"/>
        </w:rPr>
        <w:t>；或補助改善工程所需費用之半數。」</w:t>
      </w:r>
    </w:p>
    <w:p w:rsidR="002A2B44" w:rsidRDefault="00B16208" w:rsidP="00EB1D81">
      <w:pPr>
        <w:pStyle w:val="3"/>
      </w:pPr>
      <w:r>
        <w:rPr>
          <w:rFonts w:hint="eastAsia"/>
        </w:rPr>
        <w:t>原能會依據上開處理辦法第10條第1項之規定，共計收購98戶輻射屋，其中已拆除45戶、已完成改善4戶，目前尚有49戶國有房屋，其中已移撥國產</w:t>
      </w:r>
      <w:r w:rsidR="00C6380D">
        <w:rPr>
          <w:rFonts w:hint="eastAsia"/>
        </w:rPr>
        <w:t>署</w:t>
      </w:r>
      <w:r>
        <w:rPr>
          <w:rFonts w:hint="eastAsia"/>
        </w:rPr>
        <w:t>29戶、未移撥20戶，</w:t>
      </w:r>
      <w:r w:rsidR="00C70F8D">
        <w:rPr>
          <w:rFonts w:hint="eastAsia"/>
        </w:rPr>
        <w:t>如下表</w:t>
      </w:r>
      <w:r w:rsidR="006802D6">
        <w:rPr>
          <w:rFonts w:hint="eastAsia"/>
        </w:rPr>
        <w:t>1</w:t>
      </w:r>
      <w:r w:rsidR="00C70F8D">
        <w:rPr>
          <w:rFonts w:hint="eastAsia"/>
        </w:rPr>
        <w:t>：</w:t>
      </w:r>
    </w:p>
    <w:p w:rsidR="006802D6" w:rsidRDefault="006802D6" w:rsidP="00C57C23">
      <w:pPr>
        <w:pStyle w:val="a3"/>
        <w:spacing w:before="0" w:after="0"/>
        <w:ind w:left="482" w:hanging="482"/>
        <w:jc w:val="center"/>
      </w:pPr>
      <w:r>
        <w:rPr>
          <w:rFonts w:hint="eastAsia"/>
        </w:rPr>
        <w:t>國有</w:t>
      </w:r>
      <w:proofErr w:type="gramStart"/>
      <w:r>
        <w:rPr>
          <w:rFonts w:hint="eastAsia"/>
        </w:rPr>
        <w:t>輻射屋明細</w:t>
      </w:r>
      <w:proofErr w:type="gramEnd"/>
      <w:r>
        <w:rPr>
          <w:rFonts w:hint="eastAsia"/>
        </w:rPr>
        <w:t>一覽表</w: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3338"/>
        <w:gridCol w:w="2953"/>
      </w:tblGrid>
      <w:tr w:rsidR="00C70F8D" w:rsidRPr="00C70F8D" w:rsidTr="003B17F1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C70F8D" w:rsidRPr="00CF6CFA" w:rsidRDefault="000F4243" w:rsidP="000F4243">
            <w:pPr>
              <w:spacing w:line="0" w:lineRule="atLeast"/>
              <w:ind w:left="1201" w:hanging="120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已移撥予</w:t>
            </w:r>
            <w:r w:rsidR="00C70F8D" w:rsidRPr="00CF6CFA">
              <w:rPr>
                <w:rFonts w:ascii="Arial" w:hAnsi="Arial" w:cs="Arial" w:hint="eastAsia"/>
                <w:sz w:val="28"/>
                <w:szCs w:val="28"/>
              </w:rPr>
              <w:t>國產署房屋一覽表（</w:t>
            </w:r>
            <w:r w:rsidR="00C70F8D" w:rsidRPr="00CF6CFA">
              <w:rPr>
                <w:rFonts w:ascii="Arial" w:hAnsi="Arial" w:cs="Arial" w:hint="eastAsia"/>
                <w:sz w:val="28"/>
                <w:szCs w:val="28"/>
              </w:rPr>
              <w:t>29</w:t>
            </w:r>
            <w:r w:rsidR="00C70F8D" w:rsidRPr="00CF6CFA">
              <w:rPr>
                <w:rFonts w:ascii="Arial" w:hAnsi="Arial" w:cs="Arial" w:hint="eastAsia"/>
                <w:sz w:val="28"/>
                <w:szCs w:val="28"/>
              </w:rPr>
              <w:t>戶）</w:t>
            </w:r>
          </w:p>
        </w:tc>
      </w:tr>
      <w:tr w:rsidR="00090A4B" w:rsidRPr="00C70F8D" w:rsidTr="003B17F1">
        <w:tc>
          <w:tcPr>
            <w:tcW w:w="0" w:type="auto"/>
            <w:noWrap/>
            <w:vAlign w:val="center"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序號</w:t>
            </w:r>
          </w:p>
        </w:tc>
        <w:tc>
          <w:tcPr>
            <w:tcW w:w="0" w:type="auto"/>
            <w:noWrap/>
            <w:vAlign w:val="center"/>
            <w:hideMark/>
          </w:tcPr>
          <w:p w:rsidR="00C70F8D" w:rsidRPr="00C70F8D" w:rsidRDefault="0060697E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地</w:t>
            </w:r>
            <w:r>
              <w:rPr>
                <w:rFonts w:ascii="Arial" w:hAnsi="Arial" w:cs="Arial" w:hint="eastAsia"/>
                <w:sz w:val="24"/>
                <w:szCs w:val="24"/>
              </w:rPr>
              <w:t>段</w:t>
            </w:r>
          </w:p>
        </w:tc>
        <w:tc>
          <w:tcPr>
            <w:tcW w:w="0" w:type="auto"/>
            <w:vAlign w:val="center"/>
            <w:hideMark/>
          </w:tcPr>
          <w:p w:rsidR="0060697E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10</w:t>
            </w:r>
            <w:r w:rsidRPr="00C70F8D">
              <w:rPr>
                <w:rFonts w:ascii="Arial" w:hAnsi="Arial" w:cs="Arial" w:hint="eastAsia"/>
                <w:sz w:val="24"/>
                <w:szCs w:val="24"/>
              </w:rPr>
              <w:t>9</w:t>
            </w:r>
            <w:r w:rsidRPr="00C70F8D">
              <w:rPr>
                <w:rFonts w:ascii="Arial" w:hAnsi="Arial" w:cs="Arial"/>
                <w:sz w:val="24"/>
                <w:szCs w:val="24"/>
              </w:rPr>
              <w:t>年</w:t>
            </w:r>
            <w:r w:rsidRPr="00C70F8D">
              <w:rPr>
                <w:rFonts w:ascii="Arial" w:hAnsi="Arial" w:cs="Arial" w:hint="eastAsia"/>
                <w:sz w:val="24"/>
                <w:szCs w:val="24"/>
              </w:rPr>
              <w:t>6</w:t>
            </w:r>
            <w:r w:rsidRPr="00C70F8D">
              <w:rPr>
                <w:rFonts w:ascii="Arial" w:hAnsi="Arial" w:cs="Arial"/>
                <w:sz w:val="24"/>
                <w:szCs w:val="24"/>
              </w:rPr>
              <w:t>月</w:t>
            </w:r>
            <w:r w:rsidRPr="00C70F8D">
              <w:rPr>
                <w:rFonts w:ascii="Arial" w:hAnsi="Arial" w:cs="Arial"/>
                <w:sz w:val="24"/>
                <w:szCs w:val="24"/>
              </w:rPr>
              <w:t>1</w:t>
            </w:r>
            <w:r w:rsidRPr="00C70F8D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C70F8D">
              <w:rPr>
                <w:rFonts w:ascii="Arial" w:hAnsi="Arial" w:cs="Arial"/>
                <w:sz w:val="24"/>
                <w:szCs w:val="24"/>
              </w:rPr>
              <w:t>日</w:t>
            </w:r>
            <w:r>
              <w:rPr>
                <w:rFonts w:ascii="Arial" w:hAnsi="Arial" w:cs="Arial" w:hint="eastAsia"/>
                <w:sz w:val="24"/>
                <w:szCs w:val="24"/>
              </w:rPr>
              <w:t>推估年劑量</w:t>
            </w:r>
          </w:p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>
              <w:rPr>
                <w:rFonts w:ascii="Arial" w:hAnsi="Arial" w:cs="Arial" w:hint="eastAsia"/>
                <w:sz w:val="24"/>
                <w:szCs w:val="24"/>
              </w:rPr>
              <w:t>毫西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弗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4:D23"/>
            <w:r w:rsidRPr="00C70F8D">
              <w:rPr>
                <w:rFonts w:ascii="Arial" w:hAnsi="Arial" w:cs="Arial"/>
                <w:sz w:val="24"/>
                <w:szCs w:val="24"/>
              </w:rPr>
              <w:t>1</w:t>
            </w:r>
            <w:bookmarkEnd w:id="0"/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widowControl/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0.89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1.45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0.52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2.05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1.38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0.44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1.88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0.20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1.49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1.70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1.20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0.95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3.88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2.45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2.68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1.42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0.72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1.17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0.18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671154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0.33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1627D9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0.62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1627D9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2.03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1627D9">
              <w:rPr>
                <w:rFonts w:ascii="Arial" w:hAnsi="Arial" w:cs="Arial"/>
                <w:sz w:val="24"/>
                <w:szCs w:val="24"/>
              </w:rPr>
              <w:t>市中山區龍江路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1.42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noWrap/>
            <w:vAlign w:val="bottom"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ED312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0.48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ED312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0.66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ED312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0.99</w:t>
            </w:r>
          </w:p>
        </w:tc>
      </w:tr>
      <w:tr w:rsidR="00090A4B" w:rsidRPr="00C70F8D" w:rsidTr="003B17F1">
        <w:tc>
          <w:tcPr>
            <w:tcW w:w="0" w:type="auto"/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ED312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0.90</w:t>
            </w:r>
          </w:p>
        </w:tc>
      </w:tr>
      <w:tr w:rsidR="00090A4B" w:rsidRPr="00C70F8D" w:rsidTr="003B17F1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090A4B" w:rsidRPr="00C70F8D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090A4B" w:rsidRDefault="00F1744E" w:rsidP="00090A4B">
            <w:pPr>
              <w:ind w:left="1041" w:hanging="1041"/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090A4B" w:rsidRPr="00ED312D">
              <w:rPr>
                <w:rFonts w:ascii="Arial" w:hAnsi="Arial" w:cs="Arial"/>
                <w:sz w:val="24"/>
                <w:szCs w:val="24"/>
              </w:rPr>
              <w:t>市松山區光復南路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:rsidR="00090A4B" w:rsidRPr="00787854" w:rsidRDefault="00090A4B" w:rsidP="00090A4B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0.50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gridSpan w:val="3"/>
            <w:tcBorders>
              <w:left w:val="nil"/>
              <w:right w:val="nil"/>
            </w:tcBorders>
            <w:noWrap/>
          </w:tcPr>
          <w:p w:rsidR="00C70F8D" w:rsidRPr="00787854" w:rsidRDefault="00C70F8D" w:rsidP="00C70F8D">
            <w:pPr>
              <w:spacing w:line="0" w:lineRule="atLeast"/>
              <w:ind w:left="1201" w:hanging="1201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87854"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尚未移撥之國有房屋一覽表（</w:t>
            </w:r>
            <w:r w:rsidRPr="00787854"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20</w:t>
            </w:r>
            <w:r w:rsidRPr="00787854"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戶）</w:t>
            </w:r>
          </w:p>
        </w:tc>
      </w:tr>
      <w:tr w:rsidR="00090A4B" w:rsidRPr="00C70F8D" w:rsidTr="003B17F1">
        <w:tc>
          <w:tcPr>
            <w:tcW w:w="0" w:type="auto"/>
            <w:noWrap/>
            <w:vAlign w:val="center"/>
            <w:hideMark/>
          </w:tcPr>
          <w:p w:rsidR="00C70F8D" w:rsidRPr="00C70F8D" w:rsidRDefault="00C70F8D" w:rsidP="00EB1D81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序號</w:t>
            </w:r>
          </w:p>
        </w:tc>
        <w:tc>
          <w:tcPr>
            <w:tcW w:w="0" w:type="auto"/>
            <w:noWrap/>
            <w:vAlign w:val="center"/>
            <w:hideMark/>
          </w:tcPr>
          <w:p w:rsidR="00C70F8D" w:rsidRPr="00C70F8D" w:rsidRDefault="0060697E" w:rsidP="00EB1D81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地</w:t>
            </w:r>
            <w:r>
              <w:rPr>
                <w:rFonts w:ascii="Arial" w:hAnsi="Arial" w:cs="Arial" w:hint="eastAsia"/>
                <w:sz w:val="24"/>
                <w:szCs w:val="24"/>
              </w:rPr>
              <w:t>段</w:t>
            </w:r>
          </w:p>
        </w:tc>
        <w:tc>
          <w:tcPr>
            <w:tcW w:w="0" w:type="auto"/>
            <w:vAlign w:val="center"/>
            <w:hideMark/>
          </w:tcPr>
          <w:p w:rsidR="000F4243" w:rsidRPr="00787854" w:rsidRDefault="00C70F8D" w:rsidP="00EB1D81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9</w:t>
            </w: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年</w:t>
            </w: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6</w:t>
            </w: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月</w:t>
            </w: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0</w:t>
            </w: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日</w:t>
            </w: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推估年劑量</w:t>
            </w:r>
          </w:p>
          <w:p w:rsidR="00C70F8D" w:rsidRPr="00787854" w:rsidRDefault="00C70F8D" w:rsidP="00EB1D81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(</w:t>
            </w:r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毫西</w:t>
            </w:r>
            <w:proofErr w:type="gramStart"/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弗</w:t>
            </w:r>
            <w:proofErr w:type="gramEnd"/>
            <w:r w:rsidRPr="00787854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widowControl/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0.56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1.04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0.74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0.70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0.50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市士林區文昌路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1.35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市南港區研究院路二段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0.74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市南港區研究院路二段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0.43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市南港區研究院路二段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0.48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市南港區研究院路二段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0.42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70F8D" w:rsidRPr="00C70F8D" w:rsidRDefault="00F1744E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臺北</w:t>
            </w:r>
            <w:r w:rsidR="00C70F8D" w:rsidRPr="00C70F8D">
              <w:rPr>
                <w:rFonts w:ascii="Arial" w:hAnsi="Arial" w:cs="Arial"/>
                <w:sz w:val="24"/>
                <w:szCs w:val="24"/>
              </w:rPr>
              <w:t>市南港區研究院路二段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0.38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新北市新莊區民安西路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0.59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新北市新莊區民安西路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新北市新莊區民安西路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0.89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新北市新莊區民安西路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0.58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桃園市桃園區民生路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0.94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桃園市桃園區民生路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1.97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桃園市桃園區民生路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0.94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桃園市桃園區民生路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2" w:hanging="104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2.60</w:t>
            </w:r>
          </w:p>
        </w:tc>
      </w:tr>
      <w:tr w:rsidR="00C70F8D" w:rsidRPr="007F2EAC" w:rsidTr="003B17F1">
        <w:tblPrEx>
          <w:tblCellMar>
            <w:left w:w="108" w:type="dxa"/>
            <w:right w:w="108" w:type="dxa"/>
          </w:tblCellMar>
        </w:tblPrEx>
        <w:tc>
          <w:tcPr>
            <w:tcW w:w="0" w:type="auto"/>
            <w:noWrap/>
            <w:hideMark/>
          </w:tcPr>
          <w:p w:rsidR="00C70F8D" w:rsidRPr="00C70F8D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C70F8D" w:rsidRPr="00C70F8D" w:rsidRDefault="00C70F8D" w:rsidP="00090A4B">
            <w:pPr>
              <w:spacing w:line="0" w:lineRule="atLeast"/>
              <w:ind w:left="1041" w:hanging="1041"/>
              <w:rPr>
                <w:rFonts w:ascii="Arial" w:hAnsi="Arial" w:cs="Arial"/>
                <w:sz w:val="24"/>
                <w:szCs w:val="24"/>
              </w:rPr>
            </w:pPr>
            <w:r w:rsidRPr="00C70F8D">
              <w:rPr>
                <w:rFonts w:ascii="Arial" w:hAnsi="Arial" w:cs="Arial"/>
                <w:sz w:val="24"/>
                <w:szCs w:val="24"/>
              </w:rPr>
              <w:t>桃園市龜山區壽山路</w:t>
            </w:r>
          </w:p>
        </w:tc>
        <w:tc>
          <w:tcPr>
            <w:tcW w:w="0" w:type="auto"/>
            <w:noWrap/>
            <w:hideMark/>
          </w:tcPr>
          <w:p w:rsidR="00C70F8D" w:rsidRPr="00787854" w:rsidRDefault="00C70F8D" w:rsidP="00C70F8D">
            <w:pPr>
              <w:spacing w:line="0" w:lineRule="atLeast"/>
              <w:ind w:left="1041" w:hanging="10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854">
              <w:rPr>
                <w:rFonts w:ascii="Arial" w:hAnsi="Arial" w:cs="Arial"/>
                <w:color w:val="000000" w:themeColor="text1"/>
                <w:sz w:val="24"/>
                <w:szCs w:val="24"/>
              </w:rPr>
              <w:t>0.54</w:t>
            </w:r>
          </w:p>
        </w:tc>
      </w:tr>
    </w:tbl>
    <w:p w:rsidR="00EE0C30" w:rsidRPr="00EE0C30" w:rsidRDefault="00EE0C30" w:rsidP="00EE0C30">
      <w:pPr>
        <w:pStyle w:val="3"/>
      </w:pPr>
      <w:r>
        <w:rPr>
          <w:rFonts w:hint="eastAsia"/>
        </w:rPr>
        <w:t>據原能會於109年4月7日補充約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後之說明資料：「</w:t>
      </w:r>
      <w:r w:rsidRPr="00EE0C30">
        <w:rPr>
          <w:rFonts w:hint="eastAsia"/>
        </w:rPr>
        <w:t>輻射屋之年劑量，是第1次至現場偵測日期為發現日，並以平常停留之生活特定點，分為三個單元偵測，包含客廳之沙發、臥室之床</w:t>
      </w:r>
      <w:proofErr w:type="gramStart"/>
      <w:r w:rsidRPr="00EE0C30">
        <w:rPr>
          <w:rFonts w:hint="eastAsia"/>
        </w:rPr>
        <w:t>舖</w:t>
      </w:r>
      <w:proofErr w:type="gramEnd"/>
      <w:r w:rsidRPr="00EE0C30">
        <w:rPr>
          <w:rFonts w:hint="eastAsia"/>
        </w:rPr>
        <w:t>、其他（包括書桌椅、餐桌椅、陽台、浴室、廚房等），取其各單元劑量率較高者做為評估依據，並假設每天24小時，1年共計8</w:t>
      </w:r>
      <w:r>
        <w:t>,</w:t>
      </w:r>
      <w:proofErr w:type="gramStart"/>
      <w:r w:rsidRPr="00EE0C30">
        <w:rPr>
          <w:rFonts w:hint="eastAsia"/>
        </w:rPr>
        <w:t>760小時均在建</w:t>
      </w:r>
      <w:r>
        <w:rPr>
          <w:rFonts w:hint="eastAsia"/>
        </w:rPr>
        <w:t>築</w:t>
      </w:r>
      <w:r w:rsidRPr="00EE0C30">
        <w:rPr>
          <w:rFonts w:hint="eastAsia"/>
        </w:rPr>
        <w:t>物</w:t>
      </w:r>
      <w:proofErr w:type="gramEnd"/>
      <w:r w:rsidRPr="00EE0C30">
        <w:rPr>
          <w:rFonts w:hint="eastAsia"/>
        </w:rPr>
        <w:t>內，評估於發現日後居住1年所暴露之年劑量。首次評估後，後續評估皆</w:t>
      </w:r>
      <w:r w:rsidRPr="00EE0C30">
        <w:rPr>
          <w:rFonts w:hint="eastAsia"/>
          <w:b/>
        </w:rPr>
        <w:t>以鈷60</w:t>
      </w:r>
      <w:proofErr w:type="gramStart"/>
      <w:r w:rsidR="00FE0FE5">
        <w:rPr>
          <w:rFonts w:hint="eastAsia"/>
          <w:b/>
        </w:rPr>
        <w:t>放射活度</w:t>
      </w:r>
      <w:r w:rsidRPr="00EE0C30">
        <w:rPr>
          <w:rFonts w:hint="eastAsia"/>
          <w:b/>
        </w:rPr>
        <w:t>衰減</w:t>
      </w:r>
      <w:proofErr w:type="gramEnd"/>
      <w:r w:rsidRPr="00EE0C30">
        <w:rPr>
          <w:rFonts w:hint="eastAsia"/>
          <w:b/>
        </w:rPr>
        <w:t>特性(每5.26年放射性強度衰減一半)</w:t>
      </w:r>
      <w:r w:rsidRPr="00EE0C30">
        <w:rPr>
          <w:rFonts w:hint="eastAsia"/>
        </w:rPr>
        <w:t>及前述評估方式，推估至任一年之年劑量。</w:t>
      </w:r>
      <w:r>
        <w:rPr>
          <w:rFonts w:hint="eastAsia"/>
        </w:rPr>
        <w:t>」</w:t>
      </w:r>
      <w:proofErr w:type="gramStart"/>
      <w:r w:rsidRPr="00417715">
        <w:rPr>
          <w:rFonts w:hint="eastAsia"/>
          <w:b/>
        </w:rPr>
        <w:t>故原能</w:t>
      </w:r>
      <w:proofErr w:type="gramEnd"/>
      <w:r w:rsidRPr="00417715">
        <w:rPr>
          <w:rFonts w:hint="eastAsia"/>
          <w:b/>
        </w:rPr>
        <w:t>會僅於81年輻射屋事件爆發後之全</w:t>
      </w:r>
      <w:r w:rsidRPr="00417715">
        <w:rPr>
          <w:rFonts w:hint="eastAsia"/>
          <w:b/>
        </w:rPr>
        <w:lastRenderedPageBreak/>
        <w:t>國普查</w:t>
      </w:r>
      <w:proofErr w:type="gramStart"/>
      <w:r w:rsidRPr="00417715">
        <w:rPr>
          <w:rFonts w:hint="eastAsia"/>
          <w:b/>
        </w:rPr>
        <w:t>期間，</w:t>
      </w:r>
      <w:proofErr w:type="gramEnd"/>
      <w:r w:rsidRPr="00417715">
        <w:rPr>
          <w:rFonts w:hint="eastAsia"/>
          <w:b/>
        </w:rPr>
        <w:t>進行全面性之檢測，後續每年度之年劑量，</w:t>
      </w:r>
      <w:proofErr w:type="gramStart"/>
      <w:r w:rsidRPr="00417715">
        <w:rPr>
          <w:rFonts w:hint="eastAsia"/>
          <w:b/>
        </w:rPr>
        <w:t>均係以</w:t>
      </w:r>
      <w:proofErr w:type="gramEnd"/>
      <w:r w:rsidR="00417715" w:rsidRPr="00417715">
        <w:rPr>
          <w:rFonts w:hint="eastAsia"/>
          <w:b/>
        </w:rPr>
        <w:t>「</w:t>
      </w:r>
      <w:r w:rsidRPr="00417715">
        <w:rPr>
          <w:rFonts w:hint="eastAsia"/>
          <w:b/>
        </w:rPr>
        <w:t>推估方式</w:t>
      </w:r>
      <w:r w:rsidR="00417715" w:rsidRPr="00417715">
        <w:rPr>
          <w:rFonts w:hint="eastAsia"/>
          <w:b/>
        </w:rPr>
        <w:t>」</w:t>
      </w:r>
      <w:r w:rsidRPr="00417715">
        <w:rPr>
          <w:rFonts w:hint="eastAsia"/>
          <w:b/>
        </w:rPr>
        <w:t>進行，未再辦理實際檢測工作</w:t>
      </w:r>
      <w:r>
        <w:rPr>
          <w:rFonts w:hint="eastAsia"/>
        </w:rPr>
        <w:t>。</w:t>
      </w:r>
    </w:p>
    <w:p w:rsidR="00F779AD" w:rsidRDefault="00B477CE" w:rsidP="00465395">
      <w:pPr>
        <w:pStyle w:val="3"/>
      </w:pPr>
      <w:r>
        <w:rPr>
          <w:rFonts w:hint="eastAsia"/>
        </w:rPr>
        <w:t>而</w:t>
      </w:r>
      <w:r w:rsidR="002A6748">
        <w:rPr>
          <w:rFonts w:hint="eastAsia"/>
        </w:rPr>
        <w:t>據原能會資料</w:t>
      </w:r>
      <w:r w:rsidR="00EA523C">
        <w:rPr>
          <w:rFonts w:hint="eastAsia"/>
        </w:rPr>
        <w:t>顯示</w:t>
      </w:r>
      <w:r w:rsidR="002A6748">
        <w:rPr>
          <w:rFonts w:hint="eastAsia"/>
        </w:rPr>
        <w:t>，有關輻射劑量對人之影響：</w:t>
      </w:r>
      <w:r w:rsidR="007109B7" w:rsidRPr="009121DE">
        <w:rPr>
          <w:rFonts w:hint="eastAsia"/>
          <w:b/>
        </w:rPr>
        <w:t>臺灣</w:t>
      </w:r>
      <w:r w:rsidR="002A6748" w:rsidRPr="009121DE">
        <w:rPr>
          <w:rFonts w:hint="eastAsia"/>
          <w:b/>
        </w:rPr>
        <w:t>地區每人每年接受的天然背景輻射劑量約為1.62毫西</w:t>
      </w:r>
      <w:proofErr w:type="gramStart"/>
      <w:r w:rsidR="002A6748" w:rsidRPr="009121DE">
        <w:rPr>
          <w:rFonts w:hint="eastAsia"/>
          <w:b/>
        </w:rPr>
        <w:t>弗</w:t>
      </w:r>
      <w:proofErr w:type="gramEnd"/>
      <w:r w:rsidR="002A6748" w:rsidRPr="002A6748">
        <w:rPr>
          <w:rFonts w:hint="eastAsia"/>
        </w:rPr>
        <w:t>。</w:t>
      </w:r>
      <w:r w:rsidR="00E74484">
        <w:rPr>
          <w:rFonts w:hint="eastAsia"/>
        </w:rPr>
        <w:t>原能會亦表示，一般民眾年劑量之限值（不含天然背景輻射及醫療劑量）為</w:t>
      </w:r>
      <w:r w:rsidR="00E74484" w:rsidRPr="009121DE">
        <w:rPr>
          <w:rFonts w:hint="eastAsia"/>
          <w:b/>
        </w:rPr>
        <w:t>每年1毫西</w:t>
      </w:r>
      <w:proofErr w:type="gramStart"/>
      <w:r w:rsidR="00E74484" w:rsidRPr="009121DE">
        <w:rPr>
          <w:rFonts w:hint="eastAsia"/>
          <w:b/>
        </w:rPr>
        <w:t>弗</w:t>
      </w:r>
      <w:proofErr w:type="gramEnd"/>
      <w:r w:rsidR="00E74484">
        <w:rPr>
          <w:rFonts w:hint="eastAsia"/>
        </w:rPr>
        <w:t>。</w:t>
      </w:r>
      <w:r w:rsidR="009121DE">
        <w:rPr>
          <w:rFonts w:hint="eastAsia"/>
        </w:rPr>
        <w:t>且</w:t>
      </w:r>
      <w:r w:rsidR="00EE2DE8">
        <w:rPr>
          <w:rFonts w:hint="eastAsia"/>
        </w:rPr>
        <w:t>依據原能會提供本院最新輻射劑量推估值，結合符合適人居住環境之1毫西</w:t>
      </w:r>
      <w:proofErr w:type="gramStart"/>
      <w:r w:rsidR="00EE2DE8">
        <w:rPr>
          <w:rFonts w:hint="eastAsia"/>
        </w:rPr>
        <w:t>弗</w:t>
      </w:r>
      <w:proofErr w:type="gramEnd"/>
      <w:r w:rsidR="00EE2DE8">
        <w:rPr>
          <w:rFonts w:hint="eastAsia"/>
        </w:rPr>
        <w:t>劑量，截至109年6月10日，</w:t>
      </w:r>
      <w:r w:rsidR="00EE2DE8" w:rsidRPr="004F62ED">
        <w:rPr>
          <w:rFonts w:hint="eastAsia"/>
          <w:b/>
        </w:rPr>
        <w:t>目前閒置現存之49戶國有房屋，有31戶已低於1毫西</w:t>
      </w:r>
      <w:proofErr w:type="gramStart"/>
      <w:r w:rsidR="00EE2DE8" w:rsidRPr="004F62ED">
        <w:rPr>
          <w:rFonts w:hint="eastAsia"/>
          <w:b/>
        </w:rPr>
        <w:t>弗</w:t>
      </w:r>
      <w:proofErr w:type="gramEnd"/>
      <w:r w:rsidR="00EE2DE8">
        <w:rPr>
          <w:rFonts w:hint="eastAsia"/>
        </w:rPr>
        <w:t>，惟此係以推估方式進行，</w:t>
      </w:r>
      <w:proofErr w:type="gramStart"/>
      <w:r w:rsidR="00EE2DE8">
        <w:rPr>
          <w:rFonts w:hint="eastAsia"/>
        </w:rPr>
        <w:t>故原能</w:t>
      </w:r>
      <w:proofErr w:type="gramEnd"/>
      <w:r w:rsidR="00EE2DE8">
        <w:rPr>
          <w:rFonts w:hint="eastAsia"/>
        </w:rPr>
        <w:t>會應委託實際專業檢測單位進行實地測量，倘係與推估相符（低於1毫西</w:t>
      </w:r>
      <w:proofErr w:type="gramStart"/>
      <w:r w:rsidR="00EE2DE8">
        <w:rPr>
          <w:rFonts w:hint="eastAsia"/>
        </w:rPr>
        <w:t>弗</w:t>
      </w:r>
      <w:proofErr w:type="gramEnd"/>
      <w:r w:rsidR="00EE2DE8">
        <w:rPr>
          <w:rFonts w:hint="eastAsia"/>
        </w:rPr>
        <w:t>），則應將專業檢測報告移請國產署辦理後續活化相關事宜</w:t>
      </w:r>
      <w:r w:rsidR="00C5440B">
        <w:rPr>
          <w:rFonts w:hint="eastAsia"/>
        </w:rPr>
        <w:t>，以符合游離輻射防護法第25條「為保障民眾生命財產安全，建築物有遭受放射性污染之虞者，其移轉應出示輻射偵測證明。…</w:t>
      </w:r>
      <w:proofErr w:type="gramStart"/>
      <w:r w:rsidR="00C5440B">
        <w:rPr>
          <w:rFonts w:hint="eastAsia"/>
        </w:rPr>
        <w:t>…</w:t>
      </w:r>
      <w:proofErr w:type="gramEnd"/>
      <w:r w:rsidR="00C5440B">
        <w:rPr>
          <w:rFonts w:hint="eastAsia"/>
        </w:rPr>
        <w:t>第1項之</w:t>
      </w:r>
      <w:r w:rsidR="00C5440B" w:rsidRPr="009121DE">
        <w:rPr>
          <w:rFonts w:hint="eastAsia"/>
          <w:b/>
        </w:rPr>
        <w:t>輻射偵測證明，應由主管機關</w:t>
      </w:r>
      <w:r w:rsidR="00C5440B">
        <w:rPr>
          <w:rStyle w:val="aff0"/>
          <w:b/>
        </w:rPr>
        <w:footnoteReference w:id="1"/>
      </w:r>
      <w:r w:rsidR="00C5440B">
        <w:rPr>
          <w:rFonts w:hint="eastAsia"/>
        </w:rPr>
        <w:t>或經主管機關認可之機關(構)或團體</w:t>
      </w:r>
      <w:r w:rsidR="00C5440B" w:rsidRPr="009121DE">
        <w:rPr>
          <w:rFonts w:hint="eastAsia"/>
          <w:b/>
        </w:rPr>
        <w:t>開立之。</w:t>
      </w:r>
      <w:r w:rsidR="00C5440B">
        <w:rPr>
          <w:rFonts w:hint="eastAsia"/>
        </w:rPr>
        <w:t>…</w:t>
      </w:r>
      <w:proofErr w:type="gramStart"/>
      <w:r w:rsidR="00C5440B">
        <w:rPr>
          <w:rFonts w:hint="eastAsia"/>
        </w:rPr>
        <w:t>…</w:t>
      </w:r>
      <w:proofErr w:type="gramEnd"/>
      <w:r w:rsidR="00C5440B">
        <w:rPr>
          <w:rFonts w:hint="eastAsia"/>
        </w:rPr>
        <w:t>」</w:t>
      </w:r>
      <w:r w:rsidR="009121DE">
        <w:rPr>
          <w:rFonts w:hint="eastAsia"/>
        </w:rPr>
        <w:t>之規定。</w:t>
      </w:r>
    </w:p>
    <w:p w:rsidR="00090A4B" w:rsidRPr="00090A4B" w:rsidRDefault="00066798" w:rsidP="0071747B">
      <w:pPr>
        <w:pStyle w:val="3"/>
      </w:pPr>
      <w:r>
        <w:rPr>
          <w:rFonts w:hint="eastAsia"/>
        </w:rPr>
        <w:t>綜上，</w:t>
      </w:r>
      <w:r w:rsidR="00090A4B" w:rsidRPr="00090A4B">
        <w:rPr>
          <w:rFonts w:hint="eastAsia"/>
        </w:rPr>
        <w:t>原能會</w:t>
      </w:r>
      <w:r w:rsidR="0071747B" w:rsidRPr="0071747B">
        <w:rPr>
          <w:rFonts w:hint="eastAsia"/>
        </w:rPr>
        <w:t>自81年輻射屋事件爆發後，經行政院核定訂定「輻射污染建築物事件防範及處理辦法」施行後，依該處理辦法之規定，收購年劑量高達15毫西</w:t>
      </w:r>
      <w:proofErr w:type="gramStart"/>
      <w:r w:rsidR="0071747B" w:rsidRPr="0071747B">
        <w:rPr>
          <w:rFonts w:hint="eastAsia"/>
        </w:rPr>
        <w:t>弗</w:t>
      </w:r>
      <w:proofErr w:type="gramEnd"/>
      <w:r w:rsidR="0071747B" w:rsidRPr="0071747B">
        <w:rPr>
          <w:rFonts w:hint="eastAsia"/>
        </w:rPr>
        <w:t>以上之輻射屋共計98戶，除已拆除45戶、已改善4戶外，其餘49戶國有房屋閒置迄今，截至109年6月10日本院調查</w:t>
      </w:r>
      <w:proofErr w:type="gramStart"/>
      <w:r w:rsidR="0071747B" w:rsidRPr="0071747B">
        <w:rPr>
          <w:rFonts w:hint="eastAsia"/>
        </w:rPr>
        <w:t>期間，</w:t>
      </w:r>
      <w:proofErr w:type="gramEnd"/>
      <w:r w:rsidR="0071747B" w:rsidRPr="0071747B">
        <w:rPr>
          <w:rFonts w:hint="eastAsia"/>
        </w:rPr>
        <w:t>輻射劑量低於法定生活</w:t>
      </w:r>
      <w:r w:rsidR="0071747B" w:rsidRPr="0008494C">
        <w:rPr>
          <w:rFonts w:hint="eastAsia"/>
          <w:b/>
        </w:rPr>
        <w:t>環境背景值1毫西</w:t>
      </w:r>
      <w:proofErr w:type="gramStart"/>
      <w:r w:rsidR="0071747B" w:rsidRPr="0008494C">
        <w:rPr>
          <w:rFonts w:hint="eastAsia"/>
          <w:b/>
        </w:rPr>
        <w:t>弗</w:t>
      </w:r>
      <w:proofErr w:type="gramEnd"/>
      <w:r w:rsidR="0071747B" w:rsidRPr="0008494C">
        <w:rPr>
          <w:rFonts w:hint="eastAsia"/>
          <w:b/>
        </w:rPr>
        <w:t>以下計有31戶（占63.27％）</w:t>
      </w:r>
      <w:r w:rsidR="0071747B" w:rsidRPr="0071747B">
        <w:rPr>
          <w:rFonts w:hint="eastAsia"/>
        </w:rPr>
        <w:t>、1~2毫西</w:t>
      </w:r>
      <w:proofErr w:type="gramStart"/>
      <w:r w:rsidR="0071747B" w:rsidRPr="0071747B">
        <w:rPr>
          <w:rFonts w:hint="eastAsia"/>
        </w:rPr>
        <w:t>弗</w:t>
      </w:r>
      <w:proofErr w:type="gramEnd"/>
      <w:r w:rsidR="0071747B" w:rsidRPr="0071747B">
        <w:rPr>
          <w:rFonts w:hint="eastAsia"/>
        </w:rPr>
        <w:t>計有12戶（占24.49％）、2~3毫西</w:t>
      </w:r>
      <w:proofErr w:type="gramStart"/>
      <w:r w:rsidR="0071747B" w:rsidRPr="0071747B">
        <w:rPr>
          <w:rFonts w:hint="eastAsia"/>
        </w:rPr>
        <w:t>弗</w:t>
      </w:r>
      <w:proofErr w:type="gramEnd"/>
      <w:r w:rsidR="0071747B" w:rsidRPr="0071747B">
        <w:rPr>
          <w:rFonts w:hint="eastAsia"/>
        </w:rPr>
        <w:t>計有5戶（占10.20％）、3毫西</w:t>
      </w:r>
      <w:proofErr w:type="gramStart"/>
      <w:r w:rsidR="0071747B" w:rsidRPr="0071747B">
        <w:rPr>
          <w:rFonts w:hint="eastAsia"/>
        </w:rPr>
        <w:t>弗</w:t>
      </w:r>
      <w:proofErr w:type="gramEnd"/>
      <w:r w:rsidR="0071747B" w:rsidRPr="0071747B">
        <w:rPr>
          <w:rFonts w:hint="eastAsia"/>
        </w:rPr>
        <w:t>以上計有1戶（占2.04</w:t>
      </w:r>
      <w:r w:rsidR="0071747B" w:rsidRPr="0071747B">
        <w:rPr>
          <w:rFonts w:hint="eastAsia"/>
        </w:rPr>
        <w:lastRenderedPageBreak/>
        <w:t>％），原</w:t>
      </w:r>
      <w:proofErr w:type="gramStart"/>
      <w:r w:rsidR="0071747B" w:rsidRPr="0071747B">
        <w:rPr>
          <w:rFonts w:hint="eastAsia"/>
        </w:rPr>
        <w:t>能會允應</w:t>
      </w:r>
      <w:proofErr w:type="gramEnd"/>
      <w:r w:rsidR="0071747B" w:rsidRPr="0071747B">
        <w:rPr>
          <w:rFonts w:hint="eastAsia"/>
        </w:rPr>
        <w:t>重新委託專業檢測機構，確定安全無虞、符合法規適合人居之國有房屋，連同專業檢測報告，考量輻射建物社區更新之整體規劃，移請國產署依法辦理後續活化事</w:t>
      </w:r>
      <w:r w:rsidR="00090A4B" w:rsidRPr="00090A4B">
        <w:rPr>
          <w:rFonts w:hint="eastAsia"/>
        </w:rPr>
        <w:t>宜</w:t>
      </w:r>
      <w:r w:rsidR="00090A4B">
        <w:rPr>
          <w:rFonts w:hint="eastAsia"/>
        </w:rPr>
        <w:t>。</w:t>
      </w:r>
    </w:p>
    <w:p w:rsidR="00497708" w:rsidRDefault="00BC7B0F" w:rsidP="00C57C23">
      <w:pPr>
        <w:pStyle w:val="2"/>
        <w:numPr>
          <w:ilvl w:val="1"/>
          <w:numId w:val="1"/>
        </w:numPr>
        <w:spacing w:beforeLines="50" w:before="228"/>
        <w:ind w:left="1020" w:hanging="680"/>
        <w:rPr>
          <w:b/>
        </w:rPr>
      </w:pPr>
      <w:r w:rsidRPr="00A35AF3">
        <w:rPr>
          <w:rFonts w:hint="eastAsia"/>
          <w:b/>
        </w:rPr>
        <w:t>行政院原子能委員會</w:t>
      </w:r>
      <w:r w:rsidR="006E79BD">
        <w:rPr>
          <w:rFonts w:hint="eastAsia"/>
          <w:b/>
        </w:rPr>
        <w:t>為維護輻射屋居民之健康，多年來委託臺大醫院、彰化基督教醫院辦理年劑量大於5毫西</w:t>
      </w:r>
      <w:proofErr w:type="gramStart"/>
      <w:r w:rsidR="006E79BD">
        <w:rPr>
          <w:rFonts w:hint="eastAsia"/>
          <w:b/>
        </w:rPr>
        <w:t>弗</w:t>
      </w:r>
      <w:proofErr w:type="gramEnd"/>
      <w:r w:rsidR="006E79BD">
        <w:rPr>
          <w:rFonts w:hint="eastAsia"/>
          <w:b/>
        </w:rPr>
        <w:t>居民之健康檢查業務，而臺北市政府亦同步委託所屬市立醫院辦理該市1~5毫西</w:t>
      </w:r>
      <w:proofErr w:type="gramStart"/>
      <w:r w:rsidR="006E79BD">
        <w:rPr>
          <w:rFonts w:hint="eastAsia"/>
          <w:b/>
        </w:rPr>
        <w:t>弗</w:t>
      </w:r>
      <w:proofErr w:type="gramEnd"/>
      <w:r w:rsidR="006E79BD">
        <w:rPr>
          <w:rFonts w:hint="eastAsia"/>
          <w:b/>
        </w:rPr>
        <w:t>居民之</w:t>
      </w:r>
      <w:proofErr w:type="gramStart"/>
      <w:r w:rsidR="006E79BD">
        <w:rPr>
          <w:rFonts w:hint="eastAsia"/>
          <w:b/>
        </w:rPr>
        <w:t>健檢長達</w:t>
      </w:r>
      <w:proofErr w:type="gramEnd"/>
      <w:r w:rsidR="006E79BD">
        <w:rPr>
          <w:rFonts w:hint="eastAsia"/>
          <w:b/>
        </w:rPr>
        <w:t>20</w:t>
      </w:r>
      <w:r w:rsidR="00273CF3">
        <w:rPr>
          <w:rFonts w:hint="eastAsia"/>
          <w:b/>
        </w:rPr>
        <w:t>餘年，有關</w:t>
      </w:r>
      <w:proofErr w:type="gramStart"/>
      <w:r w:rsidR="00273CF3">
        <w:rPr>
          <w:rFonts w:hint="eastAsia"/>
          <w:b/>
        </w:rPr>
        <w:t>攸</w:t>
      </w:r>
      <w:proofErr w:type="gramEnd"/>
      <w:r w:rsidR="00273CF3">
        <w:rPr>
          <w:rFonts w:hint="eastAsia"/>
          <w:b/>
        </w:rPr>
        <w:t>關輻射屋居民健康權益的健康管理及數據分散於各受託醫院內。行政院允應督導所屬</w:t>
      </w:r>
      <w:r w:rsidR="006E79BD">
        <w:rPr>
          <w:rFonts w:hint="eastAsia"/>
          <w:b/>
        </w:rPr>
        <w:t>原</w:t>
      </w:r>
      <w:r w:rsidR="00273CF3">
        <w:rPr>
          <w:rFonts w:hint="eastAsia"/>
          <w:b/>
        </w:rPr>
        <w:t>子能委員</w:t>
      </w:r>
      <w:r w:rsidR="006E79BD">
        <w:rPr>
          <w:rFonts w:hint="eastAsia"/>
          <w:b/>
        </w:rPr>
        <w:t>會</w:t>
      </w:r>
      <w:r w:rsidR="00273CF3">
        <w:rPr>
          <w:rFonts w:hint="eastAsia"/>
          <w:b/>
        </w:rPr>
        <w:t>、</w:t>
      </w:r>
      <w:r w:rsidR="006E79BD">
        <w:rPr>
          <w:rFonts w:hint="eastAsia"/>
          <w:b/>
        </w:rPr>
        <w:t>衛生福利部</w:t>
      </w:r>
      <w:r w:rsidR="00273CF3">
        <w:rPr>
          <w:rFonts w:hint="eastAsia"/>
          <w:b/>
        </w:rPr>
        <w:t>，協調</w:t>
      </w:r>
      <w:r w:rsidR="006E79BD">
        <w:rPr>
          <w:rFonts w:hint="eastAsia"/>
          <w:b/>
        </w:rPr>
        <w:t>臺北市</w:t>
      </w:r>
      <w:r w:rsidR="00BC1A1D">
        <w:rPr>
          <w:rFonts w:hint="eastAsia"/>
          <w:b/>
        </w:rPr>
        <w:t>、新北市、桃園市、基隆市</w:t>
      </w:r>
      <w:r w:rsidR="00273CF3">
        <w:rPr>
          <w:rFonts w:hint="eastAsia"/>
          <w:b/>
        </w:rPr>
        <w:t>等輻射屋當地政府</w:t>
      </w:r>
      <w:r w:rsidR="006E79BD">
        <w:rPr>
          <w:rFonts w:hint="eastAsia"/>
          <w:b/>
        </w:rPr>
        <w:t>、以及各受託醫院聯合集思廣益，運用該等龐大數據，</w:t>
      </w:r>
      <w:r w:rsidR="00373D6C">
        <w:rPr>
          <w:rFonts w:hint="eastAsia"/>
          <w:b/>
        </w:rPr>
        <w:t>與時俱進、</w:t>
      </w:r>
      <w:r w:rsidR="006E79BD">
        <w:rPr>
          <w:rFonts w:hint="eastAsia"/>
          <w:b/>
        </w:rPr>
        <w:t>改善</w:t>
      </w:r>
      <w:r w:rsidR="00373D6C">
        <w:rPr>
          <w:rFonts w:hint="eastAsia"/>
          <w:b/>
        </w:rPr>
        <w:t>與</w:t>
      </w:r>
      <w:r w:rsidR="006E79BD">
        <w:rPr>
          <w:rFonts w:hint="eastAsia"/>
          <w:b/>
        </w:rPr>
        <w:t>精進</w:t>
      </w:r>
      <w:r w:rsidR="00273CF3">
        <w:rPr>
          <w:rFonts w:hint="eastAsia"/>
          <w:b/>
        </w:rPr>
        <w:t>健康</w:t>
      </w:r>
      <w:proofErr w:type="gramStart"/>
      <w:r w:rsidR="00273CF3">
        <w:rPr>
          <w:rFonts w:hint="eastAsia"/>
          <w:b/>
        </w:rPr>
        <w:t>照護</w:t>
      </w:r>
      <w:r w:rsidR="006E79BD">
        <w:rPr>
          <w:rFonts w:hint="eastAsia"/>
          <w:b/>
        </w:rPr>
        <w:t>健檢</w:t>
      </w:r>
      <w:proofErr w:type="gramEnd"/>
      <w:r w:rsidR="006E79BD">
        <w:rPr>
          <w:rFonts w:hint="eastAsia"/>
          <w:b/>
        </w:rPr>
        <w:t>項目、建立聯合資料庫，使後續研究人員或學者能有所用，以發揮最大之功能</w:t>
      </w:r>
      <w:r w:rsidR="009819A0">
        <w:rPr>
          <w:rFonts w:hint="eastAsia"/>
          <w:b/>
        </w:rPr>
        <w:t>，</w:t>
      </w:r>
      <w:proofErr w:type="gramStart"/>
      <w:r w:rsidR="009819A0">
        <w:rPr>
          <w:rFonts w:hint="eastAsia"/>
          <w:b/>
        </w:rPr>
        <w:t>俾符實</w:t>
      </w:r>
      <w:proofErr w:type="gramEnd"/>
      <w:r w:rsidR="009819A0">
        <w:rPr>
          <w:rFonts w:hint="eastAsia"/>
          <w:b/>
        </w:rPr>
        <w:t>需</w:t>
      </w:r>
    </w:p>
    <w:p w:rsidR="00ED70F1" w:rsidRDefault="00815BB4" w:rsidP="00384BA0">
      <w:pPr>
        <w:pStyle w:val="3"/>
      </w:pPr>
      <w:r>
        <w:rPr>
          <w:rFonts w:hint="eastAsia"/>
        </w:rPr>
        <w:t>原能會於</w:t>
      </w:r>
      <w:r w:rsidR="00C5440B">
        <w:rPr>
          <w:rFonts w:hint="eastAsia"/>
        </w:rPr>
        <w:t>83年6月1日</w:t>
      </w:r>
      <w:r w:rsidR="00FC542D">
        <w:rPr>
          <w:rFonts w:hint="eastAsia"/>
        </w:rPr>
        <w:t>以（83）</w:t>
      </w:r>
      <w:proofErr w:type="gramStart"/>
      <w:r w:rsidR="00FC542D">
        <w:rPr>
          <w:rFonts w:hint="eastAsia"/>
        </w:rPr>
        <w:t>會法字第10830</w:t>
      </w:r>
      <w:proofErr w:type="gramEnd"/>
      <w:r w:rsidR="00FC542D">
        <w:rPr>
          <w:rFonts w:hint="eastAsia"/>
        </w:rPr>
        <w:t>號令訂定</w:t>
      </w:r>
      <w:r w:rsidR="00C5440B">
        <w:rPr>
          <w:rFonts w:hint="eastAsia"/>
        </w:rPr>
        <w:t>發布施行之「輻射污染建築物事件防範及處理辦法」第9條規定：「輻射污染建築物之居民，任一年所受輻射劑量在</w:t>
      </w:r>
      <w:r w:rsidR="00C5440B" w:rsidRPr="00384BA0">
        <w:rPr>
          <w:rFonts w:hint="eastAsia"/>
          <w:b/>
        </w:rPr>
        <w:t>5毫西</w:t>
      </w:r>
      <w:proofErr w:type="gramStart"/>
      <w:r w:rsidR="00C5440B" w:rsidRPr="00384BA0">
        <w:rPr>
          <w:rFonts w:hint="eastAsia"/>
          <w:b/>
        </w:rPr>
        <w:t>弗</w:t>
      </w:r>
      <w:proofErr w:type="gramEnd"/>
      <w:r w:rsidR="00C5440B" w:rsidRPr="00384BA0">
        <w:rPr>
          <w:rFonts w:hint="eastAsia"/>
          <w:b/>
        </w:rPr>
        <w:t>以上</w:t>
      </w:r>
      <w:r w:rsidR="00C5440B">
        <w:rPr>
          <w:rFonts w:hint="eastAsia"/>
        </w:rPr>
        <w:t>者，主管機關</w:t>
      </w:r>
      <w:r w:rsidR="00FC542D">
        <w:rPr>
          <w:rStyle w:val="aff0"/>
        </w:rPr>
        <w:footnoteReference w:id="2"/>
      </w:r>
      <w:r w:rsidR="00C5440B">
        <w:rPr>
          <w:rFonts w:hint="eastAsia"/>
        </w:rPr>
        <w:t>應通知中央衛生主管機關</w:t>
      </w:r>
      <w:r w:rsidR="00C5440B" w:rsidRPr="00384BA0">
        <w:rPr>
          <w:rFonts w:hint="eastAsia"/>
          <w:b/>
        </w:rPr>
        <w:t>免費辦理健康檢查</w:t>
      </w:r>
      <w:r w:rsidR="00C5440B">
        <w:rPr>
          <w:rFonts w:hint="eastAsia"/>
        </w:rPr>
        <w:t>。依據健康檢查結果，如發現有因輻射導致傷害或病變之虞者，應予長期追縱。</w:t>
      </w:r>
      <w:r w:rsidR="00C5440B" w:rsidRPr="00384BA0">
        <w:rPr>
          <w:rFonts w:hint="eastAsia"/>
          <w:b/>
        </w:rPr>
        <w:t>前項健康檢查項目，由中央衛生主管機關定之。</w:t>
      </w:r>
      <w:r w:rsidR="00C5440B">
        <w:rPr>
          <w:rFonts w:hint="eastAsia"/>
        </w:rPr>
        <w:t>」</w:t>
      </w:r>
    </w:p>
    <w:p w:rsidR="00BC7B0F" w:rsidRDefault="00384BA0" w:rsidP="00384BA0">
      <w:pPr>
        <w:pStyle w:val="3"/>
      </w:pPr>
      <w:r>
        <w:rPr>
          <w:rFonts w:hint="eastAsia"/>
        </w:rPr>
        <w:t>臺北市政府亦於84年9月5日</w:t>
      </w:r>
      <w:r w:rsidR="00ED70F1">
        <w:rPr>
          <w:rFonts w:hint="eastAsia"/>
        </w:rPr>
        <w:t>以（84）</w:t>
      </w:r>
      <w:proofErr w:type="gramStart"/>
      <w:r w:rsidR="00ED70F1">
        <w:rPr>
          <w:rFonts w:hint="eastAsia"/>
        </w:rPr>
        <w:t>府法</w:t>
      </w:r>
      <w:proofErr w:type="gramEnd"/>
      <w:r w:rsidR="00ED70F1">
        <w:rPr>
          <w:rFonts w:hint="eastAsia"/>
        </w:rPr>
        <w:t>三字第84052758號令</w:t>
      </w:r>
      <w:r>
        <w:rPr>
          <w:rFonts w:hint="eastAsia"/>
        </w:rPr>
        <w:t>訂定發布施行「臺北市輻射污染建築物事件善後處理辦法</w:t>
      </w:r>
      <w:r w:rsidR="009923DE">
        <w:rPr>
          <w:rStyle w:val="aff0"/>
        </w:rPr>
        <w:footnoteReference w:id="3"/>
      </w:r>
      <w:r>
        <w:rPr>
          <w:rFonts w:hint="eastAsia"/>
        </w:rPr>
        <w:t>」，該辦法第3條規定：「（第1</w:t>
      </w:r>
      <w:r>
        <w:rPr>
          <w:rFonts w:hint="eastAsia"/>
        </w:rPr>
        <w:lastRenderedPageBreak/>
        <w:t>項）居住本市輻射污染建築物之市民，任一年所受輻射劑量在5毫西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以上者，其健康檢查依輻射污染建築物事件防範及處理辦法規定辦理。（第2項）居住本市輻射污染建築物之市民，任一年所受輻射劑量</w:t>
      </w:r>
      <w:r w:rsidRPr="00815BB4">
        <w:rPr>
          <w:rFonts w:hint="eastAsia"/>
          <w:b/>
        </w:rPr>
        <w:t>在1毫西</w:t>
      </w:r>
      <w:proofErr w:type="gramStart"/>
      <w:r w:rsidRPr="00815BB4">
        <w:rPr>
          <w:rFonts w:hint="eastAsia"/>
          <w:b/>
        </w:rPr>
        <w:t>弗</w:t>
      </w:r>
      <w:proofErr w:type="gramEnd"/>
      <w:r w:rsidRPr="00815BB4">
        <w:rPr>
          <w:rFonts w:hint="eastAsia"/>
          <w:b/>
        </w:rPr>
        <w:t>，以未達</w:t>
      </w:r>
      <w:r w:rsidR="00815BB4" w:rsidRPr="00815BB4">
        <w:rPr>
          <w:rFonts w:hint="eastAsia"/>
          <w:b/>
        </w:rPr>
        <w:t>5</w:t>
      </w:r>
      <w:r w:rsidRPr="00815BB4">
        <w:rPr>
          <w:rFonts w:hint="eastAsia"/>
          <w:b/>
        </w:rPr>
        <w:t>毫西</w:t>
      </w:r>
      <w:proofErr w:type="gramStart"/>
      <w:r w:rsidRPr="00815BB4">
        <w:rPr>
          <w:rFonts w:hint="eastAsia"/>
          <w:b/>
        </w:rPr>
        <w:t>弗</w:t>
      </w:r>
      <w:proofErr w:type="gramEnd"/>
      <w:r w:rsidRPr="00815BB4">
        <w:rPr>
          <w:rFonts w:hint="eastAsia"/>
          <w:b/>
        </w:rPr>
        <w:t>者</w:t>
      </w:r>
      <w:r>
        <w:rPr>
          <w:rFonts w:hint="eastAsia"/>
        </w:rPr>
        <w:t>，主管機關</w:t>
      </w:r>
      <w:r w:rsidR="00F1744E">
        <w:rPr>
          <w:rStyle w:val="aff0"/>
        </w:rPr>
        <w:footnoteReference w:id="4"/>
      </w:r>
      <w:r>
        <w:rPr>
          <w:rFonts w:hint="eastAsia"/>
        </w:rPr>
        <w:t>應</w:t>
      </w:r>
      <w:r w:rsidRPr="00815BB4">
        <w:rPr>
          <w:rFonts w:hint="eastAsia"/>
          <w:b/>
        </w:rPr>
        <w:t>免費辦理健康檢查</w:t>
      </w:r>
      <w:r>
        <w:rPr>
          <w:rFonts w:hint="eastAsia"/>
        </w:rPr>
        <w:t>。依據健康檢查結果，如發現有因輻射導致傷害或病變之虞者，應予長期追蹤。（第3項）前項健康檢查項目，由主管機關定之。」</w:t>
      </w:r>
    </w:p>
    <w:p w:rsidR="009A3546" w:rsidRDefault="009923DE" w:rsidP="00EE22BF">
      <w:pPr>
        <w:pStyle w:val="3"/>
      </w:pPr>
      <w:r>
        <w:rPr>
          <w:rFonts w:hint="eastAsia"/>
        </w:rPr>
        <w:t>原能會</w:t>
      </w:r>
      <w:r w:rsidR="009A3546">
        <w:rPr>
          <w:rFonts w:hint="eastAsia"/>
        </w:rPr>
        <w:t>自88年委託臺大醫院與彰化基督教醫院，接受劑量大於5毫西</w:t>
      </w:r>
      <w:proofErr w:type="gramStart"/>
      <w:r w:rsidR="009A3546">
        <w:rPr>
          <w:rFonts w:hint="eastAsia"/>
        </w:rPr>
        <w:t>弗</w:t>
      </w:r>
      <w:proofErr w:type="gramEnd"/>
      <w:r w:rsidR="009A3546">
        <w:rPr>
          <w:rFonts w:hint="eastAsia"/>
        </w:rPr>
        <w:t>居民辦理健康檢查，每年約650人至700人</w:t>
      </w:r>
      <w:proofErr w:type="gramStart"/>
      <w:r w:rsidR="009A3546">
        <w:rPr>
          <w:rFonts w:hint="eastAsia"/>
        </w:rPr>
        <w:t>之間</w:t>
      </w:r>
      <w:r w:rsidR="006802D6">
        <w:rPr>
          <w:rFonts w:hint="eastAsia"/>
        </w:rPr>
        <w:t>，</w:t>
      </w:r>
      <w:proofErr w:type="gramEnd"/>
      <w:r w:rsidR="006802D6">
        <w:rPr>
          <w:rFonts w:hint="eastAsia"/>
        </w:rPr>
        <w:t>詳細健檢人數及到檢率如</w:t>
      </w:r>
      <w:r w:rsidR="00224857">
        <w:rPr>
          <w:rFonts w:hint="eastAsia"/>
        </w:rPr>
        <w:t>下表2</w:t>
      </w:r>
      <w:r>
        <w:rPr>
          <w:rFonts w:hint="eastAsia"/>
        </w:rPr>
        <w:t>。</w:t>
      </w:r>
      <w:r w:rsidR="009A3546">
        <w:rPr>
          <w:rFonts w:hint="eastAsia"/>
        </w:rPr>
        <w:t>108年起，</w:t>
      </w:r>
      <w:r>
        <w:rPr>
          <w:rFonts w:hint="eastAsia"/>
        </w:rPr>
        <w:t>原能會</w:t>
      </w:r>
      <w:r w:rsidR="009A3546">
        <w:rPr>
          <w:rFonts w:hint="eastAsia"/>
        </w:rPr>
        <w:t>委託慈濟大學辦理，請劑量介於1-5毫西</w:t>
      </w:r>
      <w:proofErr w:type="gramStart"/>
      <w:r w:rsidR="009A3546">
        <w:rPr>
          <w:rFonts w:hint="eastAsia"/>
        </w:rPr>
        <w:t>弗</w:t>
      </w:r>
      <w:proofErr w:type="gramEnd"/>
      <w:r w:rsidR="009A3546">
        <w:rPr>
          <w:rFonts w:hint="eastAsia"/>
        </w:rPr>
        <w:t>之</w:t>
      </w:r>
      <w:r>
        <w:rPr>
          <w:rFonts w:hint="eastAsia"/>
        </w:rPr>
        <w:t>臺北市以外</w:t>
      </w:r>
      <w:r w:rsidR="009A3546">
        <w:rPr>
          <w:rFonts w:hint="eastAsia"/>
        </w:rPr>
        <w:t>居民，可到新店慈濟醫院、</w:t>
      </w:r>
      <w:proofErr w:type="gramStart"/>
      <w:r w:rsidR="009A3546">
        <w:rPr>
          <w:rFonts w:hint="eastAsia"/>
        </w:rPr>
        <w:t>衛福部</w:t>
      </w:r>
      <w:proofErr w:type="gramEnd"/>
      <w:r w:rsidR="009A3546">
        <w:rPr>
          <w:rFonts w:hint="eastAsia"/>
        </w:rPr>
        <w:t>桃園醫院、</w:t>
      </w:r>
      <w:proofErr w:type="gramStart"/>
      <w:r w:rsidR="009A3546">
        <w:rPr>
          <w:rFonts w:hint="eastAsia"/>
        </w:rPr>
        <w:t>臺</w:t>
      </w:r>
      <w:proofErr w:type="gramEnd"/>
      <w:r w:rsidR="009A3546">
        <w:rPr>
          <w:rFonts w:hint="eastAsia"/>
        </w:rPr>
        <w:t>中慈濟醫院辦理健康檢查</w:t>
      </w:r>
      <w:r>
        <w:rPr>
          <w:rFonts w:hint="eastAsia"/>
        </w:rPr>
        <w:t>（</w:t>
      </w:r>
      <w:r w:rsidR="009A3546">
        <w:rPr>
          <w:rFonts w:hint="eastAsia"/>
        </w:rPr>
        <w:t>108年委託慈濟大學辦理，健康檢查總人數為55</w:t>
      </w:r>
      <w:r>
        <w:rPr>
          <w:rFonts w:hint="eastAsia"/>
        </w:rPr>
        <w:t>人）。</w:t>
      </w:r>
    </w:p>
    <w:p w:rsidR="00E27FE2" w:rsidRDefault="0069258B" w:rsidP="0069258B">
      <w:pPr>
        <w:pStyle w:val="a3"/>
        <w:jc w:val="center"/>
      </w:pPr>
      <w:r w:rsidRPr="0069258B">
        <w:rPr>
          <w:rFonts w:hint="eastAsia"/>
        </w:rPr>
        <w:t>符合健檢資格總人數、累積死亡人數與到檢率統計表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417"/>
        <w:gridCol w:w="1134"/>
        <w:gridCol w:w="1134"/>
        <w:gridCol w:w="1276"/>
        <w:gridCol w:w="1134"/>
      </w:tblGrid>
      <w:tr w:rsidR="0069258B" w:rsidRPr="0069258B" w:rsidTr="0011490C">
        <w:tc>
          <w:tcPr>
            <w:tcW w:w="567" w:type="dxa"/>
            <w:vMerge w:val="restart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1418" w:type="dxa"/>
            <w:vMerge w:val="restart"/>
            <w:vAlign w:val="center"/>
          </w:tcPr>
          <w:p w:rsidR="0069258B" w:rsidRPr="0011490C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11490C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原始登記符合健檢人數</w:t>
            </w:r>
          </w:p>
        </w:tc>
        <w:tc>
          <w:tcPr>
            <w:tcW w:w="992" w:type="dxa"/>
            <w:vMerge w:val="restart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累積死亡人數</w:t>
            </w:r>
          </w:p>
        </w:tc>
        <w:tc>
          <w:tcPr>
            <w:tcW w:w="1417" w:type="dxa"/>
            <w:vMerge w:val="restart"/>
            <w:vAlign w:val="center"/>
          </w:tcPr>
          <w:p w:rsidR="0069258B" w:rsidRPr="0011490C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11490C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當年度符合健檢人數</w:t>
            </w:r>
          </w:p>
        </w:tc>
        <w:tc>
          <w:tcPr>
            <w:tcW w:w="2268" w:type="dxa"/>
            <w:gridSpan w:val="2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彰化基督教醫院</w:t>
            </w:r>
          </w:p>
        </w:tc>
        <w:tc>
          <w:tcPr>
            <w:tcW w:w="2410" w:type="dxa"/>
            <w:gridSpan w:val="2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臺大醫院</w:t>
            </w:r>
          </w:p>
        </w:tc>
      </w:tr>
      <w:tr w:rsidR="0069258B" w:rsidRPr="0069258B" w:rsidTr="00BC231F">
        <w:tc>
          <w:tcPr>
            <w:tcW w:w="567" w:type="dxa"/>
            <w:vMerge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258B" w:rsidRPr="0011490C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11490C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健檢人數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到檢率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健檢人數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到檢率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widowControl/>
              <w:ind w:left="1201" w:hanging="1201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317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20.8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849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846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13.4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27.7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23.4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23.5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12.5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14.3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25.7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26.8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26.3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27.3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26.7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26.8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13.5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27.3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25.5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12.4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26.6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13.9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26.7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  <w:tr w:rsidR="0069258B" w:rsidRPr="0069258B" w:rsidTr="00BC231F">
        <w:tc>
          <w:tcPr>
            <w:tcW w:w="567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418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B6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992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1417" w:type="dxa"/>
            <w:vAlign w:val="center"/>
          </w:tcPr>
          <w:p w:rsidR="0069258B" w:rsidRPr="0069258B" w:rsidRDefault="0069258B" w:rsidP="009A3546">
            <w:pPr>
              <w:ind w:left="1201" w:hanging="1201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69258B">
              <w:rPr>
                <w:rFonts w:ascii="Times New Roman"/>
                <w:color w:val="000000"/>
                <w:sz w:val="28"/>
                <w:szCs w:val="28"/>
              </w:rPr>
              <w:t>1</w:t>
            </w:r>
            <w:r w:rsidR="00EB6E26">
              <w:rPr>
                <w:rFonts w:ascii="Times New Roman"/>
                <w:color w:val="000000"/>
                <w:sz w:val="28"/>
                <w:szCs w:val="28"/>
              </w:rPr>
              <w:t>,</w:t>
            </w:r>
            <w:r w:rsidRPr="0069258B">
              <w:rPr>
                <w:rFonts w:ascii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14.4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  <w:tc>
          <w:tcPr>
            <w:tcW w:w="1276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1134" w:type="dxa"/>
            <w:vAlign w:val="center"/>
          </w:tcPr>
          <w:p w:rsidR="0069258B" w:rsidRPr="0069258B" w:rsidRDefault="0069258B" w:rsidP="009A3546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27.2</w:t>
            </w:r>
            <w:r w:rsidRPr="00692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％</w:t>
            </w:r>
          </w:p>
        </w:tc>
      </w:tr>
    </w:tbl>
    <w:p w:rsidR="0069258B" w:rsidRDefault="00872CE5" w:rsidP="00BE2BD5">
      <w:pPr>
        <w:pStyle w:val="3"/>
        <w:ind w:left="1360" w:hanging="680"/>
      </w:pPr>
      <w:r>
        <w:rPr>
          <w:rFonts w:hint="eastAsia"/>
        </w:rPr>
        <w:t>臺北市政府依據「</w:t>
      </w:r>
      <w:r w:rsidRPr="00872CE5">
        <w:rPr>
          <w:rFonts w:hint="eastAsia"/>
        </w:rPr>
        <w:t>臺北市輻射污染建築物事件善後處理辦法</w:t>
      </w:r>
      <w:r>
        <w:rPr>
          <w:rFonts w:hint="eastAsia"/>
        </w:rPr>
        <w:t>」之規定，自85年起辦理該市輻射屋居民之健康檢查，截至108年底，符合登記</w:t>
      </w:r>
      <w:proofErr w:type="gramStart"/>
      <w:r>
        <w:rPr>
          <w:rFonts w:hint="eastAsia"/>
        </w:rPr>
        <w:t>健檢列冊</w:t>
      </w:r>
      <w:proofErr w:type="gramEnd"/>
      <w:r>
        <w:rPr>
          <w:rFonts w:hint="eastAsia"/>
        </w:rPr>
        <w:t>人數共計有2</w:t>
      </w:r>
      <w:r w:rsidR="00663162">
        <w:t>,</w:t>
      </w:r>
      <w:r>
        <w:t>360</w:t>
      </w:r>
      <w:r>
        <w:rPr>
          <w:rFonts w:hint="eastAsia"/>
        </w:rPr>
        <w:t>人（含死亡58人），相關列冊人數、死亡人數、到檢率等資訊，如下表3。</w:t>
      </w:r>
    </w:p>
    <w:p w:rsidR="009A3546" w:rsidRDefault="00204860" w:rsidP="00204860">
      <w:pPr>
        <w:pStyle w:val="a3"/>
        <w:jc w:val="center"/>
      </w:pPr>
      <w:r w:rsidRPr="00204860">
        <w:rPr>
          <w:rFonts w:hint="eastAsia"/>
        </w:rPr>
        <w:t>臺北市輻射污染建築物事件健康檢查統計表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86"/>
        <w:gridCol w:w="1286"/>
        <w:gridCol w:w="1286"/>
        <w:gridCol w:w="1286"/>
        <w:gridCol w:w="1286"/>
        <w:gridCol w:w="1286"/>
      </w:tblGrid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年度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列冊人數</w:t>
            </w:r>
          </w:p>
          <w:p w:rsidR="00642DD9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 w:hint="eastAsia"/>
                <w:sz w:val="28"/>
                <w:szCs w:val="28"/>
              </w:rPr>
              <w:t>(</w:t>
            </w:r>
            <w:r w:rsidRPr="00663162">
              <w:rPr>
                <w:rFonts w:ascii="Times New Roman"/>
                <w:sz w:val="28"/>
                <w:szCs w:val="28"/>
              </w:rPr>
              <w:t>A</w:t>
            </w:r>
            <w:r w:rsidRPr="00663162">
              <w:rPr>
                <w:rFonts w:ascii="Times New Roman" w:hint="eastAsia"/>
                <w:sz w:val="28"/>
                <w:szCs w:val="28"/>
              </w:rPr>
              <w:t>)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死亡人數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追蹤健檢人數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(</w:t>
            </w:r>
            <w:r w:rsidR="00642DD9" w:rsidRPr="00663162">
              <w:rPr>
                <w:rFonts w:ascii="Times New Roman"/>
                <w:sz w:val="28"/>
                <w:szCs w:val="28"/>
              </w:rPr>
              <w:t>B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)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新增健檢人數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(</w:t>
            </w:r>
            <w:r w:rsidR="00642DD9" w:rsidRPr="00663162">
              <w:rPr>
                <w:rFonts w:ascii="Times New Roman"/>
                <w:sz w:val="28"/>
                <w:szCs w:val="28"/>
              </w:rPr>
              <w:t>C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)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proofErr w:type="gramStart"/>
            <w:r w:rsidRPr="00663162">
              <w:rPr>
                <w:rFonts w:ascii="Times New Roman"/>
                <w:sz w:val="28"/>
                <w:szCs w:val="28"/>
              </w:rPr>
              <w:t>實際健</w:t>
            </w:r>
            <w:proofErr w:type="gramEnd"/>
            <w:r w:rsidRPr="00663162">
              <w:rPr>
                <w:rFonts w:ascii="Times New Roman"/>
                <w:sz w:val="28"/>
                <w:szCs w:val="28"/>
              </w:rPr>
              <w:t>檢人數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(</w:t>
            </w:r>
            <w:r w:rsidR="00642DD9" w:rsidRPr="00663162">
              <w:rPr>
                <w:rFonts w:ascii="Times New Roman"/>
                <w:sz w:val="28"/>
                <w:szCs w:val="28"/>
              </w:rPr>
              <w:t>D=B+C</w:t>
            </w:r>
            <w:r w:rsidR="00642DD9" w:rsidRPr="00663162">
              <w:rPr>
                <w:rFonts w:ascii="Times New Roman" w:hint="eastAsia"/>
                <w:sz w:val="28"/>
                <w:szCs w:val="28"/>
              </w:rPr>
              <w:t>)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到檢率</w:t>
            </w:r>
          </w:p>
          <w:p w:rsidR="00642DD9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 w:hint="eastAsia"/>
                <w:sz w:val="28"/>
                <w:szCs w:val="28"/>
              </w:rPr>
              <w:t>(</w:t>
            </w:r>
            <w:r w:rsidRPr="00663162">
              <w:rPr>
                <w:rFonts w:ascii="Times New Roman"/>
                <w:sz w:val="28"/>
                <w:szCs w:val="28"/>
              </w:rPr>
              <w:t>E=D/A</w:t>
            </w:r>
            <w:r w:rsidRPr="00663162">
              <w:rPr>
                <w:rFonts w:ascii="Times New Roman" w:hint="eastAsia"/>
                <w:sz w:val="28"/>
                <w:szCs w:val="28"/>
              </w:rPr>
              <w:t>)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85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815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815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815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86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148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333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333</w:t>
            </w:r>
          </w:p>
        </w:tc>
        <w:tc>
          <w:tcPr>
            <w:tcW w:w="1286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242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530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94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624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72.4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88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270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554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28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582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69.7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89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843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57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900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81.7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335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709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717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73.5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332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766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766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75.7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70.1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694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695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72.9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592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592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68.6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655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658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71.4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96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677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678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72.3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663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667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71.8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98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658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660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71.5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99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321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633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70.4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312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670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671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72.3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307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632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70.7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305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575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68.3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302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577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68.5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298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583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583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68.9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295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574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68.6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106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299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524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532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66.6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107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303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542</w:t>
            </w:r>
          </w:p>
        </w:tc>
        <w:tc>
          <w:tcPr>
            <w:tcW w:w="1286" w:type="dxa"/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547</w:t>
            </w:r>
          </w:p>
        </w:tc>
        <w:tc>
          <w:tcPr>
            <w:tcW w:w="1286" w:type="dxa"/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67.2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9A3546" w:rsidRPr="00642DD9" w:rsidTr="00BC231F"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A3546" w:rsidRPr="00663162" w:rsidRDefault="009A3546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108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2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302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552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204F6B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1</w:t>
            </w:r>
            <w:r w:rsidR="0055357B">
              <w:rPr>
                <w:rFonts w:ascii="Times New Roman"/>
                <w:sz w:val="28"/>
                <w:szCs w:val="28"/>
              </w:rPr>
              <w:t>,</w:t>
            </w:r>
            <w:r w:rsidRPr="00663162">
              <w:rPr>
                <w:rFonts w:ascii="Times New Roman"/>
                <w:sz w:val="28"/>
                <w:szCs w:val="28"/>
              </w:rPr>
              <w:t>552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A3546" w:rsidRPr="00663162" w:rsidRDefault="00642DD9" w:rsidP="009A3546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  <w:szCs w:val="28"/>
              </w:rPr>
            </w:pPr>
            <w:r w:rsidRPr="00663162">
              <w:rPr>
                <w:rFonts w:ascii="Times New Roman"/>
                <w:sz w:val="28"/>
                <w:szCs w:val="28"/>
              </w:rPr>
              <w:t>67.4</w:t>
            </w:r>
            <w:r w:rsidRPr="00663162">
              <w:rPr>
                <w:rFonts w:ascii="Times New Roman" w:hint="eastAsia"/>
                <w:sz w:val="28"/>
                <w:szCs w:val="28"/>
              </w:rPr>
              <w:t>％</w:t>
            </w:r>
          </w:p>
        </w:tc>
      </w:tr>
      <w:tr w:rsidR="00642DD9" w:rsidRPr="00642DD9" w:rsidTr="00BC231F">
        <w:tc>
          <w:tcPr>
            <w:tcW w:w="900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42DD9" w:rsidRDefault="00642DD9" w:rsidP="00642DD9">
            <w:pPr>
              <w:pStyle w:val="0"/>
              <w:spacing w:line="0" w:lineRule="atLeast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  <w:proofErr w:type="gramStart"/>
            <w:r>
              <w:rPr>
                <w:rFonts w:ascii="Times New Roman" w:hint="eastAsia"/>
                <w:sz w:val="24"/>
                <w:szCs w:val="24"/>
              </w:rPr>
              <w:t>註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：</w:t>
            </w:r>
          </w:p>
          <w:p w:rsidR="00981120" w:rsidRPr="00981120" w:rsidRDefault="00981120" w:rsidP="00981120">
            <w:pPr>
              <w:pStyle w:val="0"/>
              <w:spacing w:line="0" w:lineRule="atLeast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  <w:r w:rsidRPr="00981120">
              <w:rPr>
                <w:rFonts w:ascii="Times New Roman" w:hint="eastAsia"/>
                <w:sz w:val="24"/>
                <w:szCs w:val="24"/>
              </w:rPr>
              <w:t>1.</w:t>
            </w:r>
            <w:r w:rsidRPr="00981120">
              <w:rPr>
                <w:rFonts w:ascii="Times New Roman" w:hint="eastAsia"/>
                <w:sz w:val="24"/>
                <w:szCs w:val="24"/>
              </w:rPr>
              <w:t>列冊人數係指曾初次健檢累計人數，但不含死亡人數。</w:t>
            </w:r>
          </w:p>
          <w:p w:rsidR="00981120" w:rsidRPr="00981120" w:rsidRDefault="00981120" w:rsidP="00981120">
            <w:pPr>
              <w:pStyle w:val="0"/>
              <w:spacing w:line="0" w:lineRule="atLeast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  <w:r w:rsidRPr="00981120">
              <w:rPr>
                <w:rFonts w:ascii="Times New Roman" w:hint="eastAsia"/>
                <w:sz w:val="24"/>
                <w:szCs w:val="24"/>
              </w:rPr>
              <w:t>2.</w:t>
            </w:r>
            <w:r w:rsidRPr="00981120">
              <w:rPr>
                <w:rFonts w:ascii="Times New Roman" w:hint="eastAsia"/>
                <w:sz w:val="24"/>
                <w:szCs w:val="24"/>
              </w:rPr>
              <w:t>死亡人數係聯合醫院健檢中心聯繫民眾結果所註記，非全面戶政查詢結果。</w:t>
            </w:r>
          </w:p>
          <w:p w:rsidR="00981120" w:rsidRPr="00981120" w:rsidRDefault="00981120" w:rsidP="00981120">
            <w:pPr>
              <w:pStyle w:val="0"/>
              <w:spacing w:line="0" w:lineRule="atLeast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  <w:r w:rsidRPr="00981120">
              <w:rPr>
                <w:rFonts w:ascii="Times New Roman" w:hint="eastAsia"/>
                <w:sz w:val="24"/>
                <w:szCs w:val="24"/>
              </w:rPr>
              <w:t>3.</w:t>
            </w:r>
            <w:r w:rsidRPr="00981120">
              <w:rPr>
                <w:rFonts w:ascii="Times New Roman" w:hint="eastAsia"/>
                <w:sz w:val="24"/>
                <w:szCs w:val="24"/>
              </w:rPr>
              <w:t>到檢率未扣除出國、遷出、失聯等個案。</w:t>
            </w:r>
          </w:p>
          <w:p w:rsidR="00642DD9" w:rsidRPr="00642DD9" w:rsidRDefault="00981120" w:rsidP="00981120">
            <w:pPr>
              <w:pStyle w:val="0"/>
              <w:spacing w:line="0" w:lineRule="atLeast"/>
              <w:ind w:leftChars="0" w:left="260" w:hangingChars="100" w:hanging="260"/>
              <w:rPr>
                <w:rFonts w:ascii="Times New Roman"/>
                <w:sz w:val="24"/>
                <w:szCs w:val="24"/>
              </w:rPr>
            </w:pPr>
            <w:r w:rsidRPr="00981120">
              <w:rPr>
                <w:rFonts w:ascii="Times New Roman" w:hint="eastAsia"/>
                <w:sz w:val="24"/>
                <w:szCs w:val="24"/>
              </w:rPr>
              <w:t>4.</w:t>
            </w:r>
            <w:r>
              <w:rPr>
                <w:rFonts w:ascii="Times New Roman" w:hint="eastAsia"/>
                <w:sz w:val="24"/>
                <w:szCs w:val="24"/>
              </w:rPr>
              <w:t>自</w:t>
            </w:r>
            <w:r w:rsidRPr="00981120">
              <w:rPr>
                <w:rFonts w:ascii="Times New Roman" w:hint="eastAsia"/>
                <w:sz w:val="24"/>
                <w:szCs w:val="24"/>
              </w:rPr>
              <w:t>89</w:t>
            </w:r>
            <w:r w:rsidRPr="00981120">
              <w:rPr>
                <w:rFonts w:ascii="Times New Roman" w:hint="eastAsia"/>
                <w:sz w:val="24"/>
                <w:szCs w:val="24"/>
              </w:rPr>
              <w:t>年起，</w:t>
            </w:r>
            <w:r>
              <w:rPr>
                <w:rFonts w:ascii="Times New Roman" w:hint="eastAsia"/>
                <w:sz w:val="24"/>
                <w:szCs w:val="24"/>
              </w:rPr>
              <w:t>臺北市政府</w:t>
            </w:r>
            <w:r w:rsidRPr="00981120">
              <w:rPr>
                <w:rFonts w:ascii="Times New Roman" w:hint="eastAsia"/>
                <w:sz w:val="24"/>
                <w:szCs w:val="24"/>
              </w:rPr>
              <w:t>委託臺北市立仁愛醫院</w:t>
            </w:r>
            <w:r>
              <w:rPr>
                <w:rFonts w:ascii="Times New Roman" w:hint="eastAsia"/>
                <w:sz w:val="24"/>
                <w:szCs w:val="24"/>
              </w:rPr>
              <w:t>（</w:t>
            </w:r>
            <w:r w:rsidRPr="00981120">
              <w:rPr>
                <w:rFonts w:ascii="Times New Roman" w:hint="eastAsia"/>
                <w:sz w:val="24"/>
                <w:szCs w:val="24"/>
              </w:rPr>
              <w:t>現臺北市立聯合醫院仁愛院區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 w:rsidRPr="00981120">
              <w:rPr>
                <w:rFonts w:ascii="Times New Roman" w:hint="eastAsia"/>
                <w:sz w:val="24"/>
                <w:szCs w:val="24"/>
              </w:rPr>
              <w:t>健檢中心集中進行輻射健檢。</w:t>
            </w:r>
            <w:r>
              <w:rPr>
                <w:rFonts w:ascii="Times New Roman" w:hint="eastAsia"/>
                <w:sz w:val="24"/>
                <w:szCs w:val="24"/>
              </w:rPr>
              <w:t>（</w:t>
            </w:r>
            <w:r>
              <w:rPr>
                <w:rFonts w:ascii="Times New Roman" w:hint="eastAsia"/>
                <w:sz w:val="24"/>
                <w:szCs w:val="24"/>
              </w:rPr>
              <w:t>85-88</w:t>
            </w:r>
            <w:r>
              <w:rPr>
                <w:rFonts w:ascii="Times New Roman" w:hint="eastAsia"/>
                <w:sz w:val="24"/>
                <w:szCs w:val="24"/>
              </w:rPr>
              <w:t>年係由</w:t>
            </w:r>
            <w:r w:rsidRPr="00981120">
              <w:rPr>
                <w:rFonts w:ascii="Times New Roman" w:hint="eastAsia"/>
                <w:sz w:val="24"/>
                <w:szCs w:val="24"/>
              </w:rPr>
              <w:t>仁愛、忠孝、</w:t>
            </w:r>
            <w:proofErr w:type="gramStart"/>
            <w:r w:rsidRPr="00981120">
              <w:rPr>
                <w:rFonts w:ascii="Times New Roman" w:hint="eastAsia"/>
                <w:sz w:val="24"/>
                <w:szCs w:val="24"/>
              </w:rPr>
              <w:t>臺</w:t>
            </w:r>
            <w:proofErr w:type="gramEnd"/>
            <w:r w:rsidRPr="00981120">
              <w:rPr>
                <w:rFonts w:ascii="Times New Roman" w:hint="eastAsia"/>
                <w:sz w:val="24"/>
                <w:szCs w:val="24"/>
              </w:rPr>
              <w:t>北長庚、國泰、新光、</w:t>
            </w:r>
            <w:proofErr w:type="gramStart"/>
            <w:r w:rsidRPr="00981120">
              <w:rPr>
                <w:rFonts w:ascii="Times New Roman" w:hint="eastAsia"/>
                <w:sz w:val="24"/>
                <w:szCs w:val="24"/>
              </w:rPr>
              <w:t>臺</w:t>
            </w:r>
            <w:proofErr w:type="gramEnd"/>
            <w:r w:rsidRPr="00981120">
              <w:rPr>
                <w:rFonts w:ascii="Times New Roman" w:hint="eastAsia"/>
                <w:sz w:val="24"/>
                <w:szCs w:val="24"/>
              </w:rPr>
              <w:t>北榮總、三總、陽明、和平、婦幼、中興</w:t>
            </w:r>
            <w:r>
              <w:rPr>
                <w:rFonts w:ascii="Times New Roman" w:hint="eastAsia"/>
                <w:sz w:val="24"/>
                <w:szCs w:val="24"/>
              </w:rPr>
              <w:t>等多家醫院共同辦理健檢業務）</w:t>
            </w:r>
          </w:p>
        </w:tc>
      </w:tr>
    </w:tbl>
    <w:p w:rsidR="009A3546" w:rsidRDefault="00EE22BF" w:rsidP="00BE2BD5">
      <w:pPr>
        <w:pStyle w:val="3"/>
        <w:spacing w:beforeLines="50" w:before="228"/>
        <w:ind w:left="1360" w:hanging="680"/>
      </w:pPr>
      <w:r>
        <w:rPr>
          <w:rFonts w:hint="eastAsia"/>
        </w:rPr>
        <w:t>原能會委託臺大醫院與彰化基督教醫院辦理健檢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發現居民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癌情形</w:t>
      </w:r>
      <w:r w:rsidR="00BC231F">
        <w:rPr>
          <w:rFonts w:hint="eastAsia"/>
        </w:rPr>
        <w:t>詳如附表一、臺北市政府</w:t>
      </w:r>
      <w:r w:rsidR="00BC231F" w:rsidRPr="00BC231F">
        <w:rPr>
          <w:rFonts w:hint="eastAsia"/>
        </w:rPr>
        <w:t>自</w:t>
      </w:r>
      <w:proofErr w:type="gramStart"/>
      <w:r w:rsidR="00BC231F" w:rsidRPr="00BC231F">
        <w:rPr>
          <w:rFonts w:hint="eastAsia"/>
        </w:rPr>
        <w:t>103</w:t>
      </w:r>
      <w:proofErr w:type="gramEnd"/>
      <w:r w:rsidR="00BC231F">
        <w:rPr>
          <w:rFonts w:hint="eastAsia"/>
        </w:rPr>
        <w:t>年度起發放慰問金明細及居民</w:t>
      </w:r>
      <w:proofErr w:type="gramStart"/>
      <w:r w:rsidR="00BC231F">
        <w:rPr>
          <w:rFonts w:hint="eastAsia"/>
        </w:rPr>
        <w:t>罹</w:t>
      </w:r>
      <w:proofErr w:type="gramEnd"/>
      <w:r w:rsidR="00BC231F">
        <w:rPr>
          <w:rFonts w:hint="eastAsia"/>
        </w:rPr>
        <w:t>癌</w:t>
      </w:r>
      <w:proofErr w:type="gramStart"/>
      <w:r w:rsidR="00BC231F">
        <w:rPr>
          <w:rFonts w:hint="eastAsia"/>
        </w:rPr>
        <w:t>情形則詳如</w:t>
      </w:r>
      <w:proofErr w:type="gramEnd"/>
      <w:r w:rsidR="00BC231F">
        <w:rPr>
          <w:rFonts w:hint="eastAsia"/>
        </w:rPr>
        <w:t>附表二。</w:t>
      </w:r>
    </w:p>
    <w:p w:rsidR="00E27FE2" w:rsidRDefault="00405384" w:rsidP="00DE6BF1">
      <w:pPr>
        <w:pStyle w:val="3"/>
      </w:pPr>
      <w:r>
        <w:rPr>
          <w:rFonts w:hint="eastAsia"/>
        </w:rPr>
        <w:t>另本院於109年4月10日舉辦「放射性污染建築物居民健康照護管理」案座談會議，邀請原能會、</w:t>
      </w:r>
      <w:proofErr w:type="gramStart"/>
      <w:r>
        <w:rPr>
          <w:rFonts w:hint="eastAsia"/>
        </w:rPr>
        <w:t>國健署</w:t>
      </w:r>
      <w:proofErr w:type="gramEnd"/>
      <w:r>
        <w:rPr>
          <w:rFonts w:hint="eastAsia"/>
        </w:rPr>
        <w:t>、臺大醫院、彰化基督教醫院、慈濟大學等機關單位學者與會，其中國</w:t>
      </w:r>
      <w:proofErr w:type="gramStart"/>
      <w:r>
        <w:rPr>
          <w:rFonts w:hint="eastAsia"/>
        </w:rPr>
        <w:t>健署賈副</w:t>
      </w:r>
      <w:proofErr w:type="gramEnd"/>
      <w:r>
        <w:rPr>
          <w:rFonts w:hint="eastAsia"/>
        </w:rPr>
        <w:t>署長表示：「</w:t>
      </w:r>
      <w:r w:rsidRPr="00405384">
        <w:rPr>
          <w:rFonts w:hint="eastAsia"/>
        </w:rPr>
        <w:t>從83年到98年，過去剛開始處理輻射屋的事情，的確就這樣子的判讀，</w:t>
      </w:r>
      <w:r w:rsidRPr="00DE6BF1">
        <w:rPr>
          <w:rFonts w:hint="eastAsia"/>
          <w:b/>
        </w:rPr>
        <w:t>98年以後就沒有再召開這樣子的會議</w:t>
      </w:r>
      <w:r w:rsidRPr="00405384">
        <w:rPr>
          <w:rFonts w:hint="eastAsia"/>
        </w:rPr>
        <w:t>，我們以人為本來繼續追蹤這件事情，除了與原能會合作的輻射屋污染外，還有更多的事情，有封閉性的，也有更大環境性的問題，我們要怎麼和原能會來合作，這是我們可以彼此來合作的機制，我希望可以</w:t>
      </w:r>
      <w:r w:rsidRPr="00DE6BF1">
        <w:rPr>
          <w:rFonts w:hint="eastAsia"/>
          <w:b/>
        </w:rPr>
        <w:t>再重啟以往的機制</w:t>
      </w:r>
      <w:r w:rsidRPr="00405384">
        <w:rPr>
          <w:rFonts w:hint="eastAsia"/>
        </w:rPr>
        <w:t>，有沒有這個人其他的問題，</w:t>
      </w:r>
      <w:r w:rsidRPr="00DE6BF1">
        <w:rPr>
          <w:rFonts w:hint="eastAsia"/>
          <w:b/>
        </w:rPr>
        <w:t>不止是癌的問題，也許還有肥胖的問題，如何幫忙這個人的全能健康</w:t>
      </w:r>
      <w:r w:rsidRPr="00405384">
        <w:rPr>
          <w:rFonts w:hint="eastAsia"/>
        </w:rPr>
        <w:t>，包括環境的管理</w:t>
      </w:r>
      <w:r>
        <w:rPr>
          <w:rFonts w:hint="eastAsia"/>
        </w:rPr>
        <w:t>」、「</w:t>
      </w:r>
      <w:r w:rsidRPr="00405384">
        <w:rPr>
          <w:rFonts w:hint="eastAsia"/>
        </w:rPr>
        <w:t>我們也希望可以建一個</w:t>
      </w:r>
      <w:r w:rsidRPr="00405384">
        <w:rPr>
          <w:rFonts w:hint="eastAsia"/>
          <w:b/>
        </w:rPr>
        <w:t>資料庫</w:t>
      </w:r>
      <w:r w:rsidRPr="00405384">
        <w:rPr>
          <w:rFonts w:hint="eastAsia"/>
        </w:rPr>
        <w:t>，如何更有效的運用，</w:t>
      </w:r>
      <w:proofErr w:type="gramStart"/>
      <w:r w:rsidRPr="00405384">
        <w:rPr>
          <w:rFonts w:hint="eastAsia"/>
          <w:b/>
        </w:rPr>
        <w:t>國健署</w:t>
      </w:r>
      <w:proofErr w:type="gramEnd"/>
      <w:r w:rsidRPr="00405384">
        <w:rPr>
          <w:rFonts w:hint="eastAsia"/>
          <w:b/>
        </w:rPr>
        <w:t>擁有大量的健康的資料、癌症的資料</w:t>
      </w:r>
      <w:r w:rsidRPr="00405384">
        <w:rPr>
          <w:rFonts w:hint="eastAsia"/>
        </w:rPr>
        <w:t>，讓資</w:t>
      </w:r>
      <w:r w:rsidRPr="00405384">
        <w:rPr>
          <w:rFonts w:hint="eastAsia"/>
        </w:rPr>
        <w:lastRenderedPageBreak/>
        <w:t>料庫更豐富，包括慈濟大學，都一起進來</w:t>
      </w:r>
      <w:r>
        <w:rPr>
          <w:rFonts w:hint="eastAsia"/>
        </w:rPr>
        <w:t>」、「</w:t>
      </w:r>
      <w:proofErr w:type="gramStart"/>
      <w:r w:rsidRPr="00405384">
        <w:rPr>
          <w:rFonts w:hint="eastAsia"/>
        </w:rPr>
        <w:t>油症</w:t>
      </w:r>
      <w:r>
        <w:rPr>
          <w:rFonts w:hint="eastAsia"/>
        </w:rPr>
        <w:t>案</w:t>
      </w:r>
      <w:r w:rsidRPr="00405384">
        <w:rPr>
          <w:rFonts w:hint="eastAsia"/>
        </w:rPr>
        <w:t>是</w:t>
      </w:r>
      <w:proofErr w:type="gramEnd"/>
      <w:r w:rsidRPr="00405384">
        <w:rPr>
          <w:rFonts w:hint="eastAsia"/>
        </w:rPr>
        <w:t>有1</w:t>
      </w:r>
      <w:r w:rsidR="005A5198">
        <w:t>,</w:t>
      </w:r>
      <w:r w:rsidRPr="00405384">
        <w:rPr>
          <w:rFonts w:hint="eastAsia"/>
        </w:rPr>
        <w:t>800多位的個案，</w:t>
      </w:r>
      <w:r>
        <w:rPr>
          <w:rFonts w:hint="eastAsia"/>
        </w:rPr>
        <w:t>此案</w:t>
      </w:r>
      <w:r w:rsidRPr="00405384">
        <w:rPr>
          <w:rFonts w:hint="eastAsia"/>
        </w:rPr>
        <w:t>沒有限制醫院，全國有80多家醫院，我們委託</w:t>
      </w:r>
      <w:r>
        <w:rPr>
          <w:rFonts w:hint="eastAsia"/>
        </w:rPr>
        <w:t>臺</w:t>
      </w:r>
      <w:r w:rsidRPr="00405384">
        <w:rPr>
          <w:rFonts w:hint="eastAsia"/>
        </w:rPr>
        <w:t>大醫院來當個案管理中心，資料回來之後，有問題的就可以介入，有個管中心在管理</w:t>
      </w:r>
      <w:r>
        <w:rPr>
          <w:rFonts w:hint="eastAsia"/>
        </w:rPr>
        <w:t>」、「</w:t>
      </w:r>
      <w:r w:rsidRPr="00405384">
        <w:rPr>
          <w:rFonts w:hint="eastAsia"/>
        </w:rPr>
        <w:t>如果可以把輻射屋居民放進來，但前提是我們的醫院有200多家，可</w:t>
      </w:r>
      <w:r>
        <w:rPr>
          <w:rFonts w:hint="eastAsia"/>
        </w:rPr>
        <w:t>是</w:t>
      </w:r>
      <w:r w:rsidRPr="00405384">
        <w:rPr>
          <w:rFonts w:hint="eastAsia"/>
        </w:rPr>
        <w:t>本案醫院只有兩家，如果有機會的話，</w:t>
      </w:r>
      <w:proofErr w:type="gramStart"/>
      <w:r w:rsidRPr="00405384">
        <w:rPr>
          <w:rFonts w:hint="eastAsia"/>
        </w:rPr>
        <w:t>讓篩檢</w:t>
      </w:r>
      <w:proofErr w:type="gramEnd"/>
      <w:r w:rsidRPr="00405384">
        <w:rPr>
          <w:rFonts w:hint="eastAsia"/>
        </w:rPr>
        <w:t>醫院方便，資料</w:t>
      </w:r>
      <w:proofErr w:type="gramStart"/>
      <w:r w:rsidRPr="00405384">
        <w:rPr>
          <w:rFonts w:hint="eastAsia"/>
        </w:rPr>
        <w:t>才能以歸人</w:t>
      </w:r>
      <w:proofErr w:type="gramEnd"/>
      <w:r w:rsidRPr="00405384">
        <w:rPr>
          <w:rFonts w:hint="eastAsia"/>
        </w:rPr>
        <w:t>的方式處理</w:t>
      </w:r>
      <w:r>
        <w:rPr>
          <w:rFonts w:hint="eastAsia"/>
        </w:rPr>
        <w:t>」、「</w:t>
      </w:r>
      <w:r w:rsidRPr="00405384">
        <w:rPr>
          <w:rFonts w:hint="eastAsia"/>
          <w:b/>
        </w:rPr>
        <w:t>成立一個任務小組是必要的</w:t>
      </w:r>
      <w:r w:rsidRPr="00405384">
        <w:rPr>
          <w:rFonts w:hint="eastAsia"/>
        </w:rPr>
        <w:t>，常設小組再檢討，1</w:t>
      </w:r>
      <w:r>
        <w:t>,</w:t>
      </w:r>
      <w:r w:rsidRPr="00405384">
        <w:rPr>
          <w:rFonts w:hint="eastAsia"/>
        </w:rPr>
        <w:t>886</w:t>
      </w:r>
      <w:r>
        <w:rPr>
          <w:rFonts w:hint="eastAsia"/>
        </w:rPr>
        <w:t>位個案</w:t>
      </w:r>
      <w:r w:rsidRPr="00405384">
        <w:rPr>
          <w:rFonts w:hint="eastAsia"/>
        </w:rPr>
        <w:t>是有身分證字號的，就這些居民的健康管理來滾動式管理，到時候就可以看出大概的方向，跑出來的</w:t>
      </w:r>
      <w:proofErr w:type="gramStart"/>
      <w:r w:rsidRPr="00405384">
        <w:rPr>
          <w:rFonts w:hint="eastAsia"/>
        </w:rPr>
        <w:t>況</w:t>
      </w:r>
      <w:proofErr w:type="gramEnd"/>
      <w:r w:rsidRPr="00405384">
        <w:rPr>
          <w:rFonts w:hint="eastAsia"/>
        </w:rPr>
        <w:t>狀我們再來和原能會看看怎麼協助，看到更細項的東西後再來看看怎麼處理</w:t>
      </w:r>
      <w:r>
        <w:rPr>
          <w:rFonts w:hint="eastAsia"/>
        </w:rPr>
        <w:t>。」</w:t>
      </w:r>
      <w:r w:rsidR="00DE6BF1">
        <w:rPr>
          <w:rFonts w:hint="eastAsia"/>
        </w:rPr>
        <w:t>會議主席亦表示：「如果要進行整合，</w:t>
      </w:r>
      <w:r w:rsidR="00DE6BF1" w:rsidRPr="00DE6BF1">
        <w:rPr>
          <w:rFonts w:hint="eastAsia"/>
        </w:rPr>
        <w:t>原能會可能要修正一些處理辦法的內容，有法源依據是比較好的，這個不用送立法院，原能會自己就可以處理，這樣子做這些內容，可以有依法來進行</w:t>
      </w:r>
      <w:r w:rsidR="00DE6BF1">
        <w:rPr>
          <w:rFonts w:hint="eastAsia"/>
        </w:rPr>
        <w:t>。」</w:t>
      </w:r>
    </w:p>
    <w:p w:rsidR="005A5198" w:rsidRDefault="005A5198" w:rsidP="005A5198">
      <w:pPr>
        <w:pStyle w:val="3"/>
      </w:pPr>
      <w:r>
        <w:rPr>
          <w:rFonts w:hint="eastAsia"/>
        </w:rPr>
        <w:t>由原能會及臺北市政府委託臺大、彰基、仁愛等醫院，針對輻射屋居民實施長達20餘年之健康檢查，該等數據彌足珍貴，倘再能結合</w:t>
      </w:r>
      <w:proofErr w:type="gramStart"/>
      <w:r>
        <w:rPr>
          <w:rFonts w:hint="eastAsia"/>
        </w:rPr>
        <w:t>國健署</w:t>
      </w:r>
      <w:proofErr w:type="gramEnd"/>
      <w:r>
        <w:rPr>
          <w:rFonts w:hint="eastAsia"/>
        </w:rPr>
        <w:t>之資源加以整合，相信效益更</w:t>
      </w:r>
      <w:proofErr w:type="gramStart"/>
      <w:r>
        <w:rPr>
          <w:rFonts w:hint="eastAsia"/>
        </w:rPr>
        <w:t>能彰影</w:t>
      </w:r>
      <w:proofErr w:type="gramEnd"/>
      <w:r>
        <w:rPr>
          <w:rFonts w:hint="eastAsia"/>
        </w:rPr>
        <w:t>，誠如前揭座談會議中，臺大醫院邱醫師亦表示：「</w:t>
      </w:r>
      <w:r w:rsidRPr="005A5198">
        <w:rPr>
          <w:rFonts w:hint="eastAsia"/>
        </w:rPr>
        <w:t>裡面有很多是健檢不會檢查出來的，我們每年都要問他現在的狀況，因為我們包含是管理中心，如果回報有癌症，我們也是要登錄進</w:t>
      </w:r>
      <w:r>
        <w:rPr>
          <w:rFonts w:hint="eastAsia"/>
        </w:rPr>
        <w:t>去，健檢完之後，如果有問題，再跳回醫療體系，就是這樣不斷的再做」、「</w:t>
      </w:r>
      <w:r w:rsidRPr="005A5198">
        <w:rPr>
          <w:rFonts w:hint="eastAsia"/>
        </w:rPr>
        <w:t>我也是覺得為什麼沒有辦法去分析，我沒有一個</w:t>
      </w:r>
      <w:proofErr w:type="gramStart"/>
      <w:r w:rsidRPr="005A5198">
        <w:rPr>
          <w:rFonts w:hint="eastAsia"/>
        </w:rPr>
        <w:t>對照組去看</w:t>
      </w:r>
      <w:proofErr w:type="gramEnd"/>
      <w:r w:rsidRPr="005A5198">
        <w:rPr>
          <w:rFonts w:hint="eastAsia"/>
        </w:rPr>
        <w:t>，沒有母群體可以看，我也希望可以看的到</w:t>
      </w:r>
      <w:r>
        <w:rPr>
          <w:rFonts w:hint="eastAsia"/>
        </w:rPr>
        <w:t>」等，透過不同介面之結合，針對個案加以分析，適時調整健檢項目，對輻射屋居民、以人管理之全能健康，才能</w:t>
      </w:r>
      <w:r>
        <w:rPr>
          <w:rFonts w:hint="eastAsia"/>
        </w:rPr>
        <w:lastRenderedPageBreak/>
        <w:t>發揮政府照顧輻射屋居民之初衷。</w:t>
      </w:r>
    </w:p>
    <w:p w:rsidR="00E30F42" w:rsidRPr="00E30F42" w:rsidRDefault="00E30F42" w:rsidP="00BC1A1D">
      <w:pPr>
        <w:pStyle w:val="3"/>
      </w:pPr>
      <w:r>
        <w:rPr>
          <w:rFonts w:hint="eastAsia"/>
        </w:rPr>
        <w:t>綜上，</w:t>
      </w:r>
      <w:r w:rsidRPr="00E30F42">
        <w:rPr>
          <w:rFonts w:hint="eastAsia"/>
        </w:rPr>
        <w:t>原能會</w:t>
      </w:r>
      <w:r w:rsidR="00CC7532" w:rsidRPr="00CC7532">
        <w:rPr>
          <w:rFonts w:hint="eastAsia"/>
        </w:rPr>
        <w:t>為維護輻射屋居民之健康，多年來委託臺大醫院、彰化基督教醫院辦理年劑量大於5毫西</w:t>
      </w:r>
      <w:proofErr w:type="gramStart"/>
      <w:r w:rsidR="00CC7532" w:rsidRPr="00CC7532">
        <w:rPr>
          <w:rFonts w:hint="eastAsia"/>
        </w:rPr>
        <w:t>弗</w:t>
      </w:r>
      <w:proofErr w:type="gramEnd"/>
      <w:r w:rsidR="00CC7532" w:rsidRPr="00CC7532">
        <w:rPr>
          <w:rFonts w:hint="eastAsia"/>
        </w:rPr>
        <w:t>居民之健康檢查業務，而臺北市政府亦同步委託所屬市立醫院辦理該市1~5毫西</w:t>
      </w:r>
      <w:proofErr w:type="gramStart"/>
      <w:r w:rsidR="00CC7532" w:rsidRPr="00CC7532">
        <w:rPr>
          <w:rFonts w:hint="eastAsia"/>
        </w:rPr>
        <w:t>弗</w:t>
      </w:r>
      <w:proofErr w:type="gramEnd"/>
      <w:r w:rsidR="00CC7532" w:rsidRPr="00CC7532">
        <w:rPr>
          <w:rFonts w:hint="eastAsia"/>
        </w:rPr>
        <w:t>居民之</w:t>
      </w:r>
      <w:proofErr w:type="gramStart"/>
      <w:r w:rsidR="00CC7532" w:rsidRPr="00CC7532">
        <w:rPr>
          <w:rFonts w:hint="eastAsia"/>
        </w:rPr>
        <w:t>健檢長達</w:t>
      </w:r>
      <w:proofErr w:type="gramEnd"/>
      <w:r w:rsidR="00CC7532" w:rsidRPr="00CC7532">
        <w:rPr>
          <w:rFonts w:hint="eastAsia"/>
        </w:rPr>
        <w:t>20餘年，有關</w:t>
      </w:r>
      <w:proofErr w:type="gramStart"/>
      <w:r w:rsidR="00CC7532" w:rsidRPr="00CC7532">
        <w:rPr>
          <w:rFonts w:hint="eastAsia"/>
        </w:rPr>
        <w:t>攸</w:t>
      </w:r>
      <w:proofErr w:type="gramEnd"/>
      <w:r w:rsidR="00CC7532" w:rsidRPr="00CC7532">
        <w:rPr>
          <w:rFonts w:hint="eastAsia"/>
        </w:rPr>
        <w:t>關輻射屋居民健康權益的健康管理及數據分散於各受託醫院內。行政院允應督導所屬原能會、衛生福利部，</w:t>
      </w:r>
      <w:r w:rsidR="00BC1A1D" w:rsidRPr="00BC1A1D">
        <w:rPr>
          <w:rFonts w:hint="eastAsia"/>
        </w:rPr>
        <w:t>協調臺北市、新北市、桃園市、基隆市等輻射屋當地政府</w:t>
      </w:r>
      <w:r w:rsidR="00CC7532" w:rsidRPr="00CC7532">
        <w:rPr>
          <w:rFonts w:hint="eastAsia"/>
        </w:rPr>
        <w:t>、以及各受託醫院聯合集思廣益，運用該等龐大數據，與時俱進、改善與精進健康</w:t>
      </w:r>
      <w:proofErr w:type="gramStart"/>
      <w:r w:rsidR="00CC7532" w:rsidRPr="00CC7532">
        <w:rPr>
          <w:rFonts w:hint="eastAsia"/>
        </w:rPr>
        <w:t>照護健檢</w:t>
      </w:r>
      <w:proofErr w:type="gramEnd"/>
      <w:r w:rsidR="00CC7532" w:rsidRPr="00CC7532">
        <w:rPr>
          <w:rFonts w:hint="eastAsia"/>
        </w:rPr>
        <w:t>項目、建立聯合資料庫，使後續研究人員或學者能有所用，以發揮最大之功能，</w:t>
      </w:r>
      <w:proofErr w:type="gramStart"/>
      <w:r w:rsidR="00CC7532" w:rsidRPr="00CC7532">
        <w:rPr>
          <w:rFonts w:hint="eastAsia"/>
        </w:rPr>
        <w:t>俾符實</w:t>
      </w:r>
      <w:proofErr w:type="gramEnd"/>
      <w:r w:rsidRPr="00E30F42">
        <w:rPr>
          <w:rFonts w:hint="eastAsia"/>
        </w:rPr>
        <w:t>需</w:t>
      </w:r>
      <w:r>
        <w:rPr>
          <w:rFonts w:hint="eastAsia"/>
        </w:rPr>
        <w:t>。</w:t>
      </w:r>
    </w:p>
    <w:p w:rsidR="00BC7B0F" w:rsidRPr="003C0066" w:rsidRDefault="00BC7B0F" w:rsidP="00DE6BF1">
      <w:pPr>
        <w:pStyle w:val="2"/>
        <w:numPr>
          <w:ilvl w:val="0"/>
          <w:numId w:val="0"/>
        </w:numPr>
        <w:ind w:left="1021"/>
      </w:pPr>
    </w:p>
    <w:p w:rsidR="00497708" w:rsidRDefault="00497708" w:rsidP="00497708">
      <w:pPr>
        <w:pStyle w:val="1"/>
        <w:numPr>
          <w:ilvl w:val="0"/>
          <w:numId w:val="1"/>
        </w:numPr>
        <w:ind w:left="2380" w:hanging="2380"/>
      </w:pPr>
      <w:r>
        <w:br w:type="page"/>
      </w:r>
      <w:r>
        <w:rPr>
          <w:rFonts w:hint="eastAsia"/>
        </w:rPr>
        <w:lastRenderedPageBreak/>
        <w:t>處理辦法：</w:t>
      </w:r>
    </w:p>
    <w:p w:rsidR="00497708" w:rsidRDefault="00497708" w:rsidP="00497708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F43C79">
        <w:rPr>
          <w:rFonts w:hint="eastAsia"/>
        </w:rPr>
        <w:t>一</w:t>
      </w:r>
      <w:r w:rsidR="00BC7B0F">
        <w:rPr>
          <w:rFonts w:hint="eastAsia"/>
        </w:rPr>
        <w:t>至</w:t>
      </w:r>
      <w:r w:rsidR="00F43C79">
        <w:rPr>
          <w:rFonts w:hint="eastAsia"/>
        </w:rPr>
        <w:t>二</w:t>
      </w:r>
      <w:r>
        <w:rPr>
          <w:rFonts w:hint="eastAsia"/>
        </w:rPr>
        <w:t>，函請</w:t>
      </w:r>
      <w:r w:rsidR="006F7FCD">
        <w:rPr>
          <w:rFonts w:hint="eastAsia"/>
        </w:rPr>
        <w:t>行政院轉</w:t>
      </w:r>
      <w:proofErr w:type="gramStart"/>
      <w:r w:rsidR="006F7FCD">
        <w:rPr>
          <w:rFonts w:hint="eastAsia"/>
        </w:rPr>
        <w:t>飭</w:t>
      </w:r>
      <w:proofErr w:type="gramEnd"/>
      <w:r w:rsidR="006F7FCD">
        <w:rPr>
          <w:rFonts w:hint="eastAsia"/>
        </w:rPr>
        <w:t>所屬</w:t>
      </w:r>
      <w:r w:rsidR="00BC7B0F">
        <w:rPr>
          <w:rFonts w:hint="eastAsia"/>
        </w:rPr>
        <w:t>原子能委員會</w:t>
      </w:r>
      <w:r w:rsidR="006F7FCD">
        <w:rPr>
          <w:rFonts w:hint="eastAsia"/>
        </w:rPr>
        <w:t>、財政部國有財產署、衛生福利部國民</w:t>
      </w:r>
      <w:proofErr w:type="gramStart"/>
      <w:r w:rsidR="006F7FCD">
        <w:rPr>
          <w:rFonts w:hint="eastAsia"/>
        </w:rPr>
        <w:t>健康署</w:t>
      </w:r>
      <w:proofErr w:type="gramEnd"/>
      <w:r>
        <w:rPr>
          <w:rFonts w:hint="eastAsia"/>
        </w:rPr>
        <w:t>確實檢討改進</w:t>
      </w:r>
      <w:proofErr w:type="gramStart"/>
      <w:r>
        <w:rPr>
          <w:rFonts w:hint="eastAsia"/>
        </w:rPr>
        <w:t>見復。</w:t>
      </w:r>
      <w:proofErr w:type="gramEnd"/>
    </w:p>
    <w:p w:rsidR="00497708" w:rsidRDefault="00497708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497708" w:rsidRDefault="00497708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66425B">
        <w:rPr>
          <w:rFonts w:hint="eastAsia"/>
          <w:b w:val="0"/>
          <w:bCs/>
          <w:snapToGrid/>
          <w:spacing w:val="12"/>
          <w:kern w:val="0"/>
          <w:sz w:val="40"/>
          <w:lang w:eastAsia="zh-HK"/>
        </w:rPr>
        <w:t>張武修</w:t>
      </w:r>
    </w:p>
    <w:p w:rsidR="00497708" w:rsidRDefault="00497708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46706" w:rsidRDefault="00E46706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97708" w:rsidRDefault="00497708">
      <w:pPr>
        <w:widowControl/>
        <w:overflowPunct/>
        <w:autoSpaceDE/>
        <w:autoSpaceDN/>
        <w:jc w:val="left"/>
        <w:rPr>
          <w:bCs/>
          <w:kern w:val="0"/>
        </w:rPr>
        <w:sectPr w:rsidR="00497708" w:rsidSect="004C60A9">
          <w:footerReference w:type="default" r:id="rId8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E46706" w:rsidRDefault="00E46706">
      <w:pPr>
        <w:widowControl/>
        <w:overflowPunct/>
        <w:autoSpaceDE/>
        <w:autoSpaceDN/>
        <w:jc w:val="left"/>
        <w:rPr>
          <w:bCs/>
          <w:kern w:val="0"/>
        </w:rPr>
      </w:pPr>
      <w:r>
        <w:rPr>
          <w:bCs/>
          <w:kern w:val="0"/>
        </w:rPr>
        <w:br w:type="page"/>
      </w:r>
    </w:p>
    <w:p w:rsidR="00CE2E69" w:rsidRDefault="00EE22BF" w:rsidP="0066425B">
      <w:pPr>
        <w:pStyle w:val="a0"/>
        <w:tabs>
          <w:tab w:val="clear" w:pos="1440"/>
        </w:tabs>
        <w:ind w:left="1361" w:hangingChars="400" w:hanging="1361"/>
      </w:pPr>
      <w:r>
        <w:rPr>
          <w:rFonts w:hint="eastAsia"/>
        </w:rPr>
        <w:lastRenderedPageBreak/>
        <w:t>臺大醫</w:t>
      </w:r>
      <w:bookmarkStart w:id="1" w:name="_GoBack"/>
      <w:bookmarkEnd w:id="1"/>
      <w:r>
        <w:rPr>
          <w:rFonts w:hint="eastAsia"/>
        </w:rPr>
        <w:t>院與彰化基督</w:t>
      </w:r>
      <w:r w:rsidR="00CE2E69">
        <w:rPr>
          <w:rFonts w:hint="eastAsia"/>
        </w:rPr>
        <w:t>教醫院</w:t>
      </w:r>
      <w:r w:rsidR="00590136">
        <w:rPr>
          <w:rFonts w:hint="eastAsia"/>
        </w:rPr>
        <w:t>辦理居民健檢發現</w:t>
      </w:r>
      <w:proofErr w:type="gramStart"/>
      <w:r w:rsidR="00590136">
        <w:rPr>
          <w:rFonts w:hint="eastAsia"/>
        </w:rPr>
        <w:t>罹</w:t>
      </w:r>
      <w:proofErr w:type="gramEnd"/>
      <w:r w:rsidR="00590136">
        <w:rPr>
          <w:rFonts w:hint="eastAsia"/>
        </w:rPr>
        <w:t>癌情形及年劑量一覽表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851"/>
        <w:gridCol w:w="3209"/>
        <w:gridCol w:w="2602"/>
      </w:tblGrid>
      <w:tr w:rsidR="00CE2E69" w:rsidRPr="00F944DB" w:rsidTr="00CE2E69">
        <w:trPr>
          <w:trHeight w:val="660"/>
          <w:tblHeader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原能會</w:t>
            </w:r>
          </w:p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編號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出生年</w:t>
            </w:r>
          </w:p>
        </w:tc>
        <w:tc>
          <w:tcPr>
            <w:tcW w:w="3209" w:type="dxa"/>
            <w:shd w:val="clear" w:color="auto" w:fill="auto"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癌名稱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:rsidR="00CE2E69" w:rsidRPr="00F944DB" w:rsidRDefault="00CE2E69" w:rsidP="00F944DB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居住建物之發現時年劑量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F944DB">
              <w:rPr>
                <w:rFonts w:ascii="Times New Roman" w:hint="eastAsia"/>
                <w:color w:val="000000" w:themeColor="text1"/>
                <w:kern w:val="0"/>
                <w:sz w:val="28"/>
                <w:szCs w:val="28"/>
              </w:rPr>
              <w:t>毫西</w:t>
            </w:r>
            <w:proofErr w:type="gramStart"/>
            <w:r w:rsidR="00F944DB">
              <w:rPr>
                <w:rFonts w:ascii="Times New Roman" w:hint="eastAsia"/>
                <w:color w:val="000000" w:themeColor="text1"/>
                <w:kern w:val="0"/>
                <w:sz w:val="28"/>
                <w:szCs w:val="28"/>
              </w:rPr>
              <w:t>弗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血癌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106.99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多發性骨髓瘤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69.93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舌根癌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喉癌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) 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32.06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子宮頸癌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32.06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65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32.06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21.69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甲狀腺癌，乳癌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4.11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大腸癌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1.64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前列腺癌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76.66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骨癌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66.24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38.03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38.03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淋巴癌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2.15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甲狀腺癌及子宮頸癌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2.15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腎臟癌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74.38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3.54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3.96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肺腺癌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3.92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2.91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白血病，乳癌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2.91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2.91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胃癌轉骨癌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2.91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7.91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白血病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7.22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25.38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腎癌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1.88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胰臟癌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2.92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前列腺癌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34.9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48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8.18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2.61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2.61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lastRenderedPageBreak/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慢性骨髓性白血病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2.61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白血病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2.61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2.61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大腸癌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10.95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淋巴癌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35.79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60.76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88.47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6.25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7.4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血癌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11.64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8.7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結腸癌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79.83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12.84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54.3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24.39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肺腺癌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4.38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45.75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53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8.08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A096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4.59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卵巢癌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55.67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55.67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左乳癌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</w:tr>
      <w:tr w:rsidR="00CE2E69" w:rsidRPr="00F944DB" w:rsidTr="00CE2E69">
        <w:trPr>
          <w:trHeight w:val="33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A188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腎臟癌</w:t>
            </w:r>
          </w:p>
        </w:tc>
        <w:tc>
          <w:tcPr>
            <w:tcW w:w="2602" w:type="dxa"/>
            <w:shd w:val="clear" w:color="auto" w:fill="auto"/>
            <w:noWrap/>
            <w:vAlign w:val="center"/>
            <w:hideMark/>
          </w:tcPr>
          <w:p w:rsidR="00CE2E69" w:rsidRPr="00F944DB" w:rsidRDefault="00CE2E69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10.54</w:t>
            </w:r>
          </w:p>
        </w:tc>
      </w:tr>
    </w:tbl>
    <w:p w:rsidR="00EE22BF" w:rsidRDefault="00EE22BF" w:rsidP="00CE2E69">
      <w:pPr>
        <w:pStyle w:val="a0"/>
        <w:numPr>
          <w:ilvl w:val="0"/>
          <w:numId w:val="0"/>
        </w:numPr>
      </w:pPr>
      <w:r>
        <w:br w:type="page"/>
      </w:r>
    </w:p>
    <w:p w:rsidR="00EE22BF" w:rsidRDefault="004E49C3" w:rsidP="00EE22BF">
      <w:pPr>
        <w:pStyle w:val="a0"/>
        <w:ind w:left="1361" w:hanging="1361"/>
      </w:pPr>
      <w:r>
        <w:rPr>
          <w:rFonts w:hint="eastAsia"/>
        </w:rPr>
        <w:lastRenderedPageBreak/>
        <w:t>臺北市政府自</w:t>
      </w:r>
      <w:proofErr w:type="gramStart"/>
      <w:r>
        <w:rPr>
          <w:rFonts w:hint="eastAsia"/>
        </w:rPr>
        <w:t>103</w:t>
      </w:r>
      <w:proofErr w:type="gramEnd"/>
      <w:r>
        <w:rPr>
          <w:rFonts w:hint="eastAsia"/>
        </w:rPr>
        <w:t>年度起發放慰問金明細及居民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癌情形一覽表</w:t>
      </w:r>
    </w:p>
    <w:tbl>
      <w:tblPr>
        <w:tblW w:w="88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7"/>
        <w:gridCol w:w="1590"/>
        <w:gridCol w:w="992"/>
        <w:gridCol w:w="1134"/>
        <w:gridCol w:w="3382"/>
      </w:tblGrid>
      <w:tr w:rsidR="004E49C3" w:rsidRPr="00F944DB" w:rsidTr="004E49C3">
        <w:trPr>
          <w:trHeight w:val="324"/>
          <w:tblHeader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年度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慰問金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出生年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慰問金類別</w:t>
            </w:r>
          </w:p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癌名稱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4E49C3" w:rsidRPr="00F944DB" w:rsidTr="004E49C3">
        <w:trPr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103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3,580,000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大腸癌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慢性淋巴性白血病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直腸惡性腫瘤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惡性淋巴瘤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30,000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早發性白內障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右側乳癌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肝細胞癌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卵巢亮細胞癌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十二指腸癌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直腸癌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直腸癌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惡性淋巴瘤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結腸惡性腫瘤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乙狀結腸惡性腫瘤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子宮內膜癌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直腸癌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前列腺癌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膀胱癌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右側肺癌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食道癌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舌根癌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乳房原位癌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乳房惡性腫瘤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卵巢癌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鼻咽癌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結腸惡性腫瘤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右腎臟腺癌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09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大腸直腸癌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皮膚癌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卵巢癌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02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乳突癌</w:t>
            </w:r>
            <w:proofErr w:type="gramEnd"/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104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470,000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右腎細胞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惡性淋巴瘤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子宮內膜癌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乳房原位癌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104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105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340,000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惡性胃肉瘤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急性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淋巴芽球性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白血病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105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106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410,000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72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子宮頸癌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腎臟惡性腫瘤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卵巢癌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攝護腺癌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106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左側乳癌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107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470,000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臉部皮膚原位癌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前列腺癌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乳癌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前列腺癌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107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胃癌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108</w:t>
            </w: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>年小計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color w:val="000000" w:themeColor="text1"/>
                <w:kern w:val="0"/>
                <w:sz w:val="28"/>
                <w:szCs w:val="28"/>
              </w:rPr>
              <w:t xml:space="preserve">170,000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108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腹膜惡性腫瘤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108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69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甲狀腺惡性腫瘤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108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50,000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胰臟惡性腫瘤、膀胱腫瘤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108</w:t>
            </w:r>
          </w:p>
        </w:tc>
        <w:tc>
          <w:tcPr>
            <w:tcW w:w="1590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 xml:space="preserve"> 20,000 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3382" w:type="dxa"/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死亡</w:t>
            </w:r>
          </w:p>
        </w:tc>
      </w:tr>
      <w:tr w:rsidR="004E49C3" w:rsidRPr="00F944DB" w:rsidTr="004E49C3">
        <w:trPr>
          <w:trHeight w:val="324"/>
          <w:jc w:val="right"/>
        </w:trPr>
        <w:tc>
          <w:tcPr>
            <w:tcW w:w="170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總計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right"/>
              <w:rPr>
                <w:rFonts w:asci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5,440,000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jc w:val="center"/>
              <w:rPr>
                <w:rFonts w:ascii="Times New Roman" w:eastAsia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49C3" w:rsidRPr="00F944DB" w:rsidRDefault="004E49C3" w:rsidP="00AB2619">
            <w:pPr>
              <w:widowControl/>
              <w:rPr>
                <w:rFonts w:ascii="Times New Roman" w:eastAsia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9C3" w:rsidRPr="00F944DB" w:rsidTr="004E49C3">
        <w:trPr>
          <w:trHeight w:val="1974"/>
          <w:jc w:val="right"/>
        </w:trPr>
        <w:tc>
          <w:tcPr>
            <w:tcW w:w="8805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4E49C3" w:rsidRPr="00F944DB" w:rsidRDefault="004E49C3" w:rsidP="00AB2619">
            <w:pPr>
              <w:widowControl/>
              <w:kinsoku w:val="0"/>
              <w:wordWrap w:val="0"/>
              <w:ind w:left="300" w:hangingChars="100" w:hanging="300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備註：</w:t>
            </w:r>
          </w:p>
          <w:p w:rsidR="004E49C3" w:rsidRPr="00F944DB" w:rsidRDefault="004E49C3" w:rsidP="00AB2619">
            <w:pPr>
              <w:widowControl/>
              <w:kinsoku w:val="0"/>
              <w:wordWrap w:val="0"/>
              <w:ind w:left="300" w:hangingChars="100" w:hanging="300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1.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依臺北市輻射污染建築物事件善後處理自治條例第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3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條第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項規定，臺北市政府衛生局於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21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日訂定並發布</w:t>
            </w:r>
            <w:r w:rsidR="00E417AA"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臺北市輻射污染建築物事件慰問金申請辦法</w:t>
            </w:r>
            <w:r w:rsidR="00E417AA"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」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E417AA"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下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稱申請辦法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。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爰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慰問金補助係自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103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年起施行。</w:t>
            </w:r>
          </w:p>
          <w:p w:rsidR="004E49C3" w:rsidRPr="00F944DB" w:rsidRDefault="004E49C3" w:rsidP="00E417AA">
            <w:pPr>
              <w:widowControl/>
              <w:kinsoku w:val="0"/>
              <w:wordWrap w:val="0"/>
              <w:ind w:left="300" w:hangingChars="100" w:hanging="300"/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</w:pP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2.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依申請辦法第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6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條第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項</w:t>
            </w:r>
            <w:r w:rsidR="00E417AA"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規定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，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84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9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7</w:t>
            </w:r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日至本辦法發布日前，認定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罹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病或死亡者，申請權人應於本辦法發布日起</w:t>
            </w:r>
            <w:proofErr w:type="gramStart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F944DB">
              <w:rPr>
                <w:rFonts w:ascii="Times New Roman"/>
                <w:color w:val="000000" w:themeColor="text1"/>
                <w:kern w:val="0"/>
                <w:sz w:val="28"/>
                <w:szCs w:val="28"/>
              </w:rPr>
              <w:t>年內提出申請。</w:t>
            </w:r>
          </w:p>
        </w:tc>
      </w:tr>
    </w:tbl>
    <w:p w:rsidR="004E49C3" w:rsidRDefault="004E49C3" w:rsidP="004E49C3">
      <w:pPr>
        <w:pStyle w:val="a0"/>
        <w:numPr>
          <w:ilvl w:val="0"/>
          <w:numId w:val="0"/>
        </w:numPr>
      </w:pPr>
    </w:p>
    <w:sectPr w:rsidR="004E49C3" w:rsidSect="00EE22BF">
      <w:footerReference w:type="default" r:id="rId9"/>
      <w:type w:val="continuous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CC" w:rsidRDefault="00BA44CC">
      <w:r>
        <w:separator/>
      </w:r>
    </w:p>
  </w:endnote>
  <w:endnote w:type="continuationSeparator" w:id="0">
    <w:p w:rsidR="00BA44CC" w:rsidRDefault="00BA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華康隸書體W7">
    <w:charset w:val="88"/>
    <w:family w:val="script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61" w:rsidRDefault="00C21261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6425B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:rsidR="00C21261" w:rsidRDefault="00C21261">
    <w:pPr>
      <w:framePr w:wrap="auto" w:hAnchor="text" w:y="-955"/>
      <w:ind w:left="640" w:right="360" w:firstLine="44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61" w:rsidRDefault="00C21261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6425B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C21261" w:rsidRDefault="00C2126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CC" w:rsidRDefault="00BA44CC">
      <w:r>
        <w:separator/>
      </w:r>
    </w:p>
  </w:footnote>
  <w:footnote w:type="continuationSeparator" w:id="0">
    <w:p w:rsidR="00BA44CC" w:rsidRDefault="00BA44CC">
      <w:r>
        <w:continuationSeparator/>
      </w:r>
    </w:p>
  </w:footnote>
  <w:footnote w:id="1">
    <w:p w:rsidR="00C21261" w:rsidRDefault="00C21261">
      <w:pPr>
        <w:pStyle w:val="afe"/>
      </w:pPr>
      <w:r>
        <w:rPr>
          <w:rStyle w:val="aff0"/>
        </w:rPr>
        <w:footnoteRef/>
      </w:r>
      <w:r>
        <w:t xml:space="preserve"> </w:t>
      </w:r>
      <w:r>
        <w:rPr>
          <w:rFonts w:hint="eastAsia"/>
        </w:rPr>
        <w:t>游離輻射防護法第3條規定：「本法之主管機關，為行政院原子能委員會。」</w:t>
      </w:r>
    </w:p>
  </w:footnote>
  <w:footnote w:id="2">
    <w:p w:rsidR="00C21261" w:rsidRPr="00FC542D" w:rsidRDefault="00C21261">
      <w:pPr>
        <w:pStyle w:val="afe"/>
      </w:pPr>
      <w:r>
        <w:rPr>
          <w:rStyle w:val="aff0"/>
        </w:rPr>
        <w:footnoteRef/>
      </w:r>
      <w:r>
        <w:t xml:space="preserve"> </w:t>
      </w:r>
      <w:r>
        <w:rPr>
          <w:rFonts w:hint="eastAsia"/>
        </w:rPr>
        <w:t>輻射污染建築物事件防範及處理辦法第2</w:t>
      </w:r>
      <w:r>
        <w:rPr>
          <w:rFonts w:hint="eastAsia"/>
        </w:rPr>
        <w:t>條規定：「</w:t>
      </w:r>
      <w:r w:rsidRPr="00FC542D">
        <w:rPr>
          <w:rFonts w:hint="eastAsia"/>
        </w:rPr>
        <w:t>本辦法所稱主管機關為行政院原子能委員會。</w:t>
      </w:r>
      <w:r>
        <w:rPr>
          <w:rFonts w:hint="eastAsia"/>
        </w:rPr>
        <w:t>」</w:t>
      </w:r>
    </w:p>
  </w:footnote>
  <w:footnote w:id="3">
    <w:p w:rsidR="00C21261" w:rsidRDefault="00C21261">
      <w:pPr>
        <w:pStyle w:val="afe"/>
      </w:pPr>
      <w:r>
        <w:rPr>
          <w:rStyle w:val="aff0"/>
        </w:rPr>
        <w:footnoteRef/>
      </w:r>
      <w:r>
        <w:t xml:space="preserve"> </w:t>
      </w:r>
      <w:r w:rsidRPr="009923DE">
        <w:rPr>
          <w:rFonts w:hint="eastAsia"/>
        </w:rPr>
        <w:t>94</w:t>
      </w:r>
      <w:r w:rsidRPr="009923DE">
        <w:rPr>
          <w:rFonts w:hint="eastAsia"/>
        </w:rPr>
        <w:t>年8月1日更名為「臺北市輻射污染建築物事件善後處理自治條例」</w:t>
      </w:r>
      <w:r>
        <w:rPr>
          <w:rFonts w:hint="eastAsia"/>
        </w:rPr>
        <w:t>。</w:t>
      </w:r>
    </w:p>
  </w:footnote>
  <w:footnote w:id="4">
    <w:p w:rsidR="00C21261" w:rsidRDefault="00C21261" w:rsidP="00F1744E">
      <w:pPr>
        <w:pStyle w:val="afe"/>
        <w:jc w:val="both"/>
      </w:pPr>
      <w:r>
        <w:rPr>
          <w:rStyle w:val="aff0"/>
        </w:rPr>
        <w:footnoteRef/>
      </w:r>
      <w:r>
        <w:t xml:space="preserve"> </w:t>
      </w:r>
      <w:r w:rsidRPr="00F1744E">
        <w:rPr>
          <w:rFonts w:hint="eastAsia"/>
        </w:rPr>
        <w:t>臺北市輻射污染建築物事件善後處理辦法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條規定：「</w:t>
      </w:r>
      <w:r w:rsidRPr="00F1744E">
        <w:rPr>
          <w:rFonts w:hint="eastAsia"/>
        </w:rPr>
        <w:t>本辦法所稱主管機關為</w:t>
      </w:r>
      <w:r>
        <w:rPr>
          <w:rFonts w:hint="eastAsia"/>
        </w:rPr>
        <w:t>臺</w:t>
      </w:r>
      <w:r w:rsidRPr="00F1744E">
        <w:rPr>
          <w:rFonts w:hint="eastAsia"/>
        </w:rPr>
        <w:t>北市政府。</w:t>
      </w:r>
      <w:r>
        <w:rPr>
          <w:rFonts w:hint="eastAsia"/>
        </w:rPr>
        <w:t>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4A5F5684"/>
    <w:multiLevelType w:val="hybridMultilevel"/>
    <w:tmpl w:val="B4D4C5E2"/>
    <w:lvl w:ilvl="0" w:tplc="8B9A157C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46F7"/>
    <w:rsid w:val="0003114D"/>
    <w:rsid w:val="0003418F"/>
    <w:rsid w:val="00036D76"/>
    <w:rsid w:val="00046063"/>
    <w:rsid w:val="000546CD"/>
    <w:rsid w:val="00057F32"/>
    <w:rsid w:val="00061803"/>
    <w:rsid w:val="00061873"/>
    <w:rsid w:val="00062A25"/>
    <w:rsid w:val="00062C18"/>
    <w:rsid w:val="00066798"/>
    <w:rsid w:val="00073CB5"/>
    <w:rsid w:val="0007425C"/>
    <w:rsid w:val="00077553"/>
    <w:rsid w:val="00083A37"/>
    <w:rsid w:val="00083B29"/>
    <w:rsid w:val="0008494C"/>
    <w:rsid w:val="000851A2"/>
    <w:rsid w:val="00090A4B"/>
    <w:rsid w:val="0009352E"/>
    <w:rsid w:val="00094387"/>
    <w:rsid w:val="00096B96"/>
    <w:rsid w:val="000A14C7"/>
    <w:rsid w:val="000A2F3F"/>
    <w:rsid w:val="000B0B4A"/>
    <w:rsid w:val="000B279A"/>
    <w:rsid w:val="000B61D2"/>
    <w:rsid w:val="000B70A7"/>
    <w:rsid w:val="000B73DD"/>
    <w:rsid w:val="000C495F"/>
    <w:rsid w:val="000D66D9"/>
    <w:rsid w:val="000E6431"/>
    <w:rsid w:val="000F21A5"/>
    <w:rsid w:val="000F4243"/>
    <w:rsid w:val="000F5C0B"/>
    <w:rsid w:val="001001C1"/>
    <w:rsid w:val="00102B9F"/>
    <w:rsid w:val="00112637"/>
    <w:rsid w:val="00112ABC"/>
    <w:rsid w:val="0011490C"/>
    <w:rsid w:val="0011626A"/>
    <w:rsid w:val="0012001E"/>
    <w:rsid w:val="001233A1"/>
    <w:rsid w:val="00126A55"/>
    <w:rsid w:val="00131EA1"/>
    <w:rsid w:val="00133F08"/>
    <w:rsid w:val="001345E6"/>
    <w:rsid w:val="00134EA7"/>
    <w:rsid w:val="001378B0"/>
    <w:rsid w:val="00142E00"/>
    <w:rsid w:val="00152793"/>
    <w:rsid w:val="00153B7E"/>
    <w:rsid w:val="00154096"/>
    <w:rsid w:val="001545A9"/>
    <w:rsid w:val="00156CED"/>
    <w:rsid w:val="001637C7"/>
    <w:rsid w:val="0016480E"/>
    <w:rsid w:val="00174297"/>
    <w:rsid w:val="00180E06"/>
    <w:rsid w:val="001817B3"/>
    <w:rsid w:val="00183014"/>
    <w:rsid w:val="001842E8"/>
    <w:rsid w:val="00192FB4"/>
    <w:rsid w:val="001959C2"/>
    <w:rsid w:val="001A51E3"/>
    <w:rsid w:val="001A7968"/>
    <w:rsid w:val="001B2E98"/>
    <w:rsid w:val="001B3483"/>
    <w:rsid w:val="001B3625"/>
    <w:rsid w:val="001B3C1E"/>
    <w:rsid w:val="001B4494"/>
    <w:rsid w:val="001C0D8B"/>
    <w:rsid w:val="001C0DA8"/>
    <w:rsid w:val="001D4A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4860"/>
    <w:rsid w:val="00204F6B"/>
    <w:rsid w:val="00212E88"/>
    <w:rsid w:val="00213C9C"/>
    <w:rsid w:val="0022009E"/>
    <w:rsid w:val="00223241"/>
    <w:rsid w:val="0022425C"/>
    <w:rsid w:val="002246DE"/>
    <w:rsid w:val="00224857"/>
    <w:rsid w:val="002268FA"/>
    <w:rsid w:val="002418F6"/>
    <w:rsid w:val="002429E2"/>
    <w:rsid w:val="00252BC4"/>
    <w:rsid w:val="00254014"/>
    <w:rsid w:val="00254B39"/>
    <w:rsid w:val="002572AE"/>
    <w:rsid w:val="0026504D"/>
    <w:rsid w:val="00273A2F"/>
    <w:rsid w:val="00273CF3"/>
    <w:rsid w:val="00280986"/>
    <w:rsid w:val="00281ECE"/>
    <w:rsid w:val="002831C7"/>
    <w:rsid w:val="002840C6"/>
    <w:rsid w:val="00294B7A"/>
    <w:rsid w:val="00295174"/>
    <w:rsid w:val="00296172"/>
    <w:rsid w:val="00296B92"/>
    <w:rsid w:val="002A2B44"/>
    <w:rsid w:val="002A2C22"/>
    <w:rsid w:val="002A6748"/>
    <w:rsid w:val="002B02EB"/>
    <w:rsid w:val="002C0602"/>
    <w:rsid w:val="002D5C16"/>
    <w:rsid w:val="002F2476"/>
    <w:rsid w:val="002F3DFF"/>
    <w:rsid w:val="002F5E05"/>
    <w:rsid w:val="003064AE"/>
    <w:rsid w:val="00307A76"/>
    <w:rsid w:val="00307CAB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45A0D"/>
    <w:rsid w:val="00352DB0"/>
    <w:rsid w:val="00361063"/>
    <w:rsid w:val="0037094A"/>
    <w:rsid w:val="00371ED3"/>
    <w:rsid w:val="00372659"/>
    <w:rsid w:val="00372FFC"/>
    <w:rsid w:val="00373D6C"/>
    <w:rsid w:val="00376A37"/>
    <w:rsid w:val="0037728A"/>
    <w:rsid w:val="00380B7D"/>
    <w:rsid w:val="00381A99"/>
    <w:rsid w:val="003829C2"/>
    <w:rsid w:val="003830B2"/>
    <w:rsid w:val="00384724"/>
    <w:rsid w:val="00384BA0"/>
    <w:rsid w:val="003919B7"/>
    <w:rsid w:val="00391D57"/>
    <w:rsid w:val="00392292"/>
    <w:rsid w:val="00394F45"/>
    <w:rsid w:val="003A5927"/>
    <w:rsid w:val="003B1017"/>
    <w:rsid w:val="003B1185"/>
    <w:rsid w:val="003B17F1"/>
    <w:rsid w:val="003B3C07"/>
    <w:rsid w:val="003B6081"/>
    <w:rsid w:val="003B6775"/>
    <w:rsid w:val="003C0066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05384"/>
    <w:rsid w:val="004053C8"/>
    <w:rsid w:val="00413F83"/>
    <w:rsid w:val="0041490C"/>
    <w:rsid w:val="00416191"/>
    <w:rsid w:val="00416721"/>
    <w:rsid w:val="00416CCF"/>
    <w:rsid w:val="00417715"/>
    <w:rsid w:val="00421EF0"/>
    <w:rsid w:val="004224FA"/>
    <w:rsid w:val="00423D07"/>
    <w:rsid w:val="00427936"/>
    <w:rsid w:val="004318E2"/>
    <w:rsid w:val="0044346F"/>
    <w:rsid w:val="00453FF6"/>
    <w:rsid w:val="0046520A"/>
    <w:rsid w:val="004672AB"/>
    <w:rsid w:val="004714FE"/>
    <w:rsid w:val="00477BAA"/>
    <w:rsid w:val="00495053"/>
    <w:rsid w:val="00497708"/>
    <w:rsid w:val="004A1F59"/>
    <w:rsid w:val="004A29BE"/>
    <w:rsid w:val="004A3225"/>
    <w:rsid w:val="004A33EE"/>
    <w:rsid w:val="004A3AA8"/>
    <w:rsid w:val="004B13C7"/>
    <w:rsid w:val="004B43D0"/>
    <w:rsid w:val="004B778F"/>
    <w:rsid w:val="004C0609"/>
    <w:rsid w:val="004C60A9"/>
    <w:rsid w:val="004C639F"/>
    <w:rsid w:val="004D141F"/>
    <w:rsid w:val="004D2742"/>
    <w:rsid w:val="004D6310"/>
    <w:rsid w:val="004E0062"/>
    <w:rsid w:val="004E05A1"/>
    <w:rsid w:val="004E46CC"/>
    <w:rsid w:val="004E49C3"/>
    <w:rsid w:val="004F472A"/>
    <w:rsid w:val="004F5E57"/>
    <w:rsid w:val="004F62ED"/>
    <w:rsid w:val="004F6710"/>
    <w:rsid w:val="00500C3E"/>
    <w:rsid w:val="00502849"/>
    <w:rsid w:val="00504334"/>
    <w:rsid w:val="0050498D"/>
    <w:rsid w:val="00506E1D"/>
    <w:rsid w:val="005104D7"/>
    <w:rsid w:val="00510B9E"/>
    <w:rsid w:val="00536BC2"/>
    <w:rsid w:val="005425E1"/>
    <w:rsid w:val="005427C5"/>
    <w:rsid w:val="00542CF6"/>
    <w:rsid w:val="0055357B"/>
    <w:rsid w:val="00553C03"/>
    <w:rsid w:val="0055670B"/>
    <w:rsid w:val="00557192"/>
    <w:rsid w:val="00557369"/>
    <w:rsid w:val="00560DDA"/>
    <w:rsid w:val="00563692"/>
    <w:rsid w:val="00571679"/>
    <w:rsid w:val="00571909"/>
    <w:rsid w:val="00584235"/>
    <w:rsid w:val="005844E7"/>
    <w:rsid w:val="00590136"/>
    <w:rsid w:val="005908B8"/>
    <w:rsid w:val="0059512E"/>
    <w:rsid w:val="005A0917"/>
    <w:rsid w:val="005A5198"/>
    <w:rsid w:val="005A6DD2"/>
    <w:rsid w:val="005B06F6"/>
    <w:rsid w:val="005C385D"/>
    <w:rsid w:val="005C47E6"/>
    <w:rsid w:val="005D3A6F"/>
    <w:rsid w:val="005D3B20"/>
    <w:rsid w:val="005D71B7"/>
    <w:rsid w:val="005E4759"/>
    <w:rsid w:val="005E5C68"/>
    <w:rsid w:val="005E65C0"/>
    <w:rsid w:val="005F0390"/>
    <w:rsid w:val="005F4C56"/>
    <w:rsid w:val="0060697E"/>
    <w:rsid w:val="006072CD"/>
    <w:rsid w:val="00612023"/>
    <w:rsid w:val="00614190"/>
    <w:rsid w:val="00622A99"/>
    <w:rsid w:val="00622E67"/>
    <w:rsid w:val="00626B57"/>
    <w:rsid w:val="00626EDC"/>
    <w:rsid w:val="00642DD9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197E"/>
    <w:rsid w:val="00663162"/>
    <w:rsid w:val="0066425B"/>
    <w:rsid w:val="00674E84"/>
    <w:rsid w:val="006773EC"/>
    <w:rsid w:val="006802D6"/>
    <w:rsid w:val="00680504"/>
    <w:rsid w:val="0068112E"/>
    <w:rsid w:val="006813F9"/>
    <w:rsid w:val="00681CD9"/>
    <w:rsid w:val="00682AFE"/>
    <w:rsid w:val="00683E30"/>
    <w:rsid w:val="00687024"/>
    <w:rsid w:val="0069258B"/>
    <w:rsid w:val="00695E22"/>
    <w:rsid w:val="006B7093"/>
    <w:rsid w:val="006B7417"/>
    <w:rsid w:val="006C4A0F"/>
    <w:rsid w:val="006D31F9"/>
    <w:rsid w:val="006D3691"/>
    <w:rsid w:val="006D7625"/>
    <w:rsid w:val="006E27AD"/>
    <w:rsid w:val="006E5EF0"/>
    <w:rsid w:val="006E79BD"/>
    <w:rsid w:val="006F2ADF"/>
    <w:rsid w:val="006F3563"/>
    <w:rsid w:val="006F42B9"/>
    <w:rsid w:val="006F6103"/>
    <w:rsid w:val="006F7FCD"/>
    <w:rsid w:val="00704E00"/>
    <w:rsid w:val="00707409"/>
    <w:rsid w:val="007109B7"/>
    <w:rsid w:val="0071747B"/>
    <w:rsid w:val="007209E7"/>
    <w:rsid w:val="00726182"/>
    <w:rsid w:val="00727635"/>
    <w:rsid w:val="00732329"/>
    <w:rsid w:val="007337CA"/>
    <w:rsid w:val="00734CE4"/>
    <w:rsid w:val="00735123"/>
    <w:rsid w:val="00740028"/>
    <w:rsid w:val="00741837"/>
    <w:rsid w:val="007453E6"/>
    <w:rsid w:val="0075447D"/>
    <w:rsid w:val="00770453"/>
    <w:rsid w:val="0077309D"/>
    <w:rsid w:val="007774EE"/>
    <w:rsid w:val="00781822"/>
    <w:rsid w:val="00783F21"/>
    <w:rsid w:val="00787159"/>
    <w:rsid w:val="00787854"/>
    <w:rsid w:val="0079043A"/>
    <w:rsid w:val="00791668"/>
    <w:rsid w:val="00791AA1"/>
    <w:rsid w:val="00793B11"/>
    <w:rsid w:val="007A3793"/>
    <w:rsid w:val="007A3D23"/>
    <w:rsid w:val="007B13FB"/>
    <w:rsid w:val="007C1BA2"/>
    <w:rsid w:val="007C2B48"/>
    <w:rsid w:val="007D20E9"/>
    <w:rsid w:val="007D3BC5"/>
    <w:rsid w:val="007D7881"/>
    <w:rsid w:val="007D7E3A"/>
    <w:rsid w:val="007E0E10"/>
    <w:rsid w:val="007E4768"/>
    <w:rsid w:val="007E777B"/>
    <w:rsid w:val="007F2070"/>
    <w:rsid w:val="007F63C1"/>
    <w:rsid w:val="008031CF"/>
    <w:rsid w:val="008053F5"/>
    <w:rsid w:val="00807AF7"/>
    <w:rsid w:val="00810198"/>
    <w:rsid w:val="0081218B"/>
    <w:rsid w:val="00815BB4"/>
    <w:rsid w:val="00815DA8"/>
    <w:rsid w:val="0082194D"/>
    <w:rsid w:val="008221F9"/>
    <w:rsid w:val="00822A8E"/>
    <w:rsid w:val="008234E5"/>
    <w:rsid w:val="00826EF5"/>
    <w:rsid w:val="00831693"/>
    <w:rsid w:val="00840104"/>
    <w:rsid w:val="00840C1F"/>
    <w:rsid w:val="008411C9"/>
    <w:rsid w:val="00841FC5"/>
    <w:rsid w:val="00843D0F"/>
    <w:rsid w:val="00845709"/>
    <w:rsid w:val="008519B1"/>
    <w:rsid w:val="008576BD"/>
    <w:rsid w:val="00860272"/>
    <w:rsid w:val="00860463"/>
    <w:rsid w:val="00872CE5"/>
    <w:rsid w:val="008733DA"/>
    <w:rsid w:val="008850E4"/>
    <w:rsid w:val="008939AB"/>
    <w:rsid w:val="008A12F5"/>
    <w:rsid w:val="008B0B25"/>
    <w:rsid w:val="008B1587"/>
    <w:rsid w:val="008B1B01"/>
    <w:rsid w:val="008B3BCD"/>
    <w:rsid w:val="008B6DF8"/>
    <w:rsid w:val="008C106C"/>
    <w:rsid w:val="008C10F1"/>
    <w:rsid w:val="008C1926"/>
    <w:rsid w:val="008C1E99"/>
    <w:rsid w:val="008D1FEC"/>
    <w:rsid w:val="008E0085"/>
    <w:rsid w:val="008E2AA6"/>
    <w:rsid w:val="008E311B"/>
    <w:rsid w:val="008F46E7"/>
    <w:rsid w:val="008F64CA"/>
    <w:rsid w:val="008F6F0B"/>
    <w:rsid w:val="008F7E4B"/>
    <w:rsid w:val="00907BA7"/>
    <w:rsid w:val="0091064E"/>
    <w:rsid w:val="00911FC5"/>
    <w:rsid w:val="009121DE"/>
    <w:rsid w:val="00913CB2"/>
    <w:rsid w:val="00917E4A"/>
    <w:rsid w:val="00921D15"/>
    <w:rsid w:val="00922D5F"/>
    <w:rsid w:val="009316C2"/>
    <w:rsid w:val="00931A10"/>
    <w:rsid w:val="00945CE3"/>
    <w:rsid w:val="00947967"/>
    <w:rsid w:val="00952BCF"/>
    <w:rsid w:val="00955201"/>
    <w:rsid w:val="00965200"/>
    <w:rsid w:val="009668B3"/>
    <w:rsid w:val="00971471"/>
    <w:rsid w:val="00981120"/>
    <w:rsid w:val="009819A0"/>
    <w:rsid w:val="009849C2"/>
    <w:rsid w:val="00984D24"/>
    <w:rsid w:val="009858EB"/>
    <w:rsid w:val="009923DE"/>
    <w:rsid w:val="009A3546"/>
    <w:rsid w:val="009A3F47"/>
    <w:rsid w:val="009B0046"/>
    <w:rsid w:val="009B4E5F"/>
    <w:rsid w:val="009C1440"/>
    <w:rsid w:val="009C2107"/>
    <w:rsid w:val="009C34EA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9F7772"/>
    <w:rsid w:val="00A022BE"/>
    <w:rsid w:val="00A07B4B"/>
    <w:rsid w:val="00A14B88"/>
    <w:rsid w:val="00A24C95"/>
    <w:rsid w:val="00A2599A"/>
    <w:rsid w:val="00A26094"/>
    <w:rsid w:val="00A301BF"/>
    <w:rsid w:val="00A302B2"/>
    <w:rsid w:val="00A30D6A"/>
    <w:rsid w:val="00A331B4"/>
    <w:rsid w:val="00A3484E"/>
    <w:rsid w:val="00A356D3"/>
    <w:rsid w:val="00A35AF3"/>
    <w:rsid w:val="00A36ADA"/>
    <w:rsid w:val="00A37C4D"/>
    <w:rsid w:val="00A438D8"/>
    <w:rsid w:val="00A473F5"/>
    <w:rsid w:val="00A51F9D"/>
    <w:rsid w:val="00A5416A"/>
    <w:rsid w:val="00A54E97"/>
    <w:rsid w:val="00A639F4"/>
    <w:rsid w:val="00A65864"/>
    <w:rsid w:val="00A65FAE"/>
    <w:rsid w:val="00A81A32"/>
    <w:rsid w:val="00A835BD"/>
    <w:rsid w:val="00A93562"/>
    <w:rsid w:val="00A97B15"/>
    <w:rsid w:val="00AA3964"/>
    <w:rsid w:val="00AA42D5"/>
    <w:rsid w:val="00AB2619"/>
    <w:rsid w:val="00AB2FAB"/>
    <w:rsid w:val="00AB5C14"/>
    <w:rsid w:val="00AC1EE7"/>
    <w:rsid w:val="00AC333F"/>
    <w:rsid w:val="00AC585C"/>
    <w:rsid w:val="00AD1925"/>
    <w:rsid w:val="00AD541F"/>
    <w:rsid w:val="00AE067D"/>
    <w:rsid w:val="00AF1181"/>
    <w:rsid w:val="00AF2F79"/>
    <w:rsid w:val="00AF4653"/>
    <w:rsid w:val="00AF7DB7"/>
    <w:rsid w:val="00B10D02"/>
    <w:rsid w:val="00B111CE"/>
    <w:rsid w:val="00B13D88"/>
    <w:rsid w:val="00B16208"/>
    <w:rsid w:val="00B201E2"/>
    <w:rsid w:val="00B32D12"/>
    <w:rsid w:val="00B443E4"/>
    <w:rsid w:val="00B477CE"/>
    <w:rsid w:val="00B5287D"/>
    <w:rsid w:val="00B5484D"/>
    <w:rsid w:val="00B563EA"/>
    <w:rsid w:val="00B56CDF"/>
    <w:rsid w:val="00B60E51"/>
    <w:rsid w:val="00B6262B"/>
    <w:rsid w:val="00B6398F"/>
    <w:rsid w:val="00B63A54"/>
    <w:rsid w:val="00B714C0"/>
    <w:rsid w:val="00B77D18"/>
    <w:rsid w:val="00B80C88"/>
    <w:rsid w:val="00B8313A"/>
    <w:rsid w:val="00B90F16"/>
    <w:rsid w:val="00B93503"/>
    <w:rsid w:val="00BA31E8"/>
    <w:rsid w:val="00BA44CC"/>
    <w:rsid w:val="00BA55E0"/>
    <w:rsid w:val="00BA6BD4"/>
    <w:rsid w:val="00BA6C7A"/>
    <w:rsid w:val="00BB17D1"/>
    <w:rsid w:val="00BB3752"/>
    <w:rsid w:val="00BB6688"/>
    <w:rsid w:val="00BC1A1D"/>
    <w:rsid w:val="00BC231F"/>
    <w:rsid w:val="00BC26D4"/>
    <w:rsid w:val="00BC7B0F"/>
    <w:rsid w:val="00BE0C80"/>
    <w:rsid w:val="00BE2BD5"/>
    <w:rsid w:val="00BE3A80"/>
    <w:rsid w:val="00BF0059"/>
    <w:rsid w:val="00BF2A42"/>
    <w:rsid w:val="00C03D8C"/>
    <w:rsid w:val="00C055EC"/>
    <w:rsid w:val="00C10DC9"/>
    <w:rsid w:val="00C12FB3"/>
    <w:rsid w:val="00C158DE"/>
    <w:rsid w:val="00C16E87"/>
    <w:rsid w:val="00C17341"/>
    <w:rsid w:val="00C21261"/>
    <w:rsid w:val="00C22500"/>
    <w:rsid w:val="00C24EEF"/>
    <w:rsid w:val="00C25CF6"/>
    <w:rsid w:val="00C26691"/>
    <w:rsid w:val="00C26C36"/>
    <w:rsid w:val="00C32768"/>
    <w:rsid w:val="00C431DF"/>
    <w:rsid w:val="00C456BD"/>
    <w:rsid w:val="00C460B3"/>
    <w:rsid w:val="00C530DC"/>
    <w:rsid w:val="00C5350D"/>
    <w:rsid w:val="00C5440B"/>
    <w:rsid w:val="00C57437"/>
    <w:rsid w:val="00C57C23"/>
    <w:rsid w:val="00C6123C"/>
    <w:rsid w:val="00C6311A"/>
    <w:rsid w:val="00C6380D"/>
    <w:rsid w:val="00C67D8F"/>
    <w:rsid w:val="00C7084D"/>
    <w:rsid w:val="00C70F8D"/>
    <w:rsid w:val="00C7315E"/>
    <w:rsid w:val="00C75895"/>
    <w:rsid w:val="00C83B0B"/>
    <w:rsid w:val="00C83C9F"/>
    <w:rsid w:val="00C92360"/>
    <w:rsid w:val="00C94840"/>
    <w:rsid w:val="00CA3BD9"/>
    <w:rsid w:val="00CA4EE3"/>
    <w:rsid w:val="00CB027F"/>
    <w:rsid w:val="00CB0DE6"/>
    <w:rsid w:val="00CC0EBB"/>
    <w:rsid w:val="00CC6297"/>
    <w:rsid w:val="00CC7532"/>
    <w:rsid w:val="00CC7690"/>
    <w:rsid w:val="00CD1986"/>
    <w:rsid w:val="00CD54BF"/>
    <w:rsid w:val="00CE22DB"/>
    <w:rsid w:val="00CE2E69"/>
    <w:rsid w:val="00CE4D5C"/>
    <w:rsid w:val="00CF05DA"/>
    <w:rsid w:val="00CF490D"/>
    <w:rsid w:val="00CF58EB"/>
    <w:rsid w:val="00CF6CFA"/>
    <w:rsid w:val="00CF6FEC"/>
    <w:rsid w:val="00D00501"/>
    <w:rsid w:val="00D0106E"/>
    <w:rsid w:val="00D06383"/>
    <w:rsid w:val="00D20E85"/>
    <w:rsid w:val="00D24615"/>
    <w:rsid w:val="00D37842"/>
    <w:rsid w:val="00D42DC2"/>
    <w:rsid w:val="00D4302B"/>
    <w:rsid w:val="00D537E1"/>
    <w:rsid w:val="00D55BB2"/>
    <w:rsid w:val="00D6091A"/>
    <w:rsid w:val="00D6605A"/>
    <w:rsid w:val="00D6695F"/>
    <w:rsid w:val="00D70DA7"/>
    <w:rsid w:val="00D75644"/>
    <w:rsid w:val="00D81656"/>
    <w:rsid w:val="00D83D87"/>
    <w:rsid w:val="00D84A6D"/>
    <w:rsid w:val="00D86A30"/>
    <w:rsid w:val="00D97CB4"/>
    <w:rsid w:val="00D97DD4"/>
    <w:rsid w:val="00DA5A8A"/>
    <w:rsid w:val="00DA7C51"/>
    <w:rsid w:val="00DB1170"/>
    <w:rsid w:val="00DB26CD"/>
    <w:rsid w:val="00DB441C"/>
    <w:rsid w:val="00DB44AF"/>
    <w:rsid w:val="00DC00CB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E6BF1"/>
    <w:rsid w:val="00DF1218"/>
    <w:rsid w:val="00DF6462"/>
    <w:rsid w:val="00E02FA0"/>
    <w:rsid w:val="00E036DC"/>
    <w:rsid w:val="00E10454"/>
    <w:rsid w:val="00E112E5"/>
    <w:rsid w:val="00E122D8"/>
    <w:rsid w:val="00E12CC8"/>
    <w:rsid w:val="00E15352"/>
    <w:rsid w:val="00E2036F"/>
    <w:rsid w:val="00E21CC7"/>
    <w:rsid w:val="00E24D9E"/>
    <w:rsid w:val="00E25849"/>
    <w:rsid w:val="00E27946"/>
    <w:rsid w:val="00E27FE2"/>
    <w:rsid w:val="00E30F42"/>
    <w:rsid w:val="00E3197E"/>
    <w:rsid w:val="00E342F8"/>
    <w:rsid w:val="00E351ED"/>
    <w:rsid w:val="00E417AA"/>
    <w:rsid w:val="00E42B19"/>
    <w:rsid w:val="00E46706"/>
    <w:rsid w:val="00E50E8F"/>
    <w:rsid w:val="00E6034B"/>
    <w:rsid w:val="00E6549E"/>
    <w:rsid w:val="00E65EDE"/>
    <w:rsid w:val="00E70F81"/>
    <w:rsid w:val="00E723A8"/>
    <w:rsid w:val="00E74484"/>
    <w:rsid w:val="00E77055"/>
    <w:rsid w:val="00E77460"/>
    <w:rsid w:val="00E80864"/>
    <w:rsid w:val="00E83ABC"/>
    <w:rsid w:val="00E844F2"/>
    <w:rsid w:val="00E90AD0"/>
    <w:rsid w:val="00E92FCB"/>
    <w:rsid w:val="00EA147F"/>
    <w:rsid w:val="00EA4A27"/>
    <w:rsid w:val="00EA4FA6"/>
    <w:rsid w:val="00EA523C"/>
    <w:rsid w:val="00EA53CE"/>
    <w:rsid w:val="00EB1A25"/>
    <w:rsid w:val="00EB1D81"/>
    <w:rsid w:val="00EB603E"/>
    <w:rsid w:val="00EB6E26"/>
    <w:rsid w:val="00EC1F8A"/>
    <w:rsid w:val="00EC483B"/>
    <w:rsid w:val="00EC7363"/>
    <w:rsid w:val="00ED03AB"/>
    <w:rsid w:val="00ED1963"/>
    <w:rsid w:val="00ED1CD4"/>
    <w:rsid w:val="00ED1D2B"/>
    <w:rsid w:val="00ED64B5"/>
    <w:rsid w:val="00ED70F1"/>
    <w:rsid w:val="00EE0C30"/>
    <w:rsid w:val="00EE22BF"/>
    <w:rsid w:val="00EE2DE8"/>
    <w:rsid w:val="00EE7CCA"/>
    <w:rsid w:val="00F06E53"/>
    <w:rsid w:val="00F16A14"/>
    <w:rsid w:val="00F1744E"/>
    <w:rsid w:val="00F34344"/>
    <w:rsid w:val="00F362D7"/>
    <w:rsid w:val="00F36534"/>
    <w:rsid w:val="00F37D7B"/>
    <w:rsid w:val="00F43C79"/>
    <w:rsid w:val="00F5314C"/>
    <w:rsid w:val="00F5688C"/>
    <w:rsid w:val="00F60048"/>
    <w:rsid w:val="00F635DD"/>
    <w:rsid w:val="00F65BB7"/>
    <w:rsid w:val="00F6627B"/>
    <w:rsid w:val="00F7336E"/>
    <w:rsid w:val="00F734F2"/>
    <w:rsid w:val="00F75052"/>
    <w:rsid w:val="00F779AD"/>
    <w:rsid w:val="00F804D3"/>
    <w:rsid w:val="00F816CB"/>
    <w:rsid w:val="00F818DA"/>
    <w:rsid w:val="00F81CD2"/>
    <w:rsid w:val="00F82641"/>
    <w:rsid w:val="00F90F18"/>
    <w:rsid w:val="00F92BBA"/>
    <w:rsid w:val="00F937E4"/>
    <w:rsid w:val="00F944DB"/>
    <w:rsid w:val="00F95EE7"/>
    <w:rsid w:val="00FA39E6"/>
    <w:rsid w:val="00FA6CB6"/>
    <w:rsid w:val="00FA708A"/>
    <w:rsid w:val="00FA7BC9"/>
    <w:rsid w:val="00FB378E"/>
    <w:rsid w:val="00FB37F1"/>
    <w:rsid w:val="00FB47C0"/>
    <w:rsid w:val="00FB501B"/>
    <w:rsid w:val="00FB5B30"/>
    <w:rsid w:val="00FB719A"/>
    <w:rsid w:val="00FB7770"/>
    <w:rsid w:val="00FC542D"/>
    <w:rsid w:val="00FC79D7"/>
    <w:rsid w:val="00FD3B91"/>
    <w:rsid w:val="00FD576B"/>
    <w:rsid w:val="00FD579E"/>
    <w:rsid w:val="00FD64EA"/>
    <w:rsid w:val="00FD6845"/>
    <w:rsid w:val="00FD6875"/>
    <w:rsid w:val="00FE0FE5"/>
    <w:rsid w:val="00FE4516"/>
    <w:rsid w:val="00FE64C8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B5A8E"/>
  <w15:docId w15:val="{DC80F65A-7A9B-44D8-B826-5776234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uiPriority w:val="9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basedOn w:val="a7"/>
    <w:link w:val="1"/>
    <w:uiPriority w:val="9"/>
    <w:rsid w:val="004E49C3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7"/>
    <w:link w:val="ad"/>
    <w:uiPriority w:val="99"/>
    <w:rsid w:val="004E49C3"/>
    <w:rPr>
      <w:rFonts w:ascii="標楷體" w:eastAsia="標楷體"/>
      <w:kern w:val="2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basedOn w:val="a7"/>
    <w:link w:val="af4"/>
    <w:uiPriority w:val="99"/>
    <w:rsid w:val="004E49C3"/>
    <w:rPr>
      <w:rFonts w:ascii="標楷體" w:eastAsia="標楷體"/>
      <w:kern w:val="2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Plain Text"/>
    <w:basedOn w:val="a6"/>
    <w:link w:val="afd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d">
    <w:name w:val="純文字 字元"/>
    <w:basedOn w:val="a7"/>
    <w:link w:val="afc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e">
    <w:name w:val="footnote text"/>
    <w:basedOn w:val="a6"/>
    <w:link w:val="aff"/>
    <w:uiPriority w:val="99"/>
    <w:unhideWhenUsed/>
    <w:rsid w:val="00C5440B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7"/>
    <w:link w:val="afe"/>
    <w:uiPriority w:val="99"/>
    <w:rsid w:val="00C5440B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unhideWhenUsed/>
    <w:rsid w:val="00C5440B"/>
    <w:rPr>
      <w:vertAlign w:val="superscript"/>
    </w:rPr>
  </w:style>
  <w:style w:type="character" w:customStyle="1" w:styleId="32">
    <w:name w:val="本文縮排 3 字元"/>
    <w:basedOn w:val="a7"/>
    <w:link w:val="33"/>
    <w:semiHidden/>
    <w:rsid w:val="004E49C3"/>
    <w:rPr>
      <w:rFonts w:ascii="標楷體" w:eastAsia="標楷體"/>
      <w:kern w:val="2"/>
      <w:sz w:val="32"/>
    </w:rPr>
  </w:style>
  <w:style w:type="paragraph" w:styleId="33">
    <w:name w:val="Body Text Indent 3"/>
    <w:basedOn w:val="a6"/>
    <w:link w:val="32"/>
    <w:semiHidden/>
    <w:rsid w:val="004E49C3"/>
    <w:pPr>
      <w:overflowPunct/>
      <w:autoSpaceDE/>
      <w:autoSpaceDN/>
      <w:ind w:left="1890" w:hanging="1316"/>
      <w:jc w:val="left"/>
    </w:pPr>
  </w:style>
  <w:style w:type="character" w:customStyle="1" w:styleId="23">
    <w:name w:val="本文縮排 2 字元"/>
    <w:basedOn w:val="a7"/>
    <w:link w:val="24"/>
    <w:semiHidden/>
    <w:rsid w:val="004E49C3"/>
    <w:rPr>
      <w:rFonts w:eastAsia="華康儷楷書"/>
      <w:spacing w:val="-4"/>
      <w:kern w:val="2"/>
      <w:sz w:val="24"/>
    </w:rPr>
  </w:style>
  <w:style w:type="paragraph" w:styleId="24">
    <w:name w:val="Body Text Indent 2"/>
    <w:basedOn w:val="a6"/>
    <w:link w:val="23"/>
    <w:semiHidden/>
    <w:rsid w:val="004E49C3"/>
    <w:pPr>
      <w:overflowPunct/>
      <w:autoSpaceDE/>
      <w:autoSpaceDN/>
      <w:spacing w:line="360" w:lineRule="exact"/>
      <w:ind w:left="41" w:hanging="3"/>
      <w:jc w:val="left"/>
    </w:pPr>
    <w:rPr>
      <w:rFonts w:ascii="Times New Roman" w:eastAsia="華康儷楷書"/>
      <w:spacing w:val="-4"/>
      <w:sz w:val="24"/>
    </w:rPr>
  </w:style>
  <w:style w:type="character" w:customStyle="1" w:styleId="aff1">
    <w:name w:val="本文 字元"/>
    <w:basedOn w:val="a7"/>
    <w:link w:val="aff2"/>
    <w:semiHidden/>
    <w:rsid w:val="004E49C3"/>
    <w:rPr>
      <w:rFonts w:eastAsia="華康隸書體W7"/>
      <w:spacing w:val="-4"/>
      <w:kern w:val="2"/>
      <w:sz w:val="44"/>
    </w:rPr>
  </w:style>
  <w:style w:type="paragraph" w:styleId="aff2">
    <w:name w:val="Body Text"/>
    <w:basedOn w:val="a6"/>
    <w:link w:val="aff1"/>
    <w:semiHidden/>
    <w:rsid w:val="004E49C3"/>
    <w:pPr>
      <w:overflowPunct/>
      <w:autoSpaceDE/>
      <w:autoSpaceDN/>
      <w:spacing w:after="120" w:line="460" w:lineRule="exact"/>
      <w:ind w:right="57"/>
      <w:jc w:val="distribute"/>
    </w:pPr>
    <w:rPr>
      <w:rFonts w:ascii="Times New Roman" w:eastAsia="華康隸書體W7"/>
      <w:spacing w:val="-4"/>
      <w:sz w:val="44"/>
    </w:rPr>
  </w:style>
  <w:style w:type="character" w:customStyle="1" w:styleId="25">
    <w:name w:val="本文 2 字元"/>
    <w:basedOn w:val="a7"/>
    <w:link w:val="26"/>
    <w:semiHidden/>
    <w:rsid w:val="004E49C3"/>
    <w:rPr>
      <w:rFonts w:ascii="全真楷書" w:eastAsia="全真楷書"/>
      <w:color w:val="000000"/>
      <w:kern w:val="2"/>
      <w:sz w:val="24"/>
    </w:rPr>
  </w:style>
  <w:style w:type="paragraph" w:styleId="26">
    <w:name w:val="Body Text 2"/>
    <w:basedOn w:val="a6"/>
    <w:link w:val="25"/>
    <w:semiHidden/>
    <w:rsid w:val="004E49C3"/>
    <w:pPr>
      <w:overflowPunct/>
      <w:autoSpaceDE/>
      <w:autoSpaceDN/>
      <w:spacing w:line="320" w:lineRule="exact"/>
      <w:outlineLvl w:val="0"/>
    </w:pPr>
    <w:rPr>
      <w:rFonts w:ascii="全真楷書" w:eastAsia="全真楷書"/>
      <w:color w:val="000000"/>
      <w:sz w:val="24"/>
    </w:rPr>
  </w:style>
  <w:style w:type="table" w:customStyle="1" w:styleId="13">
    <w:name w:val="表格格線1"/>
    <w:basedOn w:val="a8"/>
    <w:next w:val="af8"/>
    <w:uiPriority w:val="59"/>
    <w:rsid w:val="004C60A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4461-1A56-4057-9DB4-1F6A2168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10</TotalTime>
  <Pages>18</Pages>
  <Words>1830</Words>
  <Characters>10434</Characters>
  <Application>Microsoft Office Word</Application>
  <DocSecurity>0</DocSecurity>
  <Lines>86</Lines>
  <Paragraphs>24</Paragraphs>
  <ScaleCrop>false</ScaleCrop>
  <Company>cy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林玲伊</cp:lastModifiedBy>
  <cp:revision>4</cp:revision>
  <cp:lastPrinted>2015-06-11T03:52:00Z</cp:lastPrinted>
  <dcterms:created xsi:type="dcterms:W3CDTF">2020-07-20T05:50:00Z</dcterms:created>
  <dcterms:modified xsi:type="dcterms:W3CDTF">2020-07-21T01:24:00Z</dcterms:modified>
</cp:coreProperties>
</file>