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E8F" w:rsidRPr="00F447AE" w:rsidRDefault="002D7E8F" w:rsidP="002D7E8F">
      <w:pPr>
        <w:spacing w:line="500" w:lineRule="exact"/>
        <w:ind w:leftChars="6" w:left="978" w:hangingChars="301" w:hanging="964"/>
        <w:rPr>
          <w:rFonts w:ascii="標楷體" w:eastAsia="標楷體" w:hAnsi="Arial" w:cs="Times New Roman"/>
          <w:b/>
          <w:bCs/>
          <w:color w:val="000000" w:themeColor="text1"/>
          <w:kern w:val="32"/>
          <w:sz w:val="32"/>
          <w:szCs w:val="52"/>
        </w:rPr>
      </w:pPr>
      <w:bookmarkStart w:id="0" w:name="_Toc26708450"/>
      <w:r w:rsidRPr="00F447AE">
        <w:rPr>
          <w:rFonts w:ascii="標楷體" w:eastAsia="標楷體" w:hAnsi="Arial" w:cs="Times New Roman" w:hint="eastAsia"/>
          <w:b/>
          <w:bCs/>
          <w:color w:val="000000" w:themeColor="text1"/>
          <w:kern w:val="32"/>
          <w:sz w:val="32"/>
          <w:szCs w:val="52"/>
        </w:rPr>
        <w:t>題目：「</w:t>
      </w:r>
      <w:proofErr w:type="gramStart"/>
      <w:r w:rsidR="00405D97" w:rsidRPr="00405D97">
        <w:rPr>
          <w:rFonts w:ascii="標楷體" w:eastAsia="標楷體" w:hAnsi="Arial" w:cs="Times New Roman" w:hint="eastAsia"/>
          <w:b/>
          <w:bCs/>
          <w:color w:val="000000" w:themeColor="text1"/>
          <w:kern w:val="32"/>
          <w:sz w:val="32"/>
          <w:szCs w:val="52"/>
        </w:rPr>
        <w:t>臺鐵舊</w:t>
      </w:r>
      <w:proofErr w:type="gramEnd"/>
      <w:r w:rsidR="00405D97" w:rsidRPr="00405D97">
        <w:rPr>
          <w:rFonts w:ascii="標楷體" w:eastAsia="標楷體" w:hAnsi="Arial" w:cs="Times New Roman" w:hint="eastAsia"/>
          <w:b/>
          <w:bCs/>
          <w:color w:val="000000" w:themeColor="text1"/>
          <w:kern w:val="32"/>
          <w:sz w:val="32"/>
          <w:szCs w:val="52"/>
        </w:rPr>
        <w:t>鐵道活化創新及支線營運效能提升之探討</w:t>
      </w:r>
      <w:r w:rsidRPr="00F447AE">
        <w:rPr>
          <w:rFonts w:ascii="標楷體" w:eastAsia="標楷體" w:hAnsi="Arial" w:cs="Times New Roman" w:hint="eastAsia"/>
          <w:b/>
          <w:bCs/>
          <w:color w:val="000000" w:themeColor="text1"/>
          <w:kern w:val="32"/>
          <w:sz w:val="32"/>
          <w:szCs w:val="52"/>
        </w:rPr>
        <w:t>」通案性案件調查研究。</w:t>
      </w:r>
    </w:p>
    <w:p w:rsidR="002D7E8F" w:rsidRPr="00F447AE" w:rsidRDefault="002D7E8F" w:rsidP="002D7E8F">
      <w:pPr>
        <w:pStyle w:val="1"/>
        <w:spacing w:beforeLines="50" w:before="180" w:line="500" w:lineRule="exact"/>
        <w:rPr>
          <w:b/>
          <w:color w:val="000000" w:themeColor="text1"/>
        </w:rPr>
      </w:pPr>
      <w:r w:rsidRPr="00F447AE">
        <w:rPr>
          <w:b/>
          <w:color w:val="000000" w:themeColor="text1"/>
        </w:rPr>
        <w:t>結論與建議</w:t>
      </w:r>
      <w:bookmarkEnd w:id="0"/>
    </w:p>
    <w:p w:rsidR="00405D97" w:rsidRDefault="00405D97" w:rsidP="00405D97">
      <w:pPr>
        <w:pStyle w:val="11"/>
        <w:spacing w:line="520" w:lineRule="exact"/>
        <w:ind w:left="480" w:firstLine="640"/>
        <w:rPr>
          <w:rFonts w:hAnsi="標楷體"/>
          <w:color w:val="000000"/>
        </w:rPr>
      </w:pPr>
      <w:bookmarkStart w:id="1" w:name="_Toc531681056"/>
      <w:bookmarkStart w:id="2" w:name="_Toc499627646"/>
      <w:bookmarkStart w:id="3" w:name="_Toc499543373"/>
      <w:bookmarkStart w:id="4" w:name="_Toc499043726"/>
      <w:r>
        <w:rPr>
          <w:rFonts w:hAnsi="標楷體" w:hint="eastAsia"/>
          <w:color w:val="000000"/>
        </w:rPr>
        <w:t>本案經半年調查研究，並函請交通部暨所屬鐵道及觀光發展之中央主管機關提供相關卷證。另為實地瞭解舊鐵道之活化創新、支線營運效能等情形，分別前往平溪線、深澳線、內灣線、六家線、苗栗舊山線、集集線、沙崙線及高雄臨港線等地現場履</w:t>
      </w:r>
      <w:proofErr w:type="gramStart"/>
      <w:r>
        <w:rPr>
          <w:rFonts w:hAnsi="標楷體" w:hint="eastAsia"/>
          <w:color w:val="000000"/>
        </w:rPr>
        <w:t>勘</w:t>
      </w:r>
      <w:proofErr w:type="gramEnd"/>
      <w:r>
        <w:rPr>
          <w:rFonts w:hAnsi="標楷體" w:hint="eastAsia"/>
          <w:color w:val="000000"/>
        </w:rPr>
        <w:t>，及聽取機關簡報與座談。</w:t>
      </w:r>
      <w:proofErr w:type="gramStart"/>
      <w:r>
        <w:rPr>
          <w:rFonts w:hAnsi="標楷體" w:hint="eastAsia"/>
          <w:color w:val="000000"/>
        </w:rPr>
        <w:t>嗣</w:t>
      </w:r>
      <w:proofErr w:type="gramEnd"/>
      <w:r>
        <w:rPr>
          <w:rFonts w:hAnsi="標楷體" w:hint="eastAsia"/>
          <w:color w:val="000000"/>
        </w:rPr>
        <w:t>於民國(下同)109年5月6日邀集交通部、鐵道局、</w:t>
      </w:r>
      <w:proofErr w:type="gramStart"/>
      <w:r>
        <w:rPr>
          <w:rFonts w:hAnsi="標楷體" w:hint="eastAsia"/>
          <w:color w:val="000000"/>
        </w:rPr>
        <w:t>臺鐵局</w:t>
      </w:r>
      <w:proofErr w:type="gramEnd"/>
      <w:r>
        <w:rPr>
          <w:rFonts w:hAnsi="標楷體" w:hint="eastAsia"/>
          <w:color w:val="000000"/>
        </w:rPr>
        <w:t>及觀光局等機關到院座談，復</w:t>
      </w:r>
      <w:proofErr w:type="gramStart"/>
      <w:r>
        <w:rPr>
          <w:rFonts w:hAnsi="標楷體" w:hint="eastAsia"/>
          <w:color w:val="000000"/>
        </w:rPr>
        <w:t>研析各</w:t>
      </w:r>
      <w:proofErr w:type="gramEnd"/>
      <w:r>
        <w:rPr>
          <w:rFonts w:hAnsi="標楷體" w:hint="eastAsia"/>
          <w:color w:val="000000"/>
        </w:rPr>
        <w:t>機關歷次函復及蒐集相關文獻，整理與統合產、官、學資料，業已調查</w:t>
      </w:r>
      <w:proofErr w:type="gramStart"/>
      <w:r>
        <w:rPr>
          <w:rFonts w:hAnsi="標楷體" w:hint="eastAsia"/>
          <w:color w:val="000000"/>
        </w:rPr>
        <w:t>研究竣事</w:t>
      </w:r>
      <w:proofErr w:type="gramEnd"/>
      <w:r>
        <w:rPr>
          <w:rFonts w:hAnsi="標楷體" w:hint="eastAsia"/>
          <w:color w:val="000000"/>
        </w:rPr>
        <w:t>。茲將結論與建議分述如</w:t>
      </w:r>
      <w:proofErr w:type="gramStart"/>
      <w:r>
        <w:rPr>
          <w:rFonts w:hAnsi="標楷體" w:hint="eastAsia"/>
          <w:color w:val="000000"/>
        </w:rPr>
        <w:t>后</w:t>
      </w:r>
      <w:proofErr w:type="gramEnd"/>
      <w:r>
        <w:rPr>
          <w:rFonts w:hAnsi="標楷體" w:hint="eastAsia"/>
          <w:color w:val="000000"/>
        </w:rPr>
        <w:t>：</w:t>
      </w:r>
      <w:bookmarkEnd w:id="1"/>
      <w:bookmarkEnd w:id="2"/>
      <w:bookmarkEnd w:id="3"/>
      <w:bookmarkEnd w:id="4"/>
    </w:p>
    <w:p w:rsidR="00405D97" w:rsidRDefault="00405D97" w:rsidP="00405D97">
      <w:pPr>
        <w:pStyle w:val="2"/>
        <w:numPr>
          <w:ilvl w:val="1"/>
          <w:numId w:val="2"/>
        </w:numPr>
        <w:spacing w:line="520" w:lineRule="exact"/>
        <w:rPr>
          <w:rFonts w:hAnsi="標楷體" w:hint="eastAsia"/>
          <w:b/>
          <w:color w:val="000000"/>
        </w:rPr>
      </w:pPr>
      <w:bookmarkStart w:id="5" w:name="_Toc44678564"/>
      <w:r>
        <w:rPr>
          <w:rFonts w:hAnsi="標楷體" w:hint="eastAsia"/>
          <w:b/>
          <w:color w:val="000000"/>
        </w:rPr>
        <w:t>鑒於國家軌道建設之整體發展有階層性及功能性，交通部應按鐵路法規定儘早完成全國鐵路網計畫，通盤檢視及規劃骨幹、城際與都會內的鐵道建設，</w:t>
      </w:r>
      <w:proofErr w:type="gramStart"/>
      <w:r>
        <w:rPr>
          <w:rFonts w:hAnsi="標楷體" w:hint="eastAsia"/>
          <w:b/>
          <w:color w:val="000000"/>
        </w:rPr>
        <w:t>俾</w:t>
      </w:r>
      <w:proofErr w:type="gramEnd"/>
      <w:r>
        <w:rPr>
          <w:rFonts w:hAnsi="標楷體" w:hint="eastAsia"/>
          <w:b/>
          <w:color w:val="000000"/>
        </w:rPr>
        <w:t>作為未來鐵路網發展政策指導，進一步帶動我國交通、產業、文化、觀光的發展，提升國家經濟發展競爭力：</w:t>
      </w:r>
      <w:bookmarkEnd w:id="5"/>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按鐵路法第10條：「全國鐵路網計畫，由交通部擬訂，報請行政院核定公告，分期實施；變更時亦同。」係為建立全國整體鐵道網發展目標與藍圖，交通部應依上述規定擬訂全國鐵路網計畫，</w:t>
      </w:r>
      <w:proofErr w:type="gramStart"/>
      <w:r>
        <w:rPr>
          <w:rFonts w:hAnsi="標楷體" w:hint="eastAsia"/>
          <w:color w:val="000000"/>
        </w:rPr>
        <w:t>俾</w:t>
      </w:r>
      <w:proofErr w:type="gramEnd"/>
      <w:r>
        <w:rPr>
          <w:rFonts w:hAnsi="標楷體" w:hint="eastAsia"/>
          <w:color w:val="000000"/>
        </w:rPr>
        <w:t>作為鐵路網發展政策指導。</w:t>
      </w:r>
      <w:proofErr w:type="gramStart"/>
      <w:r>
        <w:rPr>
          <w:rFonts w:hAnsi="標楷體" w:hint="eastAsia"/>
          <w:color w:val="000000"/>
        </w:rPr>
        <w:t>復按鐵路</w:t>
      </w:r>
      <w:proofErr w:type="gramEnd"/>
      <w:r>
        <w:rPr>
          <w:rFonts w:hAnsi="標楷體" w:hint="eastAsia"/>
          <w:color w:val="000000"/>
        </w:rPr>
        <w:t>法第22條：「國營鐵路之運輸，應統一調度管理；其辦法由交通部定之。」及第45條：「地方營、民營及專用鐵路之立案、興建、路線、組織變更、停止營運與廢止營運核准、行車、客運與貨運運輸業務、監督及其他相關事項</w:t>
      </w:r>
      <w:r>
        <w:rPr>
          <w:rFonts w:hAnsi="標楷體" w:hint="eastAsia"/>
          <w:color w:val="000000"/>
        </w:rPr>
        <w:lastRenderedPageBreak/>
        <w:t>之辦法，由交通部定之。」為現行地方營、民營及專用鐵路監督實施辦法之授權依據，因其授權內容未盡具體、明確，</w:t>
      </w:r>
      <w:proofErr w:type="gramStart"/>
      <w:r>
        <w:rPr>
          <w:rFonts w:hAnsi="標楷體" w:hint="eastAsia"/>
          <w:color w:val="000000"/>
        </w:rPr>
        <w:t>故明列</w:t>
      </w:r>
      <w:proofErr w:type="gramEnd"/>
      <w:r>
        <w:rPr>
          <w:rFonts w:hAnsi="標楷體" w:hint="eastAsia"/>
          <w:color w:val="000000"/>
        </w:rPr>
        <w:t>應監督事項，</w:t>
      </w:r>
      <w:proofErr w:type="gramStart"/>
      <w:r>
        <w:rPr>
          <w:rFonts w:hAnsi="標楷體" w:hint="eastAsia"/>
          <w:color w:val="000000"/>
        </w:rPr>
        <w:t>俾</w:t>
      </w:r>
      <w:proofErr w:type="gramEnd"/>
      <w:r>
        <w:rPr>
          <w:rFonts w:hAnsi="標楷體" w:hint="eastAsia"/>
          <w:color w:val="000000"/>
        </w:rPr>
        <w:t>符合授權明確原則。其授權訂定「地方營民營及專用鐵路監督實施辦法」第2條：「地方營、民營鐵路機構選定路線時，應配合全國鐵路網計畫興建經營。」</w:t>
      </w:r>
      <w:proofErr w:type="gramStart"/>
      <w:r>
        <w:rPr>
          <w:rFonts w:hAnsi="標楷體" w:hint="eastAsia"/>
          <w:color w:val="000000"/>
        </w:rPr>
        <w:t>均有明文</w:t>
      </w:r>
      <w:proofErr w:type="gramEnd"/>
      <w:r>
        <w:rPr>
          <w:rFonts w:hAnsi="標楷體" w:hint="eastAsia"/>
          <w:color w:val="000000"/>
        </w:rPr>
        <w:t>。</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查</w:t>
      </w:r>
      <w:proofErr w:type="gramStart"/>
      <w:r>
        <w:rPr>
          <w:rFonts w:hAnsi="標楷體" w:hint="eastAsia"/>
          <w:color w:val="000000"/>
        </w:rPr>
        <w:t>臺</w:t>
      </w:r>
      <w:proofErr w:type="gramEnd"/>
      <w:r>
        <w:rPr>
          <w:rFonts w:hAnsi="標楷體" w:hint="eastAsia"/>
          <w:color w:val="000000"/>
        </w:rPr>
        <w:t>鐵南</w:t>
      </w:r>
      <w:proofErr w:type="gramStart"/>
      <w:r>
        <w:rPr>
          <w:rFonts w:hAnsi="標楷體" w:hint="eastAsia"/>
          <w:color w:val="000000"/>
        </w:rPr>
        <w:t>迴</w:t>
      </w:r>
      <w:proofErr w:type="gramEnd"/>
      <w:r>
        <w:rPr>
          <w:rFonts w:hAnsi="標楷體" w:hint="eastAsia"/>
          <w:color w:val="000000"/>
        </w:rPr>
        <w:t>線於80年通車起，環島鐵路網正式成形，高速鐵路於96年通車加入西部運輸走廊服務，成功串聯北高兩地形成一日生活圈，整體鐵道網發展至今，從高速鐵路、</w:t>
      </w:r>
      <w:proofErr w:type="gramStart"/>
      <w:r>
        <w:rPr>
          <w:rFonts w:hAnsi="標楷體" w:hint="eastAsia"/>
          <w:color w:val="000000"/>
        </w:rPr>
        <w:t>臺</w:t>
      </w:r>
      <w:proofErr w:type="gramEnd"/>
      <w:r>
        <w:rPr>
          <w:rFonts w:hAnsi="標楷體" w:hint="eastAsia"/>
          <w:color w:val="000000"/>
        </w:rPr>
        <w:t>鐵，到都會捷運，已</w:t>
      </w:r>
      <w:proofErr w:type="gramStart"/>
      <w:r>
        <w:rPr>
          <w:rFonts w:hAnsi="標楷體" w:hint="eastAsia"/>
          <w:color w:val="000000"/>
        </w:rPr>
        <w:t>建構如高速公路</w:t>
      </w:r>
      <w:proofErr w:type="gramEnd"/>
      <w:r>
        <w:rPr>
          <w:rFonts w:hAnsi="標楷體" w:hint="eastAsia"/>
          <w:color w:val="000000"/>
        </w:rPr>
        <w:t>、省道、市區道路般層次分明之鐵道系統，提供民眾不同旅運特性之運輸服務。復政府為打造未來30年國家發展需要的基礎建設，積極規劃擴大全面性基礎建設的投資，行政院已於106年4月5日核定通過「前瞻基礎建設計畫」，並於同年7月7日公布施行，「軌道建設」即為八大建設計畫之一，「前瞻基礎建設計畫-軌道建設」共計38項計畫，推動主軸包括高鐵</w:t>
      </w:r>
      <w:proofErr w:type="gramStart"/>
      <w:r>
        <w:rPr>
          <w:rFonts w:hAnsi="標楷體" w:hint="eastAsia"/>
          <w:color w:val="000000"/>
        </w:rPr>
        <w:t>臺</w:t>
      </w:r>
      <w:proofErr w:type="gramEnd"/>
      <w:r>
        <w:rPr>
          <w:rFonts w:hAnsi="標楷體" w:hint="eastAsia"/>
          <w:color w:val="000000"/>
        </w:rPr>
        <w:t>鐵連結成網、</w:t>
      </w:r>
      <w:proofErr w:type="gramStart"/>
      <w:r>
        <w:rPr>
          <w:rFonts w:hAnsi="標楷體" w:hint="eastAsia"/>
          <w:color w:val="000000"/>
        </w:rPr>
        <w:t>臺</w:t>
      </w:r>
      <w:proofErr w:type="gramEnd"/>
      <w:r>
        <w:rPr>
          <w:rFonts w:hAnsi="標楷體" w:hint="eastAsia"/>
          <w:color w:val="000000"/>
        </w:rPr>
        <w:t>鐵升級及改善東部服務、鐵路立體化或</w:t>
      </w:r>
      <w:proofErr w:type="gramStart"/>
      <w:r>
        <w:rPr>
          <w:rFonts w:hAnsi="標楷體" w:hint="eastAsia"/>
          <w:color w:val="000000"/>
        </w:rPr>
        <w:t>通勤提速</w:t>
      </w:r>
      <w:proofErr w:type="gramEnd"/>
      <w:r>
        <w:rPr>
          <w:rFonts w:hAnsi="標楷體" w:hint="eastAsia"/>
          <w:color w:val="000000"/>
        </w:rPr>
        <w:t>、都市推捷運、中南部觀光鐵路等面向。</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然而，交通部自100年起始責由前鐵路改建工程局(現為鐵道局)啟動臺灣整體鐵道網相關規劃研究，進行</w:t>
      </w:r>
      <w:proofErr w:type="gramStart"/>
      <w:r>
        <w:rPr>
          <w:rFonts w:hAnsi="標楷體" w:hint="eastAsia"/>
          <w:color w:val="000000"/>
        </w:rPr>
        <w:t>擘</w:t>
      </w:r>
      <w:proofErr w:type="gramEnd"/>
      <w:r>
        <w:rPr>
          <w:rFonts w:hAnsi="標楷體" w:hint="eastAsia"/>
          <w:color w:val="000000"/>
        </w:rPr>
        <w:t>劃全國鐵路網發展藍圖，鐵道局完成</w:t>
      </w:r>
      <w:proofErr w:type="gramStart"/>
      <w:r>
        <w:rPr>
          <w:rFonts w:hAnsi="標楷體" w:hint="eastAsia"/>
          <w:color w:val="000000"/>
        </w:rPr>
        <w:t>研</w:t>
      </w:r>
      <w:proofErr w:type="gramEnd"/>
      <w:r>
        <w:rPr>
          <w:rFonts w:hAnsi="標楷體" w:hint="eastAsia"/>
          <w:color w:val="000000"/>
        </w:rPr>
        <w:t>擬規劃之「全國高快速鐵路網整體規劃」方於108年11月19日陳報交通部，奉部長指示作為未來鐵路網發</w:t>
      </w:r>
      <w:r>
        <w:rPr>
          <w:rFonts w:hAnsi="標楷體" w:hint="eastAsia"/>
          <w:color w:val="000000"/>
        </w:rPr>
        <w:lastRenderedPageBreak/>
        <w:t>展政策指導，後續並將向行政院報告。「全國高快速鐵路網整體規劃」以「西部高鐵、</w:t>
      </w:r>
      <w:proofErr w:type="gramStart"/>
      <w:r>
        <w:rPr>
          <w:rFonts w:hAnsi="標楷體" w:hint="eastAsia"/>
          <w:color w:val="000000"/>
        </w:rPr>
        <w:t>東部快鐵</w:t>
      </w:r>
      <w:proofErr w:type="gramEnd"/>
      <w:r>
        <w:rPr>
          <w:rFonts w:hAnsi="標楷體" w:hint="eastAsia"/>
          <w:color w:val="000000"/>
        </w:rPr>
        <w:t>」為主軸，</w:t>
      </w:r>
      <w:proofErr w:type="gramStart"/>
      <w:r>
        <w:rPr>
          <w:rFonts w:hAnsi="標楷體" w:hint="eastAsia"/>
          <w:color w:val="000000"/>
        </w:rPr>
        <w:t>臺</w:t>
      </w:r>
      <w:proofErr w:type="gramEnd"/>
      <w:r>
        <w:rPr>
          <w:rFonts w:hAnsi="標楷體" w:hint="eastAsia"/>
          <w:color w:val="000000"/>
        </w:rPr>
        <w:t>北/高雄/</w:t>
      </w:r>
      <w:proofErr w:type="gramStart"/>
      <w:r>
        <w:rPr>
          <w:rFonts w:hAnsi="標楷體" w:hint="eastAsia"/>
          <w:color w:val="000000"/>
        </w:rPr>
        <w:t>臺</w:t>
      </w:r>
      <w:proofErr w:type="gramEnd"/>
      <w:r>
        <w:rPr>
          <w:rFonts w:hAnsi="標楷體" w:hint="eastAsia"/>
          <w:color w:val="000000"/>
        </w:rPr>
        <w:t>東/花蓮間鐵路旅行時間皆可縮短至90分鐘</w:t>
      </w:r>
      <w:proofErr w:type="gramStart"/>
      <w:r>
        <w:rPr>
          <w:rFonts w:hAnsi="標楷體" w:hint="eastAsia"/>
          <w:color w:val="000000"/>
        </w:rPr>
        <w:t>以內，</w:t>
      </w:r>
      <w:proofErr w:type="gramEnd"/>
      <w:r>
        <w:rPr>
          <w:rFonts w:hAnsi="標楷體" w:hint="eastAsia"/>
          <w:color w:val="000000"/>
        </w:rPr>
        <w:t>全國鐵路網6小時串聯環島，北、中、南、東皆將成為國土核心。「全國高快速鐵路網整體規劃」包含五項主要工作，分別是「</w:t>
      </w:r>
      <w:proofErr w:type="gramStart"/>
      <w:r>
        <w:rPr>
          <w:rFonts w:hAnsi="標楷體" w:hint="eastAsia"/>
          <w:color w:val="000000"/>
        </w:rPr>
        <w:t>環島高快速</w:t>
      </w:r>
      <w:proofErr w:type="gramEnd"/>
      <w:r>
        <w:rPr>
          <w:rFonts w:hAnsi="標楷體" w:hint="eastAsia"/>
          <w:color w:val="000000"/>
        </w:rPr>
        <w:t>鐵路網，高鐵往南往東延伸，東部</w:t>
      </w:r>
      <w:proofErr w:type="gramStart"/>
      <w:r>
        <w:rPr>
          <w:rFonts w:hAnsi="標楷體" w:hint="eastAsia"/>
          <w:color w:val="000000"/>
        </w:rPr>
        <w:t>升級快鐵</w:t>
      </w:r>
      <w:proofErr w:type="gramEnd"/>
      <w:r>
        <w:rPr>
          <w:rFonts w:hAnsi="標楷體" w:hint="eastAsia"/>
          <w:color w:val="000000"/>
        </w:rPr>
        <w:t>」、「新增路線達成運輸走廊分流，雙軌化、電氣化增加調度彈性」、「樞紐車站大眾運輸導向將高鐵、</w:t>
      </w:r>
      <w:proofErr w:type="gramStart"/>
      <w:r>
        <w:rPr>
          <w:rFonts w:hAnsi="標楷體" w:hint="eastAsia"/>
          <w:color w:val="000000"/>
        </w:rPr>
        <w:t>臺</w:t>
      </w:r>
      <w:proofErr w:type="gramEnd"/>
      <w:r>
        <w:rPr>
          <w:rFonts w:hAnsi="標楷體" w:hint="eastAsia"/>
          <w:color w:val="000000"/>
        </w:rPr>
        <w:t>鐵及捷運串聯成網」、「發展鐵道觀光」及「推動鐵路立體化兼顧都市發展需求」。</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鐵道乃</w:t>
      </w:r>
      <w:proofErr w:type="gramStart"/>
      <w:r>
        <w:rPr>
          <w:rFonts w:hAnsi="標楷體" w:hint="eastAsia"/>
          <w:color w:val="000000"/>
        </w:rPr>
        <w:t>一</w:t>
      </w:r>
      <w:proofErr w:type="gramEnd"/>
      <w:r>
        <w:rPr>
          <w:rFonts w:hAnsi="標楷體" w:hint="eastAsia"/>
          <w:color w:val="000000"/>
        </w:rPr>
        <w:t>可以快速運送大量旅客，提供快速、安全舒適運輸服務的交通載具，鐵道建設與經濟發展不僅有相當關連性，亦與庶民的生活密切，繼</w:t>
      </w:r>
      <w:proofErr w:type="gramStart"/>
      <w:r>
        <w:rPr>
          <w:rFonts w:hAnsi="標楷體" w:hint="eastAsia"/>
          <w:color w:val="000000"/>
        </w:rPr>
        <w:t>臺</w:t>
      </w:r>
      <w:proofErr w:type="gramEnd"/>
      <w:r>
        <w:rPr>
          <w:rFonts w:hAnsi="標楷體" w:hint="eastAsia"/>
          <w:color w:val="000000"/>
        </w:rPr>
        <w:t>北捷運、高雄捷運、臺灣高速鐵路及高雄輕軌之籌建，促使軌道建設進入另一個階段，國內鐵道網發展已逐漸成形，加以國家軌道運輸系統整體發展應有階層性及功能性之考量；因此，站在提供鐵道運輸服務的立場，過去的單一運輸角色雖看似合理，但若是以國家鐵道功能的高度來看，交通部看待建置全國鐵道網規劃的基本態度，有必要以更宏觀的格局去考量，包括骨幹、城際及都會內的鐵道建設做全面性規劃，</w:t>
      </w:r>
      <w:proofErr w:type="gramStart"/>
      <w:r>
        <w:rPr>
          <w:rFonts w:hAnsi="標楷體" w:hint="eastAsia"/>
          <w:color w:val="000000"/>
        </w:rPr>
        <w:t>俾</w:t>
      </w:r>
      <w:proofErr w:type="gramEnd"/>
      <w:r>
        <w:rPr>
          <w:rFonts w:hAnsi="標楷體" w:hint="eastAsia"/>
          <w:color w:val="000000"/>
        </w:rPr>
        <w:t>進一步帶動我國交通、產業、文化、觀光的發展，提升國家經濟發展競爭力。</w:t>
      </w:r>
    </w:p>
    <w:p w:rsidR="00405D97" w:rsidRDefault="00405D97" w:rsidP="00405D97">
      <w:pPr>
        <w:pStyle w:val="3"/>
        <w:numPr>
          <w:ilvl w:val="2"/>
          <w:numId w:val="2"/>
        </w:numPr>
        <w:spacing w:line="520" w:lineRule="exact"/>
        <w:rPr>
          <w:rFonts w:hAnsi="標楷體" w:hint="eastAsia"/>
          <w:color w:val="000000"/>
        </w:rPr>
      </w:pPr>
      <w:proofErr w:type="gramStart"/>
      <w:r>
        <w:rPr>
          <w:rFonts w:hAnsi="標楷體" w:hint="eastAsia"/>
          <w:color w:val="000000"/>
        </w:rPr>
        <w:t>此外，</w:t>
      </w:r>
      <w:proofErr w:type="gramEnd"/>
      <w:r>
        <w:rPr>
          <w:rFonts w:hAnsi="標楷體" w:hint="eastAsia"/>
          <w:color w:val="000000"/>
        </w:rPr>
        <w:t>為符合「大眾運輸為導向的都市發展」(Transit-Oriented Development，下稱TOD)理念，</w:t>
      </w:r>
      <w:r>
        <w:rPr>
          <w:rFonts w:hAnsi="標楷體" w:hint="eastAsia"/>
          <w:color w:val="000000"/>
        </w:rPr>
        <w:lastRenderedPageBreak/>
        <w:t>即以交通建設結合土地活化，帶動都市發展，按聯合國交通及發展政策研究所(Institute for Transportation and Development Policy, ITDP)之「大眾運輸導向發展評估標準(TOD Standard)」一書，內容包含TOD發展的八大指標，分別為步行、自行車、連接、大眾運輸、混合、密集、緊湊及轉變，可謂國際在衡量及判定TOD發展上極為重要的要素與標準。環顧臺灣地形與人口結構，類似日本軌道運輸相當發達之國家，其鐵路建設特點之一，即鐵路建設營運機構與地方政府充分合作，地方政府願意協助鐵路建設之必要相關事宜，並同意給予土地資產之最佳利用效益及經營彈性，經由鐵道建設改善鐵路基礎設施及提供更優質之大眾運輸服務系統，充分落實交通建設、都市發展與土地開發結合之TOD機能，值得臺灣作為借鏡。</w:t>
      </w:r>
      <w:proofErr w:type="gramStart"/>
      <w:r>
        <w:rPr>
          <w:rFonts w:hAnsi="標楷體" w:hint="eastAsia"/>
          <w:color w:val="000000"/>
        </w:rPr>
        <w:t>臺鐵局</w:t>
      </w:r>
      <w:proofErr w:type="gramEnd"/>
      <w:r>
        <w:rPr>
          <w:rFonts w:hAnsi="標楷體" w:hint="eastAsia"/>
          <w:color w:val="000000"/>
        </w:rPr>
        <w:t>及鐵道局等</w:t>
      </w:r>
      <w:proofErr w:type="gramStart"/>
      <w:r>
        <w:rPr>
          <w:rFonts w:hAnsi="標楷體" w:hint="eastAsia"/>
          <w:color w:val="000000"/>
        </w:rPr>
        <w:t>機關均曾赴</w:t>
      </w:r>
      <w:proofErr w:type="gramEnd"/>
      <w:r>
        <w:rPr>
          <w:rFonts w:hAnsi="標楷體" w:hint="eastAsia"/>
          <w:color w:val="000000"/>
        </w:rPr>
        <w:t>日本考察取經，交通部亦應將結合鐵路優勢條件及地方都市發展需求之思維，落實於規劃全國鐵路網整體計畫。</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綜上，軌道建設除提供快速、安全與舒適之運輸服務外，鐵道路網與都市發展實有密切關係，鑒於國家軌道建設之整體發展有階層性及功能性，交通部應按鐵路法規定儘早完成全國鐵路網計畫，通盤檢視及規劃骨幹、城際及都會內的鐵道建設，並建立統一調度管理機制，</w:t>
      </w:r>
      <w:proofErr w:type="gramStart"/>
      <w:r>
        <w:rPr>
          <w:rFonts w:hAnsi="標楷體" w:hint="eastAsia"/>
          <w:color w:val="000000"/>
        </w:rPr>
        <w:t>俾</w:t>
      </w:r>
      <w:proofErr w:type="gramEnd"/>
      <w:r>
        <w:rPr>
          <w:rFonts w:hAnsi="標楷體" w:hint="eastAsia"/>
          <w:color w:val="000000"/>
        </w:rPr>
        <w:t>作為未來鐵路網發展政策指導，進一步帶動我國交通、產業、文化、觀光的發展，提升國家經濟發展競爭力。</w:t>
      </w:r>
    </w:p>
    <w:p w:rsidR="00405D97" w:rsidRDefault="00405D97" w:rsidP="00405D97">
      <w:pPr>
        <w:pStyle w:val="2"/>
        <w:numPr>
          <w:ilvl w:val="1"/>
          <w:numId w:val="2"/>
        </w:numPr>
        <w:spacing w:line="520" w:lineRule="exact"/>
        <w:rPr>
          <w:rFonts w:hAnsi="標楷體" w:hint="eastAsia"/>
          <w:b/>
          <w:color w:val="000000"/>
        </w:rPr>
      </w:pPr>
      <w:bookmarkStart w:id="6" w:name="_Toc44678565"/>
      <w:r>
        <w:rPr>
          <w:rFonts w:hAnsi="標楷體" w:hint="eastAsia"/>
          <w:b/>
          <w:color w:val="000000"/>
        </w:rPr>
        <w:lastRenderedPageBreak/>
        <w:t>鑒於高速鐵路長程運輸競爭優勢、城市捷運系統及公路</w:t>
      </w:r>
      <w:proofErr w:type="gramStart"/>
      <w:r>
        <w:rPr>
          <w:rFonts w:hAnsi="標楷體" w:hint="eastAsia"/>
          <w:b/>
          <w:color w:val="000000"/>
        </w:rPr>
        <w:t>路</w:t>
      </w:r>
      <w:proofErr w:type="gramEnd"/>
      <w:r>
        <w:rPr>
          <w:rFonts w:hAnsi="標楷體" w:hint="eastAsia"/>
          <w:b/>
          <w:color w:val="000000"/>
        </w:rPr>
        <w:t>網普及等發展之影響，</w:t>
      </w:r>
      <w:proofErr w:type="gramStart"/>
      <w:r>
        <w:rPr>
          <w:rFonts w:hAnsi="標楷體" w:hint="eastAsia"/>
          <w:b/>
          <w:color w:val="000000"/>
        </w:rPr>
        <w:t>臺鐵局</w:t>
      </w:r>
      <w:proofErr w:type="gramEnd"/>
      <w:r>
        <w:rPr>
          <w:rFonts w:hAnsi="標楷體" w:hint="eastAsia"/>
          <w:b/>
          <w:color w:val="000000"/>
        </w:rPr>
        <w:t>允應</w:t>
      </w:r>
      <w:r>
        <w:rPr>
          <w:rFonts w:hAnsi="標楷體" w:hint="eastAsia"/>
          <w:b/>
        </w:rPr>
        <w:t>就</w:t>
      </w:r>
      <w:r>
        <w:rPr>
          <w:rFonts w:hAnsi="標楷體" w:hint="eastAsia"/>
          <w:b/>
          <w:color w:val="000000"/>
        </w:rPr>
        <w:t>既有完整之</w:t>
      </w:r>
      <w:proofErr w:type="gramStart"/>
      <w:r>
        <w:rPr>
          <w:rFonts w:hAnsi="標楷體" w:hint="eastAsia"/>
          <w:b/>
          <w:color w:val="000000"/>
        </w:rPr>
        <w:t>環島路網</w:t>
      </w:r>
      <w:proofErr w:type="gramEnd"/>
      <w:r>
        <w:rPr>
          <w:rFonts w:hAnsi="標楷體" w:hint="eastAsia"/>
          <w:b/>
          <w:color w:val="000000"/>
        </w:rPr>
        <w:t>及支線系統等優勢，確認</w:t>
      </w:r>
      <w:proofErr w:type="gramStart"/>
      <w:r>
        <w:rPr>
          <w:rFonts w:hAnsi="標楷體" w:hint="eastAsia"/>
          <w:b/>
          <w:color w:val="000000"/>
        </w:rPr>
        <w:t>臺</w:t>
      </w:r>
      <w:proofErr w:type="gramEnd"/>
      <w:r>
        <w:rPr>
          <w:rFonts w:hAnsi="標楷體" w:hint="eastAsia"/>
          <w:b/>
          <w:color w:val="000000"/>
        </w:rPr>
        <w:t>鐵在</w:t>
      </w:r>
      <w:r>
        <w:rPr>
          <w:rFonts w:hAnsi="標楷體" w:hint="eastAsia"/>
          <w:b/>
        </w:rPr>
        <w:t>運輸市場之定位，以明確各</w:t>
      </w:r>
      <w:r>
        <w:rPr>
          <w:rFonts w:hAnsi="標楷體" w:hint="eastAsia"/>
          <w:b/>
          <w:color w:val="000000"/>
        </w:rPr>
        <w:t>路線功能並調整經營策略，增加</w:t>
      </w:r>
      <w:proofErr w:type="gramStart"/>
      <w:r>
        <w:rPr>
          <w:rFonts w:hAnsi="標楷體" w:hint="eastAsia"/>
          <w:b/>
          <w:color w:val="000000"/>
        </w:rPr>
        <w:t>臺</w:t>
      </w:r>
      <w:proofErr w:type="gramEnd"/>
      <w:r>
        <w:rPr>
          <w:rFonts w:hAnsi="標楷體" w:hint="eastAsia"/>
          <w:b/>
          <w:color w:val="000000"/>
        </w:rPr>
        <w:t>鐵多元發展機會及永續經營價值：</w:t>
      </w:r>
      <w:bookmarkEnd w:id="6"/>
    </w:p>
    <w:p w:rsidR="00405D97" w:rsidRPr="00405D97" w:rsidRDefault="00405D97" w:rsidP="00405D97">
      <w:pPr>
        <w:pStyle w:val="3"/>
        <w:numPr>
          <w:ilvl w:val="2"/>
          <w:numId w:val="2"/>
        </w:numPr>
        <w:spacing w:line="520" w:lineRule="exact"/>
        <w:rPr>
          <w:rFonts w:hAnsi="標楷體"/>
        </w:rPr>
      </w:pPr>
      <w:r>
        <w:rPr>
          <w:rFonts w:hAnsi="標楷體" w:hint="eastAsia"/>
          <w:color w:val="000000"/>
        </w:rPr>
        <w:t>按</w:t>
      </w:r>
      <w:proofErr w:type="gramStart"/>
      <w:r>
        <w:rPr>
          <w:rFonts w:hAnsi="標楷體" w:hint="eastAsia"/>
          <w:color w:val="000000"/>
        </w:rPr>
        <w:t>臺鐵係</w:t>
      </w:r>
      <w:proofErr w:type="gramEnd"/>
      <w:r>
        <w:rPr>
          <w:rFonts w:hAnsi="標楷體" w:hint="eastAsia"/>
          <w:color w:val="000000"/>
        </w:rPr>
        <w:t>指交通部臺灣鐵路管理局(下稱</w:t>
      </w:r>
      <w:proofErr w:type="gramStart"/>
      <w:r>
        <w:rPr>
          <w:rFonts w:hAnsi="標楷體" w:hint="eastAsia"/>
          <w:color w:val="000000"/>
        </w:rPr>
        <w:t>臺鐵局</w:t>
      </w:r>
      <w:proofErr w:type="gramEnd"/>
      <w:r>
        <w:rPr>
          <w:rFonts w:hAnsi="標楷體" w:hint="eastAsia"/>
          <w:color w:val="000000"/>
        </w:rPr>
        <w:t>)直營的鐵路線之總稱，為臺灣主要的鐵路運輸系統，採用1,067公釐(窄軌)軌距，不同於高速鐵路、都會捷運及高雄輕軌、淡海輕軌等系統採用1,435公釐(標準)軌距。查目前</w:t>
      </w:r>
      <w:proofErr w:type="gramStart"/>
      <w:r>
        <w:rPr>
          <w:rFonts w:hAnsi="標楷體" w:hint="eastAsia"/>
          <w:color w:val="000000"/>
        </w:rPr>
        <w:t>臺</w:t>
      </w:r>
      <w:proofErr w:type="gramEnd"/>
      <w:r>
        <w:rPr>
          <w:rFonts w:hAnsi="標楷體" w:hint="eastAsia"/>
          <w:color w:val="000000"/>
        </w:rPr>
        <w:t>鐵營運路線總計14線，包括縱貫線(基隆-高雄)、</w:t>
      </w:r>
      <w:proofErr w:type="gramStart"/>
      <w:r>
        <w:rPr>
          <w:rFonts w:hAnsi="標楷體" w:hint="eastAsia"/>
          <w:color w:val="000000"/>
        </w:rPr>
        <w:t>臺</w:t>
      </w:r>
      <w:proofErr w:type="gramEnd"/>
      <w:r>
        <w:rPr>
          <w:rFonts w:hAnsi="標楷體" w:hint="eastAsia"/>
          <w:color w:val="000000"/>
        </w:rPr>
        <w:t>中線(竹南-彰化)、</w:t>
      </w:r>
      <w:proofErr w:type="gramStart"/>
      <w:r>
        <w:rPr>
          <w:rFonts w:hAnsi="標楷體" w:hint="eastAsia"/>
          <w:color w:val="000000"/>
        </w:rPr>
        <w:t>成追線</w:t>
      </w:r>
      <w:proofErr w:type="gramEnd"/>
      <w:r>
        <w:rPr>
          <w:rFonts w:hAnsi="標楷體" w:hint="eastAsia"/>
          <w:color w:val="000000"/>
        </w:rPr>
        <w:t>(成功-追分，山線與海線之間的聯絡線，屬</w:t>
      </w:r>
      <w:proofErr w:type="gramStart"/>
      <w:r>
        <w:rPr>
          <w:rFonts w:hAnsi="標楷體" w:hint="eastAsia"/>
          <w:color w:val="000000"/>
        </w:rPr>
        <w:t>臺</w:t>
      </w:r>
      <w:proofErr w:type="gramEnd"/>
      <w:r>
        <w:rPr>
          <w:rFonts w:hAnsi="標楷體" w:hint="eastAsia"/>
          <w:color w:val="000000"/>
        </w:rPr>
        <w:t>鐵幹線)、屏東線(高雄-枋寮)、南</w:t>
      </w:r>
      <w:proofErr w:type="gramStart"/>
      <w:r>
        <w:rPr>
          <w:rFonts w:hAnsi="標楷體" w:hint="eastAsia"/>
          <w:color w:val="000000"/>
        </w:rPr>
        <w:t>迴</w:t>
      </w:r>
      <w:proofErr w:type="gramEnd"/>
      <w:r>
        <w:rPr>
          <w:rFonts w:hAnsi="標楷體" w:hint="eastAsia"/>
          <w:color w:val="000000"/>
        </w:rPr>
        <w:t>線(枋寮-</w:t>
      </w:r>
      <w:proofErr w:type="gramStart"/>
      <w:r>
        <w:rPr>
          <w:rFonts w:hAnsi="標楷體" w:hint="eastAsia"/>
          <w:color w:val="000000"/>
        </w:rPr>
        <w:t>臺</w:t>
      </w:r>
      <w:proofErr w:type="gramEnd"/>
      <w:r>
        <w:rPr>
          <w:rFonts w:hAnsi="標楷體" w:hint="eastAsia"/>
          <w:color w:val="000000"/>
        </w:rPr>
        <w:t>東)、宜蘭線(八堵-蘇澳)、北</w:t>
      </w:r>
      <w:proofErr w:type="gramStart"/>
      <w:r>
        <w:rPr>
          <w:rFonts w:hAnsi="標楷體" w:hint="eastAsia"/>
          <w:color w:val="000000"/>
        </w:rPr>
        <w:t>迴</w:t>
      </w:r>
      <w:proofErr w:type="gramEnd"/>
      <w:r>
        <w:rPr>
          <w:rFonts w:hAnsi="標楷體" w:hint="eastAsia"/>
          <w:color w:val="000000"/>
        </w:rPr>
        <w:t>線(蘇澳新-花蓮)、</w:t>
      </w:r>
      <w:proofErr w:type="gramStart"/>
      <w:r>
        <w:rPr>
          <w:rFonts w:hAnsi="標楷體" w:hint="eastAsia"/>
          <w:color w:val="000000"/>
        </w:rPr>
        <w:t>臺</w:t>
      </w:r>
      <w:proofErr w:type="gramEnd"/>
      <w:r>
        <w:rPr>
          <w:rFonts w:hAnsi="標楷體" w:hint="eastAsia"/>
          <w:color w:val="000000"/>
        </w:rPr>
        <w:t>東線(花蓮-</w:t>
      </w:r>
      <w:proofErr w:type="gramStart"/>
      <w:r>
        <w:rPr>
          <w:rFonts w:hAnsi="標楷體" w:hint="eastAsia"/>
          <w:color w:val="000000"/>
        </w:rPr>
        <w:t>臺</w:t>
      </w:r>
      <w:proofErr w:type="gramEnd"/>
      <w:r>
        <w:rPr>
          <w:rFonts w:hAnsi="標楷體" w:hint="eastAsia"/>
          <w:color w:val="000000"/>
        </w:rPr>
        <w:t>東)、新竹六家線(竹中-六家，下稱六家線)、內灣線(新竹-內灣)、集集線(二水-車埕)、</w:t>
      </w:r>
      <w:proofErr w:type="gramStart"/>
      <w:r>
        <w:rPr>
          <w:rFonts w:hAnsi="標楷體" w:hint="eastAsia"/>
          <w:color w:val="000000"/>
        </w:rPr>
        <w:t>臺</w:t>
      </w:r>
      <w:proofErr w:type="gramEnd"/>
      <w:r>
        <w:rPr>
          <w:rFonts w:hAnsi="標楷體" w:hint="eastAsia"/>
          <w:color w:val="000000"/>
        </w:rPr>
        <w:t>南沙崙線(中洲-沙崙，下稱沙崙線)、深澳線(瑞芳-八斗子)及平溪線(三貂嶺-</w:t>
      </w:r>
      <w:proofErr w:type="gramStart"/>
      <w:r>
        <w:rPr>
          <w:rFonts w:hAnsi="標楷體" w:hint="eastAsia"/>
          <w:color w:val="000000"/>
        </w:rPr>
        <w:t>菁</w:t>
      </w:r>
      <w:proofErr w:type="gramEnd"/>
      <w:r>
        <w:rPr>
          <w:rFonts w:hAnsi="標楷體" w:hint="eastAsia"/>
          <w:color w:val="000000"/>
        </w:rPr>
        <w:t>桐)，路線長度總計754.3公里，其中以縱貫線399.8公里為最長，</w:t>
      </w:r>
      <w:proofErr w:type="gramStart"/>
      <w:r>
        <w:rPr>
          <w:rFonts w:hAnsi="標楷體" w:hint="eastAsia"/>
          <w:color w:val="000000"/>
        </w:rPr>
        <w:t>成追線2.2公里</w:t>
      </w:r>
      <w:proofErr w:type="gramEnd"/>
      <w:r>
        <w:rPr>
          <w:rFonts w:hAnsi="標楷體" w:hint="eastAsia"/>
          <w:color w:val="000000"/>
        </w:rPr>
        <w:t>為最短，而環島路線網之外的6條路線(</w:t>
      </w:r>
      <w:proofErr w:type="gramStart"/>
      <w:r>
        <w:rPr>
          <w:rFonts w:hAnsi="標楷體" w:hint="eastAsia"/>
          <w:color w:val="000000"/>
        </w:rPr>
        <w:t>臺</w:t>
      </w:r>
      <w:proofErr w:type="gramEnd"/>
      <w:r>
        <w:rPr>
          <w:rFonts w:hAnsi="標楷體" w:hint="eastAsia"/>
          <w:color w:val="000000"/>
        </w:rPr>
        <w:t>鐵支線)，則以沙崙線3.1公里為最短，集集線29.7公里為最長。上述</w:t>
      </w:r>
      <w:proofErr w:type="gramStart"/>
      <w:r>
        <w:rPr>
          <w:rFonts w:hAnsi="標楷體" w:hint="eastAsia"/>
          <w:color w:val="000000"/>
        </w:rPr>
        <w:t>臺</w:t>
      </w:r>
      <w:proofErr w:type="gramEnd"/>
      <w:r>
        <w:rPr>
          <w:rFonts w:hAnsi="標楷體" w:hint="eastAsia"/>
          <w:color w:val="000000"/>
        </w:rPr>
        <w:t>鐵營運中路線，除南</w:t>
      </w:r>
      <w:proofErr w:type="gramStart"/>
      <w:r>
        <w:rPr>
          <w:rFonts w:hAnsi="標楷體" w:hint="eastAsia"/>
          <w:color w:val="000000"/>
        </w:rPr>
        <w:t>迴</w:t>
      </w:r>
      <w:proofErr w:type="gramEnd"/>
      <w:r>
        <w:rPr>
          <w:rFonts w:hAnsi="標楷體" w:hint="eastAsia"/>
          <w:color w:val="000000"/>
        </w:rPr>
        <w:t>線及內灣線僅部分路段電氣化，深澳線及平溪線無電氣化之外，其餘</w:t>
      </w:r>
      <w:proofErr w:type="gramStart"/>
      <w:r>
        <w:rPr>
          <w:rFonts w:hAnsi="標楷體" w:hint="eastAsia"/>
          <w:color w:val="000000"/>
        </w:rPr>
        <w:t>路線均已電氣化</w:t>
      </w:r>
      <w:proofErr w:type="gramEnd"/>
      <w:r>
        <w:rPr>
          <w:rFonts w:hAnsi="標楷體" w:hint="eastAsia"/>
          <w:color w:val="000000"/>
        </w:rPr>
        <w:t>。</w:t>
      </w:r>
      <w:proofErr w:type="gramStart"/>
      <w:r>
        <w:rPr>
          <w:rFonts w:hAnsi="標楷體" w:hint="eastAsia"/>
          <w:color w:val="000000"/>
        </w:rPr>
        <w:t>臺鐵路線網詳下</w:t>
      </w:r>
      <w:proofErr w:type="gramEnd"/>
      <w:r>
        <w:rPr>
          <w:rFonts w:hAnsi="標楷體" w:hint="eastAsia"/>
          <w:color w:val="000000"/>
        </w:rPr>
        <w:t>圖：</w:t>
      </w: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hint="eastAsia"/>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hint="eastAsia"/>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hint="eastAsia"/>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Default="00405D97" w:rsidP="00405D97">
      <w:pPr>
        <w:pStyle w:val="2"/>
        <w:numPr>
          <w:ilvl w:val="0"/>
          <w:numId w:val="0"/>
        </w:numPr>
        <w:spacing w:line="520" w:lineRule="exact"/>
        <w:ind w:left="1021"/>
        <w:rPr>
          <w:rFonts w:hAnsi="標楷體"/>
        </w:rPr>
      </w:pPr>
    </w:p>
    <w:p w:rsidR="00405D97" w:rsidRPr="00405D97" w:rsidRDefault="00405D97" w:rsidP="00405D97">
      <w:pPr>
        <w:pStyle w:val="2"/>
        <w:numPr>
          <w:ilvl w:val="0"/>
          <w:numId w:val="0"/>
        </w:numPr>
        <w:spacing w:line="520" w:lineRule="exact"/>
        <w:ind w:left="1021"/>
        <w:rPr>
          <w:rFonts w:hAnsi="標楷體" w:hint="eastAsia"/>
        </w:rPr>
      </w:pPr>
    </w:p>
    <w:p w:rsidR="00405D97" w:rsidRDefault="00405D97" w:rsidP="00405D97">
      <w:pPr>
        <w:spacing w:line="520" w:lineRule="exact"/>
        <w:ind w:firstLineChars="333" w:firstLine="799"/>
        <w:jc w:val="center"/>
        <w:rPr>
          <w:rFonts w:hAnsi="標楷體" w:hint="eastAsia"/>
        </w:rPr>
      </w:pPr>
      <w:r>
        <w:rPr>
          <w:rFonts w:hAnsi="標楷體"/>
          <w:noProof/>
          <w:color w:val="000000"/>
        </w:rPr>
        <w:drawing>
          <wp:anchor distT="0" distB="0" distL="114300" distR="114300" simplePos="0" relativeHeight="251658240" behindDoc="0" locked="0" layoutInCell="1" allowOverlap="1">
            <wp:simplePos x="0" y="0"/>
            <wp:positionH relativeFrom="column">
              <wp:posOffset>978408</wp:posOffset>
            </wp:positionH>
            <wp:positionV relativeFrom="paragraph">
              <wp:posOffset>-4975962</wp:posOffset>
            </wp:positionV>
            <wp:extent cx="3825875" cy="5230495"/>
            <wp:effectExtent l="0" t="0" r="3175" b="8255"/>
            <wp:wrapNone/>
            <wp:docPr id="2" name="圖片 2" descr="350px-TRA_Route_Map_2016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5" descr="350px-TRA_Route_Map_20161226"/>
                    <pic:cNvPicPr>
                      <a:picLocks noChangeAspect="1" noChangeArrowheads="1"/>
                    </pic:cNvPicPr>
                  </pic:nvPicPr>
                  <pic:blipFill>
                    <a:blip r:embed="rId7">
                      <a:extLst>
                        <a:ext uri="{28A0092B-C50C-407E-A947-70E740481C1C}">
                          <a14:useLocalDpi xmlns:a14="http://schemas.microsoft.com/office/drawing/2010/main" val="0"/>
                        </a:ext>
                      </a:extLst>
                    </a:blip>
                    <a:srcRect l="4082" t="3232" r="1341" b="5421"/>
                    <a:stretch>
                      <a:fillRect/>
                    </a:stretch>
                  </pic:blipFill>
                  <pic:spPr bwMode="auto">
                    <a:xfrm>
                      <a:off x="0" y="0"/>
                      <a:ext cx="3825875" cy="5230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D97" w:rsidRDefault="00405D97" w:rsidP="00405D97">
      <w:pPr>
        <w:pStyle w:val="3"/>
        <w:numPr>
          <w:ilvl w:val="2"/>
          <w:numId w:val="2"/>
        </w:numPr>
        <w:spacing w:line="520" w:lineRule="exact"/>
        <w:rPr>
          <w:rFonts w:hAnsi="標楷體" w:hint="eastAsia"/>
        </w:rPr>
      </w:pPr>
      <w:r>
        <w:rPr>
          <w:rFonts w:hAnsi="標楷體" w:hint="eastAsia"/>
        </w:rPr>
        <w:t>復查，</w:t>
      </w:r>
      <w:proofErr w:type="gramStart"/>
      <w:r>
        <w:rPr>
          <w:rFonts w:hAnsi="標楷體" w:hint="eastAsia"/>
        </w:rPr>
        <w:t>臺</w:t>
      </w:r>
      <w:proofErr w:type="gramEnd"/>
      <w:r>
        <w:rPr>
          <w:rFonts w:hAnsi="標楷體" w:hint="eastAsia"/>
        </w:rPr>
        <w:t>鐵早期曾因中山高速公路等建設，以及公路運輸</w:t>
      </w:r>
      <w:r>
        <w:rPr>
          <w:rFonts w:hAnsi="標楷體" w:hint="eastAsia"/>
          <w:color w:val="000000"/>
        </w:rPr>
        <w:t>的機動性與普遍性優於鐵路等因素，導致部分鐵路營運狀況不佳而停駛</w:t>
      </w:r>
      <w:proofErr w:type="gramStart"/>
      <w:r>
        <w:rPr>
          <w:rFonts w:hAnsi="標楷體" w:hint="eastAsia"/>
          <w:color w:val="000000"/>
        </w:rPr>
        <w:t>或廢線</w:t>
      </w:r>
      <w:proofErr w:type="gramEnd"/>
      <w:r>
        <w:rPr>
          <w:rFonts w:hAnsi="標楷體" w:hint="eastAsia"/>
          <w:color w:val="000000"/>
        </w:rPr>
        <w:t>；繼高速鐵路及大眾捷運系統的籌建與通車</w:t>
      </w:r>
      <w:r>
        <w:rPr>
          <w:rFonts w:hAnsi="標楷體" w:hint="eastAsia"/>
        </w:rPr>
        <w:t>，促使軌道體系進入另一個階段，</w:t>
      </w:r>
      <w:proofErr w:type="gramStart"/>
      <w:r>
        <w:rPr>
          <w:rFonts w:hAnsi="標楷體" w:hint="eastAsia"/>
        </w:rPr>
        <w:t>臺</w:t>
      </w:r>
      <w:proofErr w:type="gramEnd"/>
      <w:r>
        <w:rPr>
          <w:rFonts w:hAnsi="標楷體" w:hint="eastAsia"/>
        </w:rPr>
        <w:t>鐵營運再次受到衝擊，考量高速鐵路成為臺灣西部重要的長程運輸運具，</w:t>
      </w:r>
      <w:proofErr w:type="gramStart"/>
      <w:r>
        <w:rPr>
          <w:rFonts w:hAnsi="標楷體" w:hint="eastAsia"/>
        </w:rPr>
        <w:t>臺</w:t>
      </w:r>
      <w:proofErr w:type="gramEnd"/>
      <w:r>
        <w:rPr>
          <w:rFonts w:hAnsi="標楷體" w:hint="eastAsia"/>
        </w:rPr>
        <w:t>鐵原本主要服務中長途的運輸功能已逐漸被取代，</w:t>
      </w:r>
      <w:proofErr w:type="gramStart"/>
      <w:r>
        <w:rPr>
          <w:rFonts w:hAnsi="標楷體" w:hint="eastAsia"/>
        </w:rPr>
        <w:t>臺</w:t>
      </w:r>
      <w:proofErr w:type="gramEnd"/>
      <w:r>
        <w:rPr>
          <w:rFonts w:hAnsi="標楷體" w:hint="eastAsia"/>
        </w:rPr>
        <w:t>鐵局</w:t>
      </w:r>
      <w:proofErr w:type="gramStart"/>
      <w:r>
        <w:rPr>
          <w:rFonts w:hAnsi="標楷體" w:hint="eastAsia"/>
        </w:rPr>
        <w:t>爰</w:t>
      </w:r>
      <w:proofErr w:type="gramEnd"/>
      <w:r>
        <w:rPr>
          <w:rFonts w:hAnsi="標楷體" w:hint="eastAsia"/>
        </w:rPr>
        <w:t>提出臺鐵「捷運化」計畫，即以捷運的短程運輸概念為基礎，在西部都會區內增設車站、增加班次及鐵</w:t>
      </w:r>
      <w:r>
        <w:rPr>
          <w:rFonts w:hAnsi="標楷體" w:hint="eastAsia"/>
        </w:rPr>
        <w:lastRenderedPageBreak/>
        <w:t>路立體化等作為，同時因應高速鐵路配合開闢沙崙線(高鐵</w:t>
      </w:r>
      <w:proofErr w:type="gramStart"/>
      <w:r>
        <w:rPr>
          <w:rFonts w:hAnsi="標楷體" w:hint="eastAsia"/>
        </w:rPr>
        <w:t>臺</w:t>
      </w:r>
      <w:proofErr w:type="gramEnd"/>
      <w:r>
        <w:rPr>
          <w:rFonts w:hAnsi="標楷體" w:hint="eastAsia"/>
        </w:rPr>
        <w:t>南站之聯絡線)與六家線(高鐵新竹站之聯絡線)等新線。另外，主要幹線外的鐵路支線如內灣線、集集線、平溪線等，陸續由當初因開發</w:t>
      </w:r>
      <w:proofErr w:type="gramStart"/>
      <w:r>
        <w:rPr>
          <w:rFonts w:hAnsi="標楷體" w:hint="eastAsia"/>
        </w:rPr>
        <w:t>石灰泥業</w:t>
      </w:r>
      <w:proofErr w:type="gramEnd"/>
      <w:r>
        <w:rPr>
          <w:rFonts w:hAnsi="標楷體" w:hint="eastAsia"/>
        </w:rPr>
        <w:t>、林業、電氣工事、礦坑開採而興建之目的，逐漸轉型為客運服務或觀光功能。此外，</w:t>
      </w:r>
      <w:proofErr w:type="gramStart"/>
      <w:r>
        <w:rPr>
          <w:rFonts w:hAnsi="標楷體" w:hint="eastAsia"/>
        </w:rPr>
        <w:t>臺鐵局</w:t>
      </w:r>
      <w:r>
        <w:rPr>
          <w:rFonts w:hAnsi="標楷體" w:hint="eastAsia"/>
          <w:color w:val="000000"/>
        </w:rPr>
        <w:t>刻</w:t>
      </w:r>
      <w:proofErr w:type="gramEnd"/>
      <w:r>
        <w:rPr>
          <w:rFonts w:hAnsi="標楷體" w:hint="eastAsia"/>
          <w:color w:val="000000"/>
        </w:rPr>
        <w:t>正著手辦理「高鐵彰化站與</w:t>
      </w:r>
      <w:proofErr w:type="gramStart"/>
      <w:r>
        <w:rPr>
          <w:rFonts w:hAnsi="標楷體" w:hint="eastAsia"/>
          <w:color w:val="000000"/>
        </w:rPr>
        <w:t>臺鐵轉乘接</w:t>
      </w:r>
      <w:proofErr w:type="gramEnd"/>
      <w:r>
        <w:rPr>
          <w:rFonts w:hAnsi="標楷體" w:hint="eastAsia"/>
          <w:color w:val="000000"/>
        </w:rPr>
        <w:t>駁可行性研究」，該支線除提供接駁高鐵彰化站轉乘旅客服務外，亦透過串聯集集支線，帶動觀光人潮提升營運效益。是</w:t>
      </w:r>
      <w:proofErr w:type="gramStart"/>
      <w:r>
        <w:rPr>
          <w:rFonts w:hAnsi="標楷體" w:hint="eastAsia"/>
          <w:color w:val="000000"/>
        </w:rPr>
        <w:t>以</w:t>
      </w:r>
      <w:proofErr w:type="gramEnd"/>
      <w:r>
        <w:rPr>
          <w:rFonts w:hAnsi="標楷體" w:hint="eastAsia"/>
        </w:rPr>
        <w:t>，部分</w:t>
      </w:r>
      <w:proofErr w:type="gramStart"/>
      <w:r>
        <w:rPr>
          <w:rFonts w:hAnsi="標楷體" w:hint="eastAsia"/>
        </w:rPr>
        <w:t>臺</w:t>
      </w:r>
      <w:proofErr w:type="gramEnd"/>
      <w:r>
        <w:rPr>
          <w:rFonts w:hAnsi="標楷體" w:hint="eastAsia"/>
        </w:rPr>
        <w:t>鐵路線功能已不同於當時建置目的，近年開闢的路線則以因應高鐵轉</w:t>
      </w:r>
      <w:proofErr w:type="gramStart"/>
      <w:r>
        <w:rPr>
          <w:rFonts w:hAnsi="標楷體" w:hint="eastAsia"/>
        </w:rPr>
        <w:t>乘接駁為</w:t>
      </w:r>
      <w:proofErr w:type="gramEnd"/>
      <w:r>
        <w:rPr>
          <w:rFonts w:hAnsi="標楷體" w:hint="eastAsia"/>
        </w:rPr>
        <w:t>目的，各路線有其不同功能與定位。</w:t>
      </w:r>
    </w:p>
    <w:p w:rsidR="00405D97" w:rsidRDefault="00405D97" w:rsidP="00405D97">
      <w:pPr>
        <w:pStyle w:val="3"/>
        <w:numPr>
          <w:ilvl w:val="2"/>
          <w:numId w:val="2"/>
        </w:numPr>
        <w:spacing w:line="520" w:lineRule="exact"/>
        <w:rPr>
          <w:rFonts w:hAnsi="標楷體" w:hint="eastAsia"/>
        </w:rPr>
      </w:pPr>
      <w:proofErr w:type="gramStart"/>
      <w:r>
        <w:rPr>
          <w:rFonts w:hAnsi="標楷體" w:hint="eastAsia"/>
        </w:rPr>
        <w:t>再者，</w:t>
      </w:r>
      <w:proofErr w:type="gramEnd"/>
      <w:r>
        <w:rPr>
          <w:rFonts w:hAnsi="標楷體" w:hint="eastAsia"/>
        </w:rPr>
        <w:t>行政院前於107年10月26日成立「台鐵大體檢專案小組」，由張景森政務委員擔任召集人，交通部吳宏謀部長擔任副召集人，邀集國家發展委員會、經濟部、公共工程委員會、財政部、人事總處、主計總處等機關，以及機電、土建軌道、營運、管理等領域專家及</w:t>
      </w:r>
      <w:proofErr w:type="gramStart"/>
      <w:r>
        <w:rPr>
          <w:rFonts w:hAnsi="標楷體" w:hint="eastAsia"/>
        </w:rPr>
        <w:t>臺</w:t>
      </w:r>
      <w:proofErr w:type="gramEnd"/>
      <w:r>
        <w:rPr>
          <w:rFonts w:hAnsi="標楷體" w:hint="eastAsia"/>
        </w:rPr>
        <w:t>鐵基層員工共同組成。該小組即就「</w:t>
      </w:r>
      <w:proofErr w:type="gramStart"/>
      <w:r>
        <w:rPr>
          <w:rFonts w:hAnsi="標楷體" w:hint="eastAsia"/>
        </w:rPr>
        <w:t>臺</w:t>
      </w:r>
      <w:proofErr w:type="gramEnd"/>
      <w:r>
        <w:rPr>
          <w:rFonts w:hAnsi="標楷體" w:hint="eastAsia"/>
        </w:rPr>
        <w:t>鐵永續經營策略及財務改革行動方案」，指示交通部儘速確認</w:t>
      </w:r>
      <w:proofErr w:type="gramStart"/>
      <w:r>
        <w:rPr>
          <w:rFonts w:hAnsi="標楷體" w:hint="eastAsia"/>
        </w:rPr>
        <w:t>臺鐵於</w:t>
      </w:r>
      <w:proofErr w:type="gramEnd"/>
      <w:r>
        <w:rPr>
          <w:rFonts w:hAnsi="標楷體" w:hint="eastAsia"/>
        </w:rPr>
        <w:t>運輸市場之定位，以利</w:t>
      </w:r>
      <w:proofErr w:type="gramStart"/>
      <w:r>
        <w:rPr>
          <w:rFonts w:hAnsi="標楷體" w:hint="eastAsia"/>
        </w:rPr>
        <w:t>臺鐵局</w:t>
      </w:r>
      <w:proofErr w:type="gramEnd"/>
      <w:r>
        <w:rPr>
          <w:rFonts w:hAnsi="標楷體" w:hint="eastAsia"/>
        </w:rPr>
        <w:t>調整營運策略等。此外，</w:t>
      </w:r>
      <w:proofErr w:type="gramStart"/>
      <w:r>
        <w:rPr>
          <w:rFonts w:hAnsi="標楷體" w:hint="eastAsia"/>
        </w:rPr>
        <w:t>臺</w:t>
      </w:r>
      <w:proofErr w:type="gramEnd"/>
      <w:r>
        <w:rPr>
          <w:rFonts w:hAnsi="標楷體" w:hint="eastAsia"/>
        </w:rPr>
        <w:t>鐵相對於高速鐵路、城市捷運系統，擁有密集的鐵路網絡，可連接縣市許多城鎮，運輸服務快速、定期且高效率，幾乎所有路線每半小時至少</w:t>
      </w:r>
      <w:proofErr w:type="gramStart"/>
      <w:r>
        <w:rPr>
          <w:rFonts w:hAnsi="標楷體" w:hint="eastAsia"/>
        </w:rPr>
        <w:t>一</w:t>
      </w:r>
      <w:proofErr w:type="gramEnd"/>
      <w:r>
        <w:rPr>
          <w:rFonts w:hAnsi="標楷體" w:hint="eastAsia"/>
        </w:rPr>
        <w:t>班次列車，且捷運化政策的發展，縮短連接主要目的地的運輸時間，透過快速與慢速列車的搭配，應可滿足旅客的多元需求。是</w:t>
      </w:r>
      <w:proofErr w:type="gramStart"/>
      <w:r>
        <w:rPr>
          <w:rFonts w:hAnsi="標楷體" w:hint="eastAsia"/>
        </w:rPr>
        <w:lastRenderedPageBreak/>
        <w:t>以</w:t>
      </w:r>
      <w:proofErr w:type="gramEnd"/>
      <w:r>
        <w:rPr>
          <w:rFonts w:hAnsi="標楷體" w:hint="eastAsia"/>
        </w:rPr>
        <w:t>，交通部允應儘早明確</w:t>
      </w:r>
      <w:proofErr w:type="gramStart"/>
      <w:r>
        <w:rPr>
          <w:rFonts w:hAnsi="標楷體" w:hint="eastAsia"/>
        </w:rPr>
        <w:t>臺</w:t>
      </w:r>
      <w:proofErr w:type="gramEnd"/>
      <w:r>
        <w:rPr>
          <w:rFonts w:hAnsi="標楷體" w:hint="eastAsia"/>
        </w:rPr>
        <w:t>鐵在我國運輸市場之定位，</w:t>
      </w:r>
      <w:proofErr w:type="gramStart"/>
      <w:r>
        <w:rPr>
          <w:rFonts w:hAnsi="標楷體" w:hint="eastAsia"/>
        </w:rPr>
        <w:t>臺鐵局</w:t>
      </w:r>
      <w:proofErr w:type="gramEnd"/>
      <w:r>
        <w:rPr>
          <w:rFonts w:hAnsi="標楷體" w:hint="eastAsia"/>
        </w:rPr>
        <w:t>亦應重新檢討現行鐵路網之路線功能與定位，調整其經營策略，以提升</w:t>
      </w:r>
      <w:proofErr w:type="gramStart"/>
      <w:r>
        <w:rPr>
          <w:rFonts w:hAnsi="標楷體" w:hint="eastAsia"/>
        </w:rPr>
        <w:t>臺</w:t>
      </w:r>
      <w:proofErr w:type="gramEnd"/>
      <w:r>
        <w:rPr>
          <w:rFonts w:hAnsi="標楷體" w:hint="eastAsia"/>
        </w:rPr>
        <w:t>鐵服務價值及永續經營。</w:t>
      </w:r>
    </w:p>
    <w:p w:rsidR="00405D97" w:rsidRDefault="00405D97" w:rsidP="00405D97">
      <w:pPr>
        <w:pStyle w:val="3"/>
        <w:numPr>
          <w:ilvl w:val="2"/>
          <w:numId w:val="2"/>
        </w:numPr>
        <w:spacing w:line="520" w:lineRule="exact"/>
        <w:rPr>
          <w:rFonts w:hAnsi="標楷體" w:hint="eastAsia"/>
        </w:rPr>
      </w:pPr>
      <w:r>
        <w:rPr>
          <w:rFonts w:hAnsi="標楷體" w:hint="eastAsia"/>
        </w:rPr>
        <w:t>綜上</w:t>
      </w:r>
      <w:r>
        <w:rPr>
          <w:rFonts w:hAnsi="標楷體" w:hint="eastAsia"/>
          <w:color w:val="000000"/>
        </w:rPr>
        <w:t>，鑒於高速鐵路長程運輸競爭優勢、城市捷運系統及公路</w:t>
      </w:r>
      <w:proofErr w:type="gramStart"/>
      <w:r>
        <w:rPr>
          <w:rFonts w:hAnsi="標楷體" w:hint="eastAsia"/>
          <w:color w:val="000000"/>
        </w:rPr>
        <w:t>路</w:t>
      </w:r>
      <w:proofErr w:type="gramEnd"/>
      <w:r>
        <w:rPr>
          <w:rFonts w:hAnsi="標楷體" w:hint="eastAsia"/>
          <w:color w:val="000000"/>
        </w:rPr>
        <w:t>網普及等發展之影響，</w:t>
      </w:r>
      <w:proofErr w:type="gramStart"/>
      <w:r>
        <w:rPr>
          <w:rFonts w:hAnsi="標楷體" w:hint="eastAsia"/>
          <w:color w:val="000000"/>
        </w:rPr>
        <w:t>臺鐵局</w:t>
      </w:r>
      <w:proofErr w:type="gramEnd"/>
      <w:r>
        <w:rPr>
          <w:rFonts w:hAnsi="標楷體" w:hint="eastAsia"/>
          <w:color w:val="000000"/>
        </w:rPr>
        <w:t>允應</w:t>
      </w:r>
      <w:r>
        <w:rPr>
          <w:rFonts w:hAnsi="標楷體" w:hint="eastAsia"/>
        </w:rPr>
        <w:t>就</w:t>
      </w:r>
      <w:r>
        <w:rPr>
          <w:rFonts w:hAnsi="標楷體" w:hint="eastAsia"/>
          <w:color w:val="000000"/>
        </w:rPr>
        <w:t>既有完整之</w:t>
      </w:r>
      <w:proofErr w:type="gramStart"/>
      <w:r>
        <w:rPr>
          <w:rFonts w:hAnsi="標楷體" w:hint="eastAsia"/>
          <w:color w:val="000000"/>
        </w:rPr>
        <w:t>環島路網</w:t>
      </w:r>
      <w:proofErr w:type="gramEnd"/>
      <w:r>
        <w:rPr>
          <w:rFonts w:hAnsi="標楷體" w:hint="eastAsia"/>
          <w:color w:val="000000"/>
        </w:rPr>
        <w:t>及支線系統等優勢，確認</w:t>
      </w:r>
      <w:proofErr w:type="gramStart"/>
      <w:r>
        <w:rPr>
          <w:rFonts w:hAnsi="標楷體" w:hint="eastAsia"/>
          <w:color w:val="000000"/>
        </w:rPr>
        <w:t>臺</w:t>
      </w:r>
      <w:proofErr w:type="gramEnd"/>
      <w:r>
        <w:rPr>
          <w:rFonts w:hAnsi="標楷體" w:hint="eastAsia"/>
          <w:color w:val="000000"/>
        </w:rPr>
        <w:t>鐵在</w:t>
      </w:r>
      <w:r>
        <w:rPr>
          <w:rFonts w:hAnsi="標楷體" w:hint="eastAsia"/>
        </w:rPr>
        <w:t>運輸市場之定位，以明確各</w:t>
      </w:r>
      <w:r>
        <w:rPr>
          <w:rFonts w:hAnsi="標楷體" w:hint="eastAsia"/>
          <w:color w:val="000000"/>
        </w:rPr>
        <w:t>路線功能並調整經營策略，增加</w:t>
      </w:r>
      <w:proofErr w:type="gramStart"/>
      <w:r>
        <w:rPr>
          <w:rFonts w:hAnsi="標楷體" w:hint="eastAsia"/>
          <w:color w:val="000000"/>
        </w:rPr>
        <w:t>臺</w:t>
      </w:r>
      <w:proofErr w:type="gramEnd"/>
      <w:r>
        <w:rPr>
          <w:rFonts w:hAnsi="標楷體" w:hint="eastAsia"/>
          <w:color w:val="000000"/>
        </w:rPr>
        <w:t>鐵多元發展機會及永續經營價值。</w:t>
      </w:r>
    </w:p>
    <w:p w:rsidR="00405D97" w:rsidRDefault="00405D97" w:rsidP="00405D97">
      <w:pPr>
        <w:pStyle w:val="2"/>
        <w:numPr>
          <w:ilvl w:val="1"/>
          <w:numId w:val="2"/>
        </w:numPr>
        <w:spacing w:line="520" w:lineRule="exact"/>
        <w:rPr>
          <w:rFonts w:hAnsi="標楷體" w:hint="eastAsia"/>
          <w:b/>
          <w:color w:val="000000"/>
        </w:rPr>
      </w:pPr>
      <w:bookmarkStart w:id="7" w:name="_Toc44678566"/>
      <w:proofErr w:type="gramStart"/>
      <w:r>
        <w:rPr>
          <w:rFonts w:hAnsi="標楷體" w:hint="eastAsia"/>
          <w:b/>
          <w:color w:val="000000"/>
        </w:rPr>
        <w:t>臺鐵因</w:t>
      </w:r>
      <w:proofErr w:type="gramEnd"/>
      <w:r>
        <w:rPr>
          <w:rFonts w:hAnsi="標楷體" w:hint="eastAsia"/>
          <w:b/>
          <w:color w:val="000000"/>
        </w:rPr>
        <w:t>屬國營鐵路，組織運作調整、不動產開發及經營機制等均受到法令高度限制，長期以來無法活化鐵路資產、統一事權，嚴重影響經營效益。為帶動鐵路機構轉型及再生、</w:t>
      </w:r>
      <w:proofErr w:type="gramStart"/>
      <w:r>
        <w:rPr>
          <w:rFonts w:hAnsi="標楷體" w:hint="eastAsia"/>
          <w:b/>
          <w:color w:val="000000"/>
        </w:rPr>
        <w:t>挹</w:t>
      </w:r>
      <w:proofErr w:type="gramEnd"/>
      <w:r>
        <w:rPr>
          <w:rFonts w:hAnsi="標楷體" w:hint="eastAsia"/>
          <w:b/>
          <w:color w:val="000000"/>
        </w:rPr>
        <w:t>注本業財務，交通部允應加速修法放寬其限制，以提升</w:t>
      </w:r>
      <w:proofErr w:type="gramStart"/>
      <w:r>
        <w:rPr>
          <w:rFonts w:hAnsi="標楷體" w:hint="eastAsia"/>
          <w:b/>
          <w:color w:val="000000"/>
        </w:rPr>
        <w:t>臺</w:t>
      </w:r>
      <w:proofErr w:type="gramEnd"/>
      <w:r>
        <w:rPr>
          <w:rFonts w:hAnsi="標楷體" w:hint="eastAsia"/>
          <w:b/>
          <w:color w:val="000000"/>
        </w:rPr>
        <w:t>鐵系統財務之永續性：</w:t>
      </w:r>
      <w:bookmarkEnd w:id="7"/>
    </w:p>
    <w:p w:rsidR="00405D97" w:rsidRDefault="00405D97" w:rsidP="00405D97">
      <w:pPr>
        <w:pStyle w:val="3"/>
        <w:numPr>
          <w:ilvl w:val="2"/>
          <w:numId w:val="2"/>
        </w:numPr>
        <w:spacing w:line="520" w:lineRule="exact"/>
        <w:rPr>
          <w:rFonts w:hAnsi="標楷體" w:hint="eastAsia"/>
          <w:color w:val="000000"/>
        </w:rPr>
      </w:pPr>
      <w:proofErr w:type="gramStart"/>
      <w:r>
        <w:rPr>
          <w:rFonts w:hAnsi="標楷體" w:hint="eastAsia"/>
          <w:color w:val="000000"/>
        </w:rPr>
        <w:t>臺</w:t>
      </w:r>
      <w:proofErr w:type="gramEnd"/>
      <w:r>
        <w:rPr>
          <w:rFonts w:hAnsi="標楷體" w:hint="eastAsia"/>
          <w:color w:val="000000"/>
        </w:rPr>
        <w:t>鐵屬於國營鐵路，由交通部管理，該</w:t>
      </w:r>
      <w:proofErr w:type="gramStart"/>
      <w:r>
        <w:rPr>
          <w:rFonts w:hAnsi="標楷體" w:hint="eastAsia"/>
          <w:color w:val="000000"/>
        </w:rPr>
        <w:t>部為管理臺</w:t>
      </w:r>
      <w:proofErr w:type="gramEnd"/>
      <w:r>
        <w:rPr>
          <w:rFonts w:hAnsi="標楷體" w:hint="eastAsia"/>
          <w:color w:val="000000"/>
        </w:rPr>
        <w:t>鐵業務，設立臺灣鐵路管理局(下稱</w:t>
      </w:r>
      <w:proofErr w:type="gramStart"/>
      <w:r>
        <w:rPr>
          <w:rFonts w:hAnsi="標楷體" w:hint="eastAsia"/>
          <w:color w:val="000000"/>
        </w:rPr>
        <w:t>臺鐵局</w:t>
      </w:r>
      <w:proofErr w:type="gramEnd"/>
      <w:r>
        <w:rPr>
          <w:rFonts w:hAnsi="標楷體" w:hint="eastAsia"/>
          <w:color w:val="000000"/>
        </w:rPr>
        <w:t>)，為其三級機關，鐵路法第3條、第4條及第20條，以及交通部組織法第26條之1定有明文。關於</w:t>
      </w:r>
      <w:proofErr w:type="gramStart"/>
      <w:r>
        <w:rPr>
          <w:rFonts w:hAnsi="標楷體" w:hint="eastAsia"/>
          <w:color w:val="000000"/>
        </w:rPr>
        <w:t>臺鐵局</w:t>
      </w:r>
      <w:proofErr w:type="gramEnd"/>
      <w:r>
        <w:rPr>
          <w:rFonts w:hAnsi="標楷體" w:hint="eastAsia"/>
          <w:color w:val="000000"/>
        </w:rPr>
        <w:t>之組織及所屬機構，「交通部臺灣鐵路管理局組織條例」、「交通部臺灣鐵路管理局餐旅服務總所組織條例」有明文規定。另國營鐵路除以客貨運輸為主要業務外，得辦理附屬事業，其申請程序、核准條件、營業、會計、督導視察及其他相關事項之規則，由交通部定之，鐵路法第21條亦有明文規定。</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查交通部於104年10月7日就鐵路法第21條第2項之規定，修訂「國營鐵路機構辦理附屬事業規則」，並</w:t>
      </w:r>
      <w:r>
        <w:rPr>
          <w:rFonts w:hAnsi="標楷體" w:hint="eastAsia"/>
          <w:color w:val="000000"/>
        </w:rPr>
        <w:lastRenderedPageBreak/>
        <w:t>依實務需求及「促進民間參與公共建設法」(</w:t>
      </w:r>
      <w:proofErr w:type="gramStart"/>
      <w:r>
        <w:rPr>
          <w:rFonts w:hAnsi="標楷體" w:hint="eastAsia"/>
          <w:color w:val="000000"/>
        </w:rPr>
        <w:t>下稱促參</w:t>
      </w:r>
      <w:proofErr w:type="gramEnd"/>
      <w:r>
        <w:rPr>
          <w:rFonts w:hAnsi="標楷體" w:hint="eastAsia"/>
          <w:color w:val="000000"/>
        </w:rPr>
        <w:t>法)第27條第2項規定授權訂定之「促進民間參與交通建設附屬事業使用容許項目」等相關法規，例示規定餐飲、旅館、觀光旅遊、鐵道文化創意、零售、百貨、不動產開發及管理等項目，應屬培養、繁榮鐵路運輸及傳承鐵路文化所必須之其他事業，供國營鐵路機構申請辦理附屬事業及該部核准</w:t>
      </w:r>
      <w:proofErr w:type="gramStart"/>
      <w:r>
        <w:rPr>
          <w:rFonts w:hAnsi="標楷體" w:hint="eastAsia"/>
          <w:color w:val="000000"/>
        </w:rPr>
        <w:t>之參據</w:t>
      </w:r>
      <w:proofErr w:type="gramEnd"/>
      <w:r>
        <w:rPr>
          <w:rFonts w:hAnsi="標楷體" w:hint="eastAsia"/>
          <w:color w:val="000000"/>
        </w:rPr>
        <w:t>。復為促進</w:t>
      </w:r>
      <w:proofErr w:type="gramStart"/>
      <w:r>
        <w:rPr>
          <w:rFonts w:hAnsi="標楷體" w:hint="eastAsia"/>
          <w:color w:val="000000"/>
        </w:rPr>
        <w:t>臺鐵局</w:t>
      </w:r>
      <w:proofErr w:type="gramEnd"/>
      <w:r>
        <w:rPr>
          <w:rFonts w:hAnsi="標楷體" w:hint="eastAsia"/>
          <w:color w:val="000000"/>
        </w:rPr>
        <w:t>所管鐵路資產活化，交通部授權臺鐵局可依「促進民間參與公共建設法」引進各類大型廠商，提供站區旅客優質之行旅服務，並吸引更多投資者參與合作不動產開發。此外，</w:t>
      </w:r>
      <w:proofErr w:type="gramStart"/>
      <w:r>
        <w:rPr>
          <w:rFonts w:hAnsi="標楷體" w:hint="eastAsia"/>
          <w:color w:val="000000"/>
        </w:rPr>
        <w:t>臺鐵局</w:t>
      </w:r>
      <w:proofErr w:type="gramEnd"/>
      <w:r>
        <w:rPr>
          <w:rFonts w:hAnsi="標楷體" w:hint="eastAsia"/>
          <w:color w:val="000000"/>
        </w:rPr>
        <w:t>亦可依交通部89年核准之「</w:t>
      </w:r>
      <w:proofErr w:type="gramStart"/>
      <w:r>
        <w:rPr>
          <w:rFonts w:hAnsi="標楷體" w:hint="eastAsia"/>
          <w:color w:val="000000"/>
        </w:rPr>
        <w:t>臺鐵局</w:t>
      </w:r>
      <w:proofErr w:type="gramEnd"/>
      <w:r>
        <w:rPr>
          <w:rFonts w:hAnsi="標楷體" w:hint="eastAsia"/>
          <w:color w:val="000000"/>
        </w:rPr>
        <w:t>經管公用不動產出租及利用作業要點」規定，辦理各項公用不動產出租及利用，引進各類優良廠商，提升服務水準。</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惟因鐵路法尚未針對國營鐵路機構不動產開發及經營機制明訂相關規範，致使</w:t>
      </w:r>
      <w:proofErr w:type="gramStart"/>
      <w:r>
        <w:rPr>
          <w:rFonts w:hAnsi="標楷體" w:hint="eastAsia"/>
          <w:color w:val="000000"/>
        </w:rPr>
        <w:t>臺鐵局</w:t>
      </w:r>
      <w:proofErr w:type="gramEnd"/>
      <w:r>
        <w:rPr>
          <w:rFonts w:hAnsi="標楷體" w:hint="eastAsia"/>
          <w:color w:val="000000"/>
        </w:rPr>
        <w:t>資產開發受到國有財產法(下稱國產法)及文化資產保存法(下稱文資法)限制而影響效益。</w:t>
      </w:r>
      <w:proofErr w:type="gramStart"/>
      <w:r>
        <w:rPr>
          <w:rFonts w:hAnsi="標楷體" w:hint="eastAsia"/>
          <w:color w:val="000000"/>
        </w:rPr>
        <w:t>爰臺鐵局</w:t>
      </w:r>
      <w:proofErr w:type="gramEnd"/>
      <w:r>
        <w:rPr>
          <w:rFonts w:hAnsi="標楷體" w:hint="eastAsia"/>
          <w:color w:val="000000"/>
        </w:rPr>
        <w:t>於108年8月30日起邀集文化部、國有財產署(下稱國產署)、內政部營建署召開跨部會</w:t>
      </w:r>
      <w:proofErr w:type="gramStart"/>
      <w:r>
        <w:rPr>
          <w:rFonts w:hAnsi="標楷體" w:hint="eastAsia"/>
          <w:color w:val="000000"/>
        </w:rPr>
        <w:t>研</w:t>
      </w:r>
      <w:proofErr w:type="gramEnd"/>
      <w:r>
        <w:rPr>
          <w:rFonts w:hAnsi="標楷體" w:hint="eastAsia"/>
          <w:color w:val="000000"/>
        </w:rPr>
        <w:t>商，就鐵路法增訂相關放寬國營鐵路轉型再生、鬆綁其處分及收益之限制並排除國產法及文資法之限制等條文內容。目前</w:t>
      </w:r>
      <w:proofErr w:type="gramStart"/>
      <w:r>
        <w:rPr>
          <w:rFonts w:hAnsi="標楷體" w:hint="eastAsia"/>
          <w:color w:val="000000"/>
        </w:rPr>
        <w:t>臺鐵局</w:t>
      </w:r>
      <w:proofErr w:type="gramEnd"/>
      <w:r>
        <w:rPr>
          <w:rFonts w:hAnsi="標楷體" w:hint="eastAsia"/>
          <w:color w:val="000000"/>
        </w:rPr>
        <w:t>已規劃增訂鐵路法第21條之1(建置不動產開發及經營機制)、第21條之2(簡化資產處分程序)、第21條之3(法制化資產收入處理方式)及第21條之4(法制化資產撥用方式及補償措施)等，總計增訂4條，</w:t>
      </w:r>
      <w:r>
        <w:rPr>
          <w:rFonts w:hAnsi="標楷體" w:hint="eastAsia"/>
          <w:color w:val="000000"/>
        </w:rPr>
        <w:lastRenderedPageBreak/>
        <w:t>並已於109年3月27日至5月26日完成預告公告作業，後續</w:t>
      </w:r>
      <w:proofErr w:type="gramStart"/>
      <w:r>
        <w:rPr>
          <w:rFonts w:hAnsi="標楷體" w:hint="eastAsia"/>
          <w:color w:val="000000"/>
        </w:rPr>
        <w:t>臺鐵局將綜整</w:t>
      </w:r>
      <w:proofErr w:type="gramEnd"/>
      <w:r>
        <w:rPr>
          <w:rFonts w:hAnsi="標楷體" w:hint="eastAsia"/>
          <w:color w:val="000000"/>
        </w:rPr>
        <w:t>意見後報交通部法規委員會，</w:t>
      </w:r>
      <w:proofErr w:type="gramStart"/>
      <w:r>
        <w:rPr>
          <w:rFonts w:hAnsi="標楷體" w:hint="eastAsia"/>
          <w:color w:val="000000"/>
        </w:rPr>
        <w:t>俟</w:t>
      </w:r>
      <w:proofErr w:type="gramEnd"/>
      <w:r>
        <w:rPr>
          <w:rFonts w:hAnsi="標楷體" w:hint="eastAsia"/>
          <w:color w:val="000000"/>
        </w:rPr>
        <w:t>完成討論及完成交通部法制作業程序後，函送行政院轉立法院審議。</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復查，考量行政機關組織調整</w:t>
      </w:r>
      <w:proofErr w:type="gramStart"/>
      <w:r>
        <w:rPr>
          <w:rFonts w:hAnsi="標楷體" w:hint="eastAsia"/>
          <w:color w:val="000000"/>
        </w:rPr>
        <w:t>曠</w:t>
      </w:r>
      <w:proofErr w:type="gramEnd"/>
      <w:r>
        <w:rPr>
          <w:rFonts w:hAnsi="標楷體" w:hint="eastAsia"/>
          <w:color w:val="000000"/>
        </w:rPr>
        <w:t>日費時，為求時效，</w:t>
      </w:r>
      <w:proofErr w:type="gramStart"/>
      <w:r>
        <w:rPr>
          <w:rFonts w:hAnsi="標楷體" w:hint="eastAsia"/>
          <w:color w:val="000000"/>
        </w:rPr>
        <w:t>臺鐵局</w:t>
      </w:r>
      <w:proofErr w:type="gramEnd"/>
      <w:r>
        <w:rPr>
          <w:rFonts w:hAnsi="標楷體" w:hint="eastAsia"/>
          <w:color w:val="000000"/>
        </w:rPr>
        <w:t>於組織調整修法未通過前，已先以任務編組方式整</w:t>
      </w:r>
      <w:proofErr w:type="gramStart"/>
      <w:r>
        <w:rPr>
          <w:rFonts w:hAnsi="標楷體" w:hint="eastAsia"/>
          <w:color w:val="000000"/>
        </w:rPr>
        <w:t>併</w:t>
      </w:r>
      <w:proofErr w:type="gramEnd"/>
      <w:r>
        <w:rPr>
          <w:rFonts w:hAnsi="標楷體" w:hint="eastAsia"/>
          <w:color w:val="000000"/>
        </w:rPr>
        <w:t>原散落於各處室有關資產開發</w:t>
      </w:r>
      <w:proofErr w:type="gramStart"/>
      <w:r>
        <w:rPr>
          <w:rFonts w:hAnsi="標楷體" w:hint="eastAsia"/>
          <w:color w:val="000000"/>
        </w:rPr>
        <w:t>及附業營運</w:t>
      </w:r>
      <w:proofErr w:type="gramEnd"/>
      <w:r>
        <w:rPr>
          <w:rFonts w:hAnsi="標楷體" w:hint="eastAsia"/>
          <w:color w:val="000000"/>
        </w:rPr>
        <w:t>單位，並於108年先後成立「資產開發中心」及「</w:t>
      </w:r>
      <w:proofErr w:type="gramStart"/>
      <w:r>
        <w:rPr>
          <w:rFonts w:hAnsi="標楷體" w:hint="eastAsia"/>
          <w:color w:val="000000"/>
        </w:rPr>
        <w:t>附業營運</w:t>
      </w:r>
      <w:proofErr w:type="gramEnd"/>
      <w:r>
        <w:rPr>
          <w:rFonts w:hAnsi="標楷體" w:hint="eastAsia"/>
          <w:color w:val="000000"/>
        </w:rPr>
        <w:t>中心」，分別專責資產活化</w:t>
      </w:r>
      <w:proofErr w:type="gramStart"/>
      <w:r>
        <w:rPr>
          <w:rFonts w:hAnsi="標楷體" w:hint="eastAsia"/>
          <w:color w:val="000000"/>
        </w:rPr>
        <w:t>及附業</w:t>
      </w:r>
      <w:proofErr w:type="gramEnd"/>
      <w:r>
        <w:rPr>
          <w:rFonts w:hAnsi="標楷體" w:hint="eastAsia"/>
          <w:color w:val="000000"/>
        </w:rPr>
        <w:t>(便當、觀光</w:t>
      </w:r>
      <w:proofErr w:type="gramStart"/>
      <w:r>
        <w:rPr>
          <w:rFonts w:hAnsi="標楷體" w:hint="eastAsia"/>
          <w:color w:val="000000"/>
        </w:rPr>
        <w:t>及文創商品</w:t>
      </w:r>
      <w:proofErr w:type="gramEnd"/>
      <w:r>
        <w:rPr>
          <w:rFonts w:hAnsi="標楷體" w:hint="eastAsia"/>
          <w:color w:val="000000"/>
        </w:rPr>
        <w:t>)等相關業務。首先，該局整合內部原辦理不動產開發及活化之相關業務單位(合併貨運服務總所、企劃處開發科、地權</w:t>
      </w:r>
      <w:proofErr w:type="gramStart"/>
      <w:r>
        <w:rPr>
          <w:rFonts w:hAnsi="標楷體" w:hint="eastAsia"/>
          <w:color w:val="000000"/>
        </w:rPr>
        <w:t>科經租</w:t>
      </w:r>
      <w:proofErr w:type="gramEnd"/>
      <w:r>
        <w:rPr>
          <w:rFonts w:hAnsi="標楷體" w:hint="eastAsia"/>
          <w:color w:val="000000"/>
        </w:rPr>
        <w:t>部分及</w:t>
      </w:r>
      <w:proofErr w:type="gramStart"/>
      <w:r>
        <w:rPr>
          <w:rFonts w:hAnsi="標楷體" w:hint="eastAsia"/>
          <w:color w:val="000000"/>
        </w:rPr>
        <w:t>餐旅總所</w:t>
      </w:r>
      <w:proofErr w:type="gramEnd"/>
      <w:r>
        <w:rPr>
          <w:rFonts w:hAnsi="標楷體" w:hint="eastAsia"/>
          <w:color w:val="000000"/>
        </w:rPr>
        <w:t>部分出租業務)，已於108年3月1日成立「資產開發中心」，持續以促進民間參與公共建設、都市更新及設定地上權等方式，積極推動土地開發以拓展關聯事業經營績效，並</w:t>
      </w:r>
      <w:proofErr w:type="gramStart"/>
      <w:r>
        <w:rPr>
          <w:rFonts w:hAnsi="標楷體" w:hint="eastAsia"/>
          <w:color w:val="000000"/>
        </w:rPr>
        <w:t>賡</w:t>
      </w:r>
      <w:proofErr w:type="gramEnd"/>
      <w:r>
        <w:rPr>
          <w:rFonts w:hAnsi="標楷體" w:hint="eastAsia"/>
          <w:color w:val="000000"/>
        </w:rPr>
        <w:t>續辦理房屋、土地、基地</w:t>
      </w:r>
      <w:proofErr w:type="gramStart"/>
      <w:r>
        <w:rPr>
          <w:rFonts w:hAnsi="標楷體" w:hint="eastAsia"/>
          <w:color w:val="000000"/>
        </w:rPr>
        <w:t>臺</w:t>
      </w:r>
      <w:proofErr w:type="gramEnd"/>
      <w:r>
        <w:rPr>
          <w:rFonts w:hAnsi="標楷體" w:hint="eastAsia"/>
          <w:color w:val="000000"/>
        </w:rPr>
        <w:t>、商場、倉庫、停車場、廣告、拍攝等資產活化業務。另為提升附屬事業效益，</w:t>
      </w:r>
      <w:proofErr w:type="gramStart"/>
      <w:r>
        <w:rPr>
          <w:rFonts w:hAnsi="標楷體" w:hint="eastAsia"/>
          <w:color w:val="000000"/>
        </w:rPr>
        <w:t>臺鐵局繼</w:t>
      </w:r>
      <w:proofErr w:type="gramEnd"/>
      <w:r>
        <w:rPr>
          <w:rFonts w:hAnsi="標楷體" w:hint="eastAsia"/>
          <w:color w:val="000000"/>
        </w:rPr>
        <w:t>於同年4月15日成立「</w:t>
      </w:r>
      <w:proofErr w:type="gramStart"/>
      <w:r>
        <w:rPr>
          <w:rFonts w:hAnsi="標楷體" w:hint="eastAsia"/>
          <w:color w:val="000000"/>
        </w:rPr>
        <w:t>附業營運</w:t>
      </w:r>
      <w:proofErr w:type="gramEnd"/>
      <w:r>
        <w:rPr>
          <w:rFonts w:hAnsi="標楷體" w:hint="eastAsia"/>
          <w:color w:val="000000"/>
        </w:rPr>
        <w:t>中心」，推展鐵道經濟與提升部門附加價值。</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環顧近年</w:t>
      </w:r>
      <w:proofErr w:type="gramStart"/>
      <w:r>
        <w:rPr>
          <w:rFonts w:hAnsi="標楷體" w:hint="eastAsia"/>
          <w:color w:val="000000"/>
        </w:rPr>
        <w:t>臺鐵局</w:t>
      </w:r>
      <w:proofErr w:type="gramEnd"/>
      <w:r>
        <w:rPr>
          <w:rFonts w:hAnsi="標楷體" w:hint="eastAsia"/>
          <w:color w:val="000000"/>
        </w:rPr>
        <w:t>附屬事業辦理成效，該局運用交通建設與資產開發結合之利基，透過資產開發及關聯事業經營等機制，</w:t>
      </w:r>
      <w:proofErr w:type="gramStart"/>
      <w:r>
        <w:rPr>
          <w:rFonts w:hAnsi="標楷體" w:hint="eastAsia"/>
          <w:color w:val="000000"/>
        </w:rPr>
        <w:t>依循促參</w:t>
      </w:r>
      <w:proofErr w:type="gramEnd"/>
      <w:r>
        <w:rPr>
          <w:rFonts w:hAnsi="標楷體" w:hint="eastAsia"/>
          <w:color w:val="000000"/>
        </w:rPr>
        <w:t>法、都市更新條例及國產法等法令規定，配合政府鐵路建設計畫、行政院加速推動都市更新方案及地方政府都市發展計畫，陸續完成：1、</w:t>
      </w:r>
      <w:proofErr w:type="gramStart"/>
      <w:r>
        <w:rPr>
          <w:rFonts w:hAnsi="標楷體" w:hint="eastAsia"/>
          <w:color w:val="000000"/>
        </w:rPr>
        <w:t>臺</w:t>
      </w:r>
      <w:proofErr w:type="gramEnd"/>
      <w:r>
        <w:rPr>
          <w:rFonts w:hAnsi="標楷體" w:hint="eastAsia"/>
          <w:color w:val="000000"/>
        </w:rPr>
        <w:t>北、板橋、南港、新左營商場ROT。</w:t>
      </w:r>
      <w:r>
        <w:rPr>
          <w:rFonts w:hAnsi="標楷體" w:hint="eastAsia"/>
          <w:color w:val="000000"/>
        </w:rPr>
        <w:lastRenderedPageBreak/>
        <w:t>2、萬華、松山、南港車站大樓BOT。3、</w:t>
      </w:r>
      <w:proofErr w:type="gramStart"/>
      <w:r>
        <w:rPr>
          <w:rFonts w:hAnsi="標楷體" w:hint="eastAsia"/>
          <w:color w:val="000000"/>
        </w:rPr>
        <w:t>臺</w:t>
      </w:r>
      <w:proofErr w:type="gramEnd"/>
      <w:r>
        <w:rPr>
          <w:rFonts w:hAnsi="標楷體" w:hint="eastAsia"/>
          <w:color w:val="000000"/>
        </w:rPr>
        <w:t>中車站鐵道文化園區興建營運移轉案。4、南港商三、南港調車場、新竹火車站後站地區等都市更新案(已簽約)。5、板橋車站特定區國際觀光旅館興建營運案、</w:t>
      </w:r>
      <w:proofErr w:type="gramStart"/>
      <w:r>
        <w:rPr>
          <w:rFonts w:hAnsi="標楷體" w:hint="eastAsia"/>
          <w:color w:val="000000"/>
        </w:rPr>
        <w:t>臺北福</w:t>
      </w:r>
      <w:proofErr w:type="gramEnd"/>
      <w:r>
        <w:rPr>
          <w:rFonts w:hAnsi="標楷體" w:hint="eastAsia"/>
          <w:color w:val="000000"/>
        </w:rPr>
        <w:t>和段、</w:t>
      </w:r>
      <w:proofErr w:type="gramStart"/>
      <w:r>
        <w:rPr>
          <w:rFonts w:hAnsi="標楷體" w:hint="eastAsia"/>
          <w:color w:val="000000"/>
        </w:rPr>
        <w:t>寶清段</w:t>
      </w:r>
      <w:proofErr w:type="gramEnd"/>
      <w:r>
        <w:rPr>
          <w:rFonts w:hAnsi="標楷體" w:hint="eastAsia"/>
          <w:color w:val="000000"/>
        </w:rPr>
        <w:t>、成功段等設定地上權案。再者，</w:t>
      </w:r>
      <w:proofErr w:type="gramStart"/>
      <w:r>
        <w:rPr>
          <w:rFonts w:hAnsi="標楷體" w:hint="eastAsia"/>
          <w:color w:val="000000"/>
        </w:rPr>
        <w:t>臺鐵局</w:t>
      </w:r>
      <w:proofErr w:type="gramEnd"/>
      <w:r>
        <w:rPr>
          <w:rFonts w:hAnsi="標楷體" w:hint="eastAsia"/>
          <w:color w:val="000000"/>
        </w:rPr>
        <w:t>於</w:t>
      </w:r>
      <w:proofErr w:type="gramStart"/>
      <w:r>
        <w:rPr>
          <w:rFonts w:hAnsi="標楷體" w:hint="eastAsia"/>
          <w:color w:val="000000"/>
        </w:rPr>
        <w:t>109</w:t>
      </w:r>
      <w:proofErr w:type="gramEnd"/>
      <w:r>
        <w:rPr>
          <w:rFonts w:hAnsi="標楷體" w:hint="eastAsia"/>
          <w:color w:val="000000"/>
        </w:rPr>
        <w:t>年度已完成的標案，包括高雄火車站</w:t>
      </w:r>
      <w:proofErr w:type="gramStart"/>
      <w:r>
        <w:rPr>
          <w:rFonts w:hAnsi="標楷體" w:hint="eastAsia"/>
          <w:color w:val="000000"/>
        </w:rPr>
        <w:t>站東舊宿舍</w:t>
      </w:r>
      <w:proofErr w:type="gramEnd"/>
      <w:r>
        <w:rPr>
          <w:rFonts w:hAnsi="標楷體" w:hint="eastAsia"/>
          <w:color w:val="000000"/>
        </w:rPr>
        <w:t>都市更新招商案於109年2月完成簽約、</w:t>
      </w:r>
      <w:proofErr w:type="gramStart"/>
      <w:r>
        <w:rPr>
          <w:rFonts w:hAnsi="標楷體" w:hint="eastAsia"/>
          <w:color w:val="000000"/>
        </w:rPr>
        <w:t>竹北舊站空間</w:t>
      </w:r>
      <w:proofErr w:type="gramEnd"/>
      <w:r>
        <w:rPr>
          <w:rFonts w:hAnsi="標楷體" w:hint="eastAsia"/>
          <w:color w:val="000000"/>
        </w:rPr>
        <w:t>於109年2月</w:t>
      </w:r>
      <w:proofErr w:type="gramStart"/>
      <w:r>
        <w:rPr>
          <w:rFonts w:hAnsi="標楷體" w:hint="eastAsia"/>
          <w:color w:val="000000"/>
        </w:rPr>
        <w:t>標脫及簽約</w:t>
      </w:r>
      <w:proofErr w:type="gramEnd"/>
      <w:r>
        <w:rPr>
          <w:rFonts w:hAnsi="標楷體" w:hint="eastAsia"/>
          <w:color w:val="000000"/>
        </w:rPr>
        <w:t>，預計109年9月營運，另臺北市大安區麗水街停車場亦於109年2月標脫，預計109年7月營運，顯見</w:t>
      </w:r>
      <w:proofErr w:type="gramStart"/>
      <w:r>
        <w:rPr>
          <w:rFonts w:hAnsi="標楷體" w:hint="eastAsia"/>
          <w:color w:val="000000"/>
        </w:rPr>
        <w:t>臺鐵局</w:t>
      </w:r>
      <w:proofErr w:type="gramEnd"/>
      <w:r>
        <w:rPr>
          <w:rFonts w:hAnsi="標楷體" w:hint="eastAsia"/>
          <w:color w:val="000000"/>
        </w:rPr>
        <w:t>近年積極擴展軌道經濟所衍生的商機。由</w:t>
      </w:r>
      <w:proofErr w:type="gramStart"/>
      <w:r>
        <w:rPr>
          <w:rFonts w:hAnsi="標楷體" w:hint="eastAsia"/>
          <w:color w:val="000000"/>
        </w:rPr>
        <w:t>臺鐵局</w:t>
      </w:r>
      <w:proofErr w:type="gramEnd"/>
      <w:r>
        <w:rPr>
          <w:rFonts w:hAnsi="標楷體" w:hint="eastAsia"/>
          <w:color w:val="000000"/>
        </w:rPr>
        <w:t>統計近5年附屬事業各項業務發展之數據(如下表)顯示，鐵路便當、鐵道旅遊及土地開發</w:t>
      </w:r>
      <w:proofErr w:type="gramStart"/>
      <w:r>
        <w:rPr>
          <w:rFonts w:hAnsi="標楷體" w:hint="eastAsia"/>
          <w:color w:val="000000"/>
        </w:rPr>
        <w:t>案均呈逐年</w:t>
      </w:r>
      <w:proofErr w:type="gramEnd"/>
      <w:r>
        <w:rPr>
          <w:rFonts w:hAnsi="標楷體" w:hint="eastAsia"/>
          <w:color w:val="000000"/>
        </w:rPr>
        <w:t>成長，在可預見的未來，</w:t>
      </w:r>
      <w:proofErr w:type="gramStart"/>
      <w:r>
        <w:rPr>
          <w:rFonts w:hAnsi="標楷體" w:hint="eastAsia"/>
          <w:color w:val="000000"/>
        </w:rPr>
        <w:t>臺</w:t>
      </w:r>
      <w:proofErr w:type="gramEnd"/>
      <w:r>
        <w:rPr>
          <w:rFonts w:hAnsi="標楷體" w:hint="eastAsia"/>
          <w:color w:val="000000"/>
        </w:rPr>
        <w:t>鐵附屬事業收益仍有極大發展的空間。</w:t>
      </w:r>
    </w:p>
    <w:p w:rsidR="00405D97" w:rsidRDefault="00405D97" w:rsidP="00405D97">
      <w:pPr>
        <w:spacing w:line="520" w:lineRule="exact"/>
        <w:jc w:val="right"/>
        <w:rPr>
          <w:rFonts w:hAnsi="標楷體" w:hint="eastAsia"/>
          <w:color w:val="000000"/>
        </w:rPr>
      </w:pPr>
      <w:r>
        <w:rPr>
          <w:rFonts w:hAnsi="標楷體" w:hint="eastAsia"/>
          <w:color w:val="000000"/>
        </w:rPr>
        <w:t>單位：新臺幣、元</w:t>
      </w:r>
    </w:p>
    <w:tbl>
      <w:tblPr>
        <w:tblW w:w="821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867"/>
        <w:gridCol w:w="1717"/>
        <w:gridCol w:w="1567"/>
        <w:gridCol w:w="2167"/>
      </w:tblGrid>
      <w:tr w:rsidR="00405D97" w:rsidTr="00405D97">
        <w:trPr>
          <w:trHeight w:val="567"/>
          <w:tblHeader/>
        </w:trPr>
        <w:tc>
          <w:tcPr>
            <w:tcW w:w="89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405D97" w:rsidRDefault="00405D97" w:rsidP="00405D97">
            <w:pPr>
              <w:spacing w:line="520" w:lineRule="exact"/>
              <w:jc w:val="center"/>
              <w:rPr>
                <w:rFonts w:hAnsi="標楷體" w:hint="eastAsia"/>
                <w:b/>
                <w:color w:val="000000"/>
                <w:sz w:val="28"/>
              </w:rPr>
            </w:pPr>
            <w:r>
              <w:rPr>
                <w:rFonts w:hAnsi="標楷體" w:hint="eastAsia"/>
                <w:b/>
                <w:color w:val="000000"/>
                <w:sz w:val="28"/>
              </w:rPr>
              <w:t>年度</w:t>
            </w:r>
          </w:p>
        </w:tc>
        <w:tc>
          <w:tcPr>
            <w:tcW w:w="18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405D97" w:rsidRDefault="00405D97" w:rsidP="00405D97">
            <w:pPr>
              <w:spacing w:line="520" w:lineRule="exact"/>
              <w:jc w:val="center"/>
              <w:rPr>
                <w:rFonts w:hAnsi="標楷體" w:hint="eastAsia"/>
                <w:b/>
                <w:color w:val="000000"/>
                <w:sz w:val="28"/>
              </w:rPr>
            </w:pPr>
            <w:r>
              <w:rPr>
                <w:rFonts w:hAnsi="標楷體" w:hint="eastAsia"/>
                <w:b/>
                <w:color w:val="000000"/>
                <w:sz w:val="28"/>
              </w:rPr>
              <w:t>鐵路便當</w:t>
            </w:r>
          </w:p>
        </w:tc>
        <w:tc>
          <w:tcPr>
            <w:tcW w:w="171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405D97" w:rsidRDefault="00405D97" w:rsidP="00405D97">
            <w:pPr>
              <w:spacing w:line="520" w:lineRule="exact"/>
              <w:jc w:val="center"/>
              <w:rPr>
                <w:rFonts w:hAnsi="標楷體" w:hint="eastAsia"/>
                <w:b/>
                <w:color w:val="000000"/>
                <w:sz w:val="28"/>
              </w:rPr>
            </w:pPr>
            <w:proofErr w:type="gramStart"/>
            <w:r>
              <w:rPr>
                <w:rFonts w:hAnsi="標楷體" w:hint="eastAsia"/>
                <w:b/>
                <w:color w:val="000000"/>
                <w:sz w:val="28"/>
              </w:rPr>
              <w:t>文銷商品</w:t>
            </w:r>
            <w:proofErr w:type="gramEnd"/>
          </w:p>
        </w:tc>
        <w:tc>
          <w:tcPr>
            <w:tcW w:w="15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405D97" w:rsidRDefault="00405D97" w:rsidP="00405D97">
            <w:pPr>
              <w:spacing w:line="520" w:lineRule="exact"/>
              <w:jc w:val="center"/>
              <w:rPr>
                <w:rFonts w:hAnsi="標楷體" w:hint="eastAsia"/>
                <w:b/>
                <w:color w:val="000000"/>
                <w:sz w:val="28"/>
              </w:rPr>
            </w:pPr>
            <w:r>
              <w:rPr>
                <w:rFonts w:hAnsi="標楷體" w:hint="eastAsia"/>
                <w:b/>
                <w:color w:val="000000"/>
                <w:sz w:val="28"/>
              </w:rPr>
              <w:t>鐵道旅遊</w:t>
            </w:r>
          </w:p>
        </w:tc>
        <w:tc>
          <w:tcPr>
            <w:tcW w:w="216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405D97" w:rsidRDefault="00405D97" w:rsidP="00405D97">
            <w:pPr>
              <w:spacing w:line="520" w:lineRule="exact"/>
              <w:jc w:val="center"/>
              <w:rPr>
                <w:rFonts w:hAnsi="標楷體" w:hint="eastAsia"/>
                <w:b/>
                <w:color w:val="000000"/>
                <w:sz w:val="28"/>
              </w:rPr>
            </w:pPr>
            <w:r>
              <w:rPr>
                <w:rFonts w:hAnsi="標楷體" w:hint="eastAsia"/>
                <w:b/>
                <w:color w:val="000000"/>
                <w:sz w:val="28"/>
              </w:rPr>
              <w:t>土地開發案</w:t>
            </w:r>
          </w:p>
        </w:tc>
      </w:tr>
      <w:tr w:rsidR="00405D97" w:rsidTr="00405D97">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z w:val="28"/>
              </w:rPr>
            </w:pPr>
            <w:r>
              <w:rPr>
                <w:rFonts w:hAnsi="標楷體" w:hint="eastAsia"/>
                <w:color w:val="000000"/>
                <w:sz w:val="28"/>
              </w:rPr>
              <w:t>104</w:t>
            </w:r>
          </w:p>
        </w:tc>
        <w:tc>
          <w:tcPr>
            <w:tcW w:w="18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684,412,092</w:t>
            </w:r>
          </w:p>
        </w:tc>
        <w:tc>
          <w:tcPr>
            <w:tcW w:w="171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22,980,679</w:t>
            </w:r>
          </w:p>
        </w:tc>
        <w:tc>
          <w:tcPr>
            <w:tcW w:w="15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1,550,000</w:t>
            </w:r>
          </w:p>
        </w:tc>
        <w:tc>
          <w:tcPr>
            <w:tcW w:w="21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2,388,150,015</w:t>
            </w:r>
          </w:p>
        </w:tc>
      </w:tr>
      <w:tr w:rsidR="00405D97" w:rsidTr="00405D97">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z w:val="28"/>
              </w:rPr>
            </w:pPr>
            <w:r>
              <w:rPr>
                <w:rFonts w:hAnsi="標楷體" w:hint="eastAsia"/>
                <w:color w:val="000000"/>
                <w:sz w:val="28"/>
              </w:rPr>
              <w:t>105</w:t>
            </w:r>
          </w:p>
        </w:tc>
        <w:tc>
          <w:tcPr>
            <w:tcW w:w="18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748,741,817</w:t>
            </w:r>
          </w:p>
        </w:tc>
        <w:tc>
          <w:tcPr>
            <w:tcW w:w="171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33,862,701</w:t>
            </w:r>
          </w:p>
        </w:tc>
        <w:tc>
          <w:tcPr>
            <w:tcW w:w="15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2,150,000</w:t>
            </w:r>
          </w:p>
        </w:tc>
        <w:tc>
          <w:tcPr>
            <w:tcW w:w="21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2,664,433,042</w:t>
            </w:r>
          </w:p>
        </w:tc>
      </w:tr>
      <w:tr w:rsidR="00405D97" w:rsidTr="00405D97">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z w:val="28"/>
              </w:rPr>
            </w:pPr>
            <w:r>
              <w:rPr>
                <w:rFonts w:hAnsi="標楷體" w:hint="eastAsia"/>
                <w:color w:val="000000"/>
                <w:sz w:val="28"/>
              </w:rPr>
              <w:t>106</w:t>
            </w:r>
          </w:p>
        </w:tc>
        <w:tc>
          <w:tcPr>
            <w:tcW w:w="18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722,307,153</w:t>
            </w:r>
          </w:p>
        </w:tc>
        <w:tc>
          <w:tcPr>
            <w:tcW w:w="171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47,920,346</w:t>
            </w:r>
          </w:p>
        </w:tc>
        <w:tc>
          <w:tcPr>
            <w:tcW w:w="15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2,060,000</w:t>
            </w:r>
          </w:p>
        </w:tc>
        <w:tc>
          <w:tcPr>
            <w:tcW w:w="21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3,440,642,159</w:t>
            </w:r>
          </w:p>
        </w:tc>
      </w:tr>
      <w:tr w:rsidR="00405D97" w:rsidTr="00405D97">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z w:val="28"/>
              </w:rPr>
            </w:pPr>
            <w:r>
              <w:rPr>
                <w:rFonts w:hAnsi="標楷體" w:hint="eastAsia"/>
                <w:color w:val="000000"/>
                <w:sz w:val="28"/>
              </w:rPr>
              <w:t>107</w:t>
            </w:r>
          </w:p>
        </w:tc>
        <w:tc>
          <w:tcPr>
            <w:tcW w:w="18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744,677,587</w:t>
            </w:r>
          </w:p>
        </w:tc>
        <w:tc>
          <w:tcPr>
            <w:tcW w:w="171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28,022,203</w:t>
            </w:r>
          </w:p>
        </w:tc>
        <w:tc>
          <w:tcPr>
            <w:tcW w:w="15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2,405,000</w:t>
            </w:r>
          </w:p>
        </w:tc>
        <w:tc>
          <w:tcPr>
            <w:tcW w:w="21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3,567,204,748</w:t>
            </w:r>
          </w:p>
        </w:tc>
      </w:tr>
      <w:tr w:rsidR="00405D97" w:rsidTr="00405D97">
        <w:trPr>
          <w:trHeight w:val="567"/>
        </w:trPr>
        <w:tc>
          <w:tcPr>
            <w:tcW w:w="893"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z w:val="28"/>
              </w:rPr>
            </w:pPr>
            <w:r>
              <w:rPr>
                <w:rFonts w:hAnsi="標楷體" w:hint="eastAsia"/>
                <w:color w:val="000000"/>
                <w:sz w:val="28"/>
              </w:rPr>
              <w:t>108</w:t>
            </w:r>
          </w:p>
        </w:tc>
        <w:tc>
          <w:tcPr>
            <w:tcW w:w="18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758,095,885</w:t>
            </w:r>
          </w:p>
        </w:tc>
        <w:tc>
          <w:tcPr>
            <w:tcW w:w="171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28,090,000</w:t>
            </w:r>
          </w:p>
        </w:tc>
        <w:tc>
          <w:tcPr>
            <w:tcW w:w="15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2,600,000</w:t>
            </w:r>
          </w:p>
        </w:tc>
        <w:tc>
          <w:tcPr>
            <w:tcW w:w="21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rPr>
            </w:pPr>
            <w:r>
              <w:rPr>
                <w:rFonts w:hAnsi="標楷體" w:hint="eastAsia"/>
                <w:color w:val="000000"/>
                <w:sz w:val="28"/>
              </w:rPr>
              <w:t>3,841,727,558</w:t>
            </w:r>
          </w:p>
        </w:tc>
      </w:tr>
    </w:tbl>
    <w:p w:rsidR="00405D97" w:rsidRDefault="00405D97" w:rsidP="00405D97">
      <w:pPr>
        <w:pStyle w:val="3"/>
        <w:numPr>
          <w:ilvl w:val="2"/>
          <w:numId w:val="2"/>
        </w:numPr>
        <w:spacing w:beforeLines="20" w:before="72" w:line="520" w:lineRule="exact"/>
        <w:ind w:left="1418" w:hanging="567"/>
        <w:rPr>
          <w:rFonts w:hAnsi="標楷體" w:hint="eastAsia"/>
          <w:color w:val="000000"/>
        </w:rPr>
      </w:pPr>
      <w:r>
        <w:rPr>
          <w:rFonts w:hAnsi="標楷體" w:hint="eastAsia"/>
          <w:color w:val="000000"/>
        </w:rPr>
        <w:t>綜上，</w:t>
      </w:r>
      <w:proofErr w:type="gramStart"/>
      <w:r>
        <w:rPr>
          <w:rFonts w:hAnsi="標楷體" w:hint="eastAsia"/>
          <w:color w:val="000000"/>
        </w:rPr>
        <w:t>臺鐵因</w:t>
      </w:r>
      <w:proofErr w:type="gramEnd"/>
      <w:r>
        <w:rPr>
          <w:rFonts w:hAnsi="標楷體" w:hint="eastAsia"/>
          <w:color w:val="000000"/>
        </w:rPr>
        <w:t>屬國營鐵路，組織運作調整、不動產開發及經營機制等受到法令高度限制，長期以來無法活化鐵路資產、統一事權，嚴重影響經營效益。</w:t>
      </w:r>
      <w:r>
        <w:rPr>
          <w:rFonts w:hAnsi="標楷體" w:hint="eastAsia"/>
          <w:color w:val="000000"/>
        </w:rPr>
        <w:lastRenderedPageBreak/>
        <w:t>為帶動鐵路機構轉型及再生、</w:t>
      </w:r>
      <w:proofErr w:type="gramStart"/>
      <w:r>
        <w:rPr>
          <w:rFonts w:hAnsi="標楷體" w:hint="eastAsia"/>
          <w:color w:val="000000"/>
        </w:rPr>
        <w:t>挹</w:t>
      </w:r>
      <w:proofErr w:type="gramEnd"/>
      <w:r>
        <w:rPr>
          <w:rFonts w:hAnsi="標楷體" w:hint="eastAsia"/>
          <w:color w:val="000000"/>
        </w:rPr>
        <w:t>注本業財務，交通部允應加速修法放寬其限制，以提升</w:t>
      </w:r>
      <w:proofErr w:type="gramStart"/>
      <w:r>
        <w:rPr>
          <w:rFonts w:hAnsi="標楷體" w:hint="eastAsia"/>
          <w:color w:val="000000"/>
        </w:rPr>
        <w:t>臺</w:t>
      </w:r>
      <w:proofErr w:type="gramEnd"/>
      <w:r>
        <w:rPr>
          <w:rFonts w:hAnsi="標楷體" w:hint="eastAsia"/>
          <w:color w:val="000000"/>
        </w:rPr>
        <w:t>鐵系統財務之永續性。</w:t>
      </w:r>
    </w:p>
    <w:p w:rsidR="00405D97" w:rsidRDefault="00405D97" w:rsidP="00405D97">
      <w:pPr>
        <w:pStyle w:val="2"/>
        <w:numPr>
          <w:ilvl w:val="1"/>
          <w:numId w:val="2"/>
        </w:numPr>
        <w:spacing w:line="520" w:lineRule="exact"/>
        <w:rPr>
          <w:rFonts w:hAnsi="標楷體" w:hint="eastAsia"/>
          <w:b/>
          <w:color w:val="000000"/>
        </w:rPr>
      </w:pPr>
      <w:bookmarkStart w:id="8" w:name="_Toc44678567"/>
      <w:r>
        <w:rPr>
          <w:rFonts w:hAnsi="標楷體" w:hint="eastAsia"/>
          <w:b/>
          <w:bCs w:val="0"/>
          <w:color w:val="000000"/>
          <w:szCs w:val="32"/>
        </w:rPr>
        <w:t>鑒於「鐵道觀光」若干國家已發展多年，鐵道已由傳統運輸功能轉型為鐵道觀光發展，距離2022年鐵道觀光旅遊年已不到1年半時間，交通部於加速佈局之餘，猶應思考結合地方政府既有優勢及民間企業力量，完備相關配套措施，並預為進行多元管道宣廣與行銷，以展現臺灣觀光鐵道特色與形象，進而帶動地方繁榮發展：</w:t>
      </w:r>
      <w:bookmarkEnd w:id="8"/>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按歐洲及日本等鐵道網發達的國家，鐵道列車結合地方觀光資源早已發展多年，以歐洲而言，四通八達的鐵路造就多種不同特色的鐵道路線，如瑞士、義大利「伯爾尼納列車觀光線」(庫爾/聖莫里茨</w:t>
      </w:r>
      <w:proofErr w:type="gramStart"/>
      <w:r>
        <w:rPr>
          <w:rFonts w:hAnsi="標楷體" w:hint="eastAsia"/>
          <w:color w:val="000000"/>
        </w:rPr>
        <w:t>—蒂拉</w:t>
      </w:r>
      <w:proofErr w:type="gramEnd"/>
      <w:r>
        <w:rPr>
          <w:rFonts w:hAnsi="標楷體" w:hint="eastAsia"/>
          <w:color w:val="000000"/>
        </w:rPr>
        <w:t>諾)，號稱最美麗的阿爾卑斯山體驗線，來往瑞士和義大利兩</w:t>
      </w:r>
      <w:proofErr w:type="gramStart"/>
      <w:r>
        <w:rPr>
          <w:rFonts w:hAnsi="標楷體" w:hint="eastAsia"/>
          <w:color w:val="000000"/>
        </w:rPr>
        <w:t>國間的觀</w:t>
      </w:r>
      <w:proofErr w:type="gramEnd"/>
      <w:r>
        <w:rPr>
          <w:rFonts w:hAnsi="標楷體" w:hint="eastAsia"/>
          <w:color w:val="000000"/>
        </w:rPr>
        <w:t>景列車，被美國國家地理雜誌評為世界上最美的火車線路；另如挪威「</w:t>
      </w:r>
      <w:proofErr w:type="gramStart"/>
      <w:r>
        <w:rPr>
          <w:rFonts w:hAnsi="標楷體" w:hint="eastAsia"/>
          <w:color w:val="000000"/>
        </w:rPr>
        <w:t>弗洛姆</w:t>
      </w:r>
      <w:proofErr w:type="gramEnd"/>
      <w:r>
        <w:rPr>
          <w:rFonts w:hAnsi="標楷體" w:hint="eastAsia"/>
          <w:color w:val="000000"/>
        </w:rPr>
        <w:t>列車觀光線」(米達爾</w:t>
      </w:r>
      <w:proofErr w:type="gramStart"/>
      <w:r>
        <w:rPr>
          <w:rFonts w:hAnsi="標楷體" w:hint="eastAsia"/>
          <w:color w:val="000000"/>
        </w:rPr>
        <w:t>—弗洛姆</w:t>
      </w:r>
      <w:proofErr w:type="gramEnd"/>
      <w:r>
        <w:rPr>
          <w:rFonts w:hAnsi="標楷體" w:hint="eastAsia"/>
          <w:color w:val="000000"/>
        </w:rPr>
        <w:t>)，被美國國家地理旅行者雜誌評為歐洲十大頂級火車旅程之一，孤獨星球雜誌稱其為世界最美火車旅程。另外，日本的鐵路事業亦是全世界最發達的國家之一，國鐵民營化之後，即開始規劃鐵道事業以外事業，如九州藉由設計讓舊列車復活，推出各種型態的觀光列車，採取不同觀光票價、套裝行程等活動，不僅賦予地方新的活力，強化與地方的連結，更進而促進地域的繁榮。由此可知，現今國際上鐵道結合地區</w:t>
      </w:r>
      <w:r>
        <w:rPr>
          <w:rFonts w:hAnsi="標楷體" w:hint="eastAsia"/>
          <w:color w:val="000000"/>
        </w:rPr>
        <w:lastRenderedPageBreak/>
        <w:t>觀光已蔚為風潮，</w:t>
      </w:r>
      <w:r>
        <w:rPr>
          <w:rFonts w:hAnsi="標楷體" w:hint="eastAsia"/>
          <w:bCs w:val="0"/>
          <w:color w:val="000000"/>
          <w:szCs w:val="32"/>
        </w:rPr>
        <w:t>鐵道已由傳統運輸服務功能轉型為鐵道觀光發展</w:t>
      </w:r>
      <w:r>
        <w:rPr>
          <w:rFonts w:hAnsi="標楷體" w:hint="eastAsia"/>
          <w:color w:val="000000"/>
        </w:rPr>
        <w:t>。</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查目前</w:t>
      </w:r>
      <w:proofErr w:type="gramStart"/>
      <w:r>
        <w:rPr>
          <w:rFonts w:hAnsi="標楷體" w:hint="eastAsia"/>
          <w:color w:val="000000"/>
        </w:rPr>
        <w:t>臺鐵局</w:t>
      </w:r>
      <w:proofErr w:type="gramEnd"/>
      <w:r>
        <w:rPr>
          <w:rFonts w:hAnsi="標楷體" w:hint="eastAsia"/>
          <w:color w:val="000000"/>
        </w:rPr>
        <w:t>推動觀光鐵道之主力商品為行駛縱貫線的「環島之星」及「郵輪式列車」兩種觀光列車，「環島之星」的遊程從1日至7日、定點自由行或</w:t>
      </w:r>
      <w:proofErr w:type="gramStart"/>
      <w:r>
        <w:rPr>
          <w:rFonts w:hAnsi="標楷體" w:hint="eastAsia"/>
          <w:color w:val="000000"/>
        </w:rPr>
        <w:t>豐富環島遊</w:t>
      </w:r>
      <w:proofErr w:type="gramEnd"/>
      <w:r>
        <w:rPr>
          <w:rFonts w:hAnsi="標楷體" w:hint="eastAsia"/>
          <w:color w:val="000000"/>
        </w:rPr>
        <w:t>等多達348種商品任旅客選擇，「郵輪式列車」套裝行程包含交通、膳食、住宿、景點參觀專人陪同及導</w:t>
      </w:r>
      <w:proofErr w:type="gramStart"/>
      <w:r>
        <w:rPr>
          <w:rFonts w:hAnsi="標楷體" w:hint="eastAsia"/>
          <w:color w:val="000000"/>
        </w:rPr>
        <w:t>覽</w:t>
      </w:r>
      <w:proofErr w:type="gramEnd"/>
      <w:r>
        <w:rPr>
          <w:rFonts w:hAnsi="標楷體" w:hint="eastAsia"/>
          <w:color w:val="000000"/>
        </w:rPr>
        <w:t>等全包式設計。據</w:t>
      </w:r>
      <w:proofErr w:type="gramStart"/>
      <w:r>
        <w:rPr>
          <w:rFonts w:hAnsi="標楷體" w:hint="eastAsia"/>
          <w:color w:val="000000"/>
        </w:rPr>
        <w:t>臺鐵局</w:t>
      </w:r>
      <w:proofErr w:type="gramEnd"/>
      <w:r>
        <w:rPr>
          <w:rFonts w:hAnsi="標楷體" w:hint="eastAsia"/>
          <w:color w:val="000000"/>
        </w:rPr>
        <w:t>統計104年至108年的營運情況，「環島之星」除107年減少至2,300萬元之外，其餘年度</w:t>
      </w:r>
      <w:proofErr w:type="gramStart"/>
      <w:r>
        <w:rPr>
          <w:rFonts w:hAnsi="標楷體" w:hint="eastAsia"/>
          <w:color w:val="000000"/>
        </w:rPr>
        <w:t>年收入均在</w:t>
      </w:r>
      <w:proofErr w:type="gramEnd"/>
      <w:r>
        <w:rPr>
          <w:rFonts w:hAnsi="標楷體" w:hint="eastAsia"/>
          <w:color w:val="000000"/>
        </w:rPr>
        <w:t>4</w:t>
      </w:r>
      <w:proofErr w:type="gramStart"/>
      <w:r>
        <w:rPr>
          <w:rFonts w:hAnsi="標楷體" w:hint="eastAsia"/>
          <w:color w:val="000000"/>
        </w:rPr>
        <w:t>千萬</w:t>
      </w:r>
      <w:proofErr w:type="gramEnd"/>
      <w:r>
        <w:rPr>
          <w:rFonts w:hAnsi="標楷體" w:hint="eastAsia"/>
          <w:color w:val="000000"/>
        </w:rPr>
        <w:t>元以上，「郵輪式列車」年收入則約1</w:t>
      </w:r>
      <w:proofErr w:type="gramStart"/>
      <w:r>
        <w:rPr>
          <w:rFonts w:hAnsi="標楷體" w:hint="eastAsia"/>
          <w:color w:val="000000"/>
        </w:rPr>
        <w:t>千萬</w:t>
      </w:r>
      <w:proofErr w:type="gramEnd"/>
      <w:r>
        <w:rPr>
          <w:rFonts w:hAnsi="標楷體" w:hint="eastAsia"/>
          <w:color w:val="000000"/>
        </w:rPr>
        <w:t>元上下。為配合交通部訂定2022年鐵道觀光旅遊年，</w:t>
      </w:r>
      <w:proofErr w:type="gramStart"/>
      <w:r>
        <w:rPr>
          <w:rFonts w:hAnsi="標楷體" w:hint="eastAsia"/>
          <w:color w:val="000000"/>
        </w:rPr>
        <w:t>臺鐵局刻</w:t>
      </w:r>
      <w:proofErr w:type="gramEnd"/>
      <w:r>
        <w:rPr>
          <w:rFonts w:hAnsi="標楷體" w:hint="eastAsia"/>
          <w:color w:val="000000"/>
        </w:rPr>
        <w:t>正積極籌備規劃推出多樣化的鐵道旅遊商品，將打造美學列車、鑽石級列車等鐵道觀光列車；在遊程部分，</w:t>
      </w:r>
      <w:proofErr w:type="gramStart"/>
      <w:r>
        <w:rPr>
          <w:rFonts w:hAnsi="標楷體" w:hint="eastAsia"/>
          <w:color w:val="000000"/>
        </w:rPr>
        <w:t>採</w:t>
      </w:r>
      <w:proofErr w:type="gramEnd"/>
      <w:r>
        <w:rPr>
          <w:rFonts w:hAnsi="標楷體" w:hint="eastAsia"/>
          <w:color w:val="000000"/>
        </w:rPr>
        <w:t>主題豐富化，如</w:t>
      </w:r>
      <w:proofErr w:type="gramStart"/>
      <w:r>
        <w:rPr>
          <w:rFonts w:hAnsi="標楷體" w:hint="eastAsia"/>
          <w:color w:val="000000"/>
        </w:rPr>
        <w:t>開行藍皮客車</w:t>
      </w:r>
      <w:proofErr w:type="gramEnd"/>
      <w:r>
        <w:rPr>
          <w:rFonts w:hAnsi="標楷體" w:hint="eastAsia"/>
          <w:color w:val="000000"/>
        </w:rPr>
        <w:t>計畫搭配潮州機廠參觀行程、3條支線開行彩繪列車等；未來將依市場進行定位，區分國旅客、國際客之目標客群等等。可見</w:t>
      </w:r>
      <w:proofErr w:type="gramStart"/>
      <w:r>
        <w:rPr>
          <w:rFonts w:hAnsi="標楷體" w:hint="eastAsia"/>
          <w:color w:val="000000"/>
        </w:rPr>
        <w:t>臺鐵局</w:t>
      </w:r>
      <w:proofErr w:type="gramEnd"/>
      <w:r>
        <w:rPr>
          <w:rFonts w:hAnsi="標楷體" w:hint="eastAsia"/>
          <w:color w:val="000000"/>
        </w:rPr>
        <w:t>已積極規劃鐵道觀光業務等相關事宜。誠如日本積極推出各種型態觀光列車的同時，也採取不同觀光票價、套裝行程等活動，除吸引民眾搭乘，亦可藉由票價收入提升鐵道觀光列車品質，因此，</w:t>
      </w:r>
      <w:proofErr w:type="gramStart"/>
      <w:r>
        <w:rPr>
          <w:rFonts w:hAnsi="標楷體" w:hint="eastAsia"/>
          <w:color w:val="000000"/>
        </w:rPr>
        <w:t>臺鐵局</w:t>
      </w:r>
      <w:proofErr w:type="gramEnd"/>
      <w:r>
        <w:rPr>
          <w:rFonts w:hAnsi="標楷體" w:hint="eastAsia"/>
          <w:color w:val="000000"/>
        </w:rPr>
        <w:t>於籌備規劃推出鐵道觀光列車之時，亦應將票價</w:t>
      </w:r>
      <w:proofErr w:type="gramStart"/>
      <w:r>
        <w:rPr>
          <w:rFonts w:hAnsi="標楷體" w:hint="eastAsia"/>
          <w:color w:val="000000"/>
        </w:rPr>
        <w:t>差別取價列入</w:t>
      </w:r>
      <w:proofErr w:type="gramEnd"/>
      <w:r>
        <w:rPr>
          <w:rFonts w:hAnsi="標楷體" w:hint="eastAsia"/>
          <w:color w:val="000000"/>
        </w:rPr>
        <w:t>計畫重點考量，以求鐵道觀光品質、永續發展及精益求精。</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按日本在鐵道觀光營運多年的經驗，鐵道觀光列車的拓展係為地區的開發及創造鐵道的附加價值。因</w:t>
      </w:r>
      <w:r>
        <w:rPr>
          <w:rFonts w:hAnsi="標楷體" w:hint="eastAsia"/>
          <w:color w:val="000000"/>
        </w:rPr>
        <w:lastRenderedPageBreak/>
        <w:t>此，強化與地方的連結則相當重要，就規劃製作觀光列車這項，應該客觀地將該地域的歷史、文化或經濟等價值轉換為設計語言，或創造故事(如小玉電車「和歌</w:t>
      </w:r>
      <w:proofErr w:type="gramStart"/>
      <w:r>
        <w:rPr>
          <w:rFonts w:hAnsi="標楷體" w:hint="eastAsia"/>
          <w:color w:val="000000"/>
        </w:rPr>
        <w:t>山電鐵</w:t>
      </w:r>
      <w:proofErr w:type="gramEnd"/>
      <w:r>
        <w:rPr>
          <w:rFonts w:hAnsi="標楷體" w:hint="eastAsia"/>
          <w:color w:val="000000"/>
        </w:rPr>
        <w:t>」車內的貓造型座椅、電車外觀是101隻「小玉站長」的插畫、終點站「小玉</w:t>
      </w:r>
      <w:proofErr w:type="gramStart"/>
      <w:r>
        <w:rPr>
          <w:rFonts w:hAnsi="標楷體" w:hint="eastAsia"/>
          <w:color w:val="000000"/>
        </w:rPr>
        <w:t>博物館費志車站</w:t>
      </w:r>
      <w:proofErr w:type="gramEnd"/>
      <w:r>
        <w:rPr>
          <w:rFonts w:hAnsi="標楷體" w:hint="eastAsia"/>
          <w:color w:val="000000"/>
        </w:rPr>
        <w:t>」以樹皮做成的屋頂像</w:t>
      </w:r>
      <w:proofErr w:type="gramStart"/>
      <w:r>
        <w:rPr>
          <w:rFonts w:hAnsi="標楷體" w:hint="eastAsia"/>
          <w:color w:val="000000"/>
        </w:rPr>
        <w:t>張貓臉</w:t>
      </w:r>
      <w:proofErr w:type="gramEnd"/>
      <w:r>
        <w:rPr>
          <w:rFonts w:hAnsi="標楷體" w:hint="eastAsia"/>
          <w:color w:val="000000"/>
        </w:rPr>
        <w:t>)</w:t>
      </w:r>
      <w:r>
        <w:rPr>
          <w:rStyle w:val="ad"/>
          <w:rFonts w:hAnsi="標楷體"/>
          <w:color w:val="000000"/>
        </w:rPr>
        <w:footnoteReference w:id="1"/>
      </w:r>
      <w:r>
        <w:rPr>
          <w:rFonts w:hAnsi="標楷體" w:hint="eastAsia"/>
          <w:color w:val="000000"/>
        </w:rPr>
        <w:t>等方式表現。</w:t>
      </w:r>
      <w:proofErr w:type="gramStart"/>
      <w:r>
        <w:rPr>
          <w:rFonts w:hAnsi="標楷體" w:hint="eastAsia"/>
          <w:color w:val="000000"/>
        </w:rPr>
        <w:t>再者，</w:t>
      </w:r>
      <w:proofErr w:type="gramEnd"/>
      <w:r>
        <w:rPr>
          <w:rFonts w:hAnsi="標楷體" w:hint="eastAsia"/>
          <w:color w:val="000000"/>
        </w:rPr>
        <w:t>鐵道觀光即為促進地方經濟發展及文化呈現，日本在觀光列車的設計，期以隨著列車的經過，進而促使地域的再生與活化，即以列車為起點，從車站到城鎮，吸引乘客走入沿線各地城鎮，感受當地的歷史與文化，讓城鎮再度恢復人潮、充滿活力。另外，為免觀光列車熱潮退去，</w:t>
      </w:r>
      <w:proofErr w:type="gramStart"/>
      <w:r>
        <w:rPr>
          <w:rFonts w:hAnsi="標楷體" w:hint="eastAsia"/>
          <w:color w:val="000000"/>
        </w:rPr>
        <w:t>日本信濃鐵道</w:t>
      </w:r>
      <w:proofErr w:type="gramEnd"/>
      <w:r>
        <w:rPr>
          <w:rFonts w:hAnsi="標楷體" w:hint="eastAsia"/>
          <w:color w:val="000000"/>
        </w:rPr>
        <w:t>未雨綢繆在觀光列車行駛後的第2年，展開了在地的提攜合作計畫，「藉定期與沿線的觀光團體對話之機會，思考提案如何善用ROKUMON觀光列車</w:t>
      </w:r>
      <w:r>
        <w:rPr>
          <w:rStyle w:val="ad"/>
          <w:rFonts w:hAnsi="標楷體"/>
          <w:color w:val="000000"/>
        </w:rPr>
        <w:footnoteReference w:id="2"/>
      </w:r>
      <w:r>
        <w:rPr>
          <w:rFonts w:hAnsi="標楷體" w:hint="eastAsia"/>
          <w:color w:val="000000"/>
        </w:rPr>
        <w:t>，以達到宣傳沿線各地的目標」</w:t>
      </w:r>
      <w:r>
        <w:rPr>
          <w:rStyle w:val="ad"/>
          <w:rFonts w:hAnsi="標楷體"/>
          <w:color w:val="000000"/>
        </w:rPr>
        <w:footnoteReference w:id="3"/>
      </w:r>
      <w:r>
        <w:rPr>
          <w:rFonts w:hAnsi="標楷體" w:hint="eastAsia"/>
          <w:color w:val="000000"/>
        </w:rPr>
        <w:t>，期能透過居民的熱心與創意，衍生持續足以吸引觀光客駐足的魅力。</w:t>
      </w:r>
      <w:proofErr w:type="gramStart"/>
      <w:r>
        <w:rPr>
          <w:rFonts w:hAnsi="標楷體" w:hint="eastAsia"/>
          <w:color w:val="000000"/>
        </w:rPr>
        <w:t>此外，</w:t>
      </w:r>
      <w:proofErr w:type="gramEnd"/>
      <w:r>
        <w:rPr>
          <w:rFonts w:hAnsi="標楷體" w:hint="eastAsia"/>
          <w:color w:val="000000"/>
        </w:rPr>
        <w:t>對於大量觀光客造訪，恐影響當地交通秩序、當地居住環境困擾、觀光品質等，亦應事前與地方政府妥為規劃因應調整改善。</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另</w:t>
      </w:r>
      <w:proofErr w:type="gramStart"/>
      <w:r>
        <w:rPr>
          <w:rFonts w:hAnsi="標楷體" w:hint="eastAsia"/>
          <w:color w:val="000000"/>
        </w:rPr>
        <w:t>臺鐵局</w:t>
      </w:r>
      <w:proofErr w:type="gramEnd"/>
      <w:r>
        <w:rPr>
          <w:rFonts w:hAnsi="標楷體" w:hint="eastAsia"/>
          <w:color w:val="000000"/>
        </w:rPr>
        <w:t>已委外辦理「臺灣鐵道觀光需求與網路行銷策略關聯研究案」，以觀光列車、支線之旅、特色旅遊(車站)及鐵道文化旅遊為主題，透過社群網</w:t>
      </w:r>
      <w:r>
        <w:rPr>
          <w:rFonts w:hAnsi="標楷體" w:hint="eastAsia"/>
          <w:color w:val="000000"/>
        </w:rPr>
        <w:lastRenderedPageBreak/>
        <w:t>路、旅遊雜誌及數位平台等多媒體管道推播宣導，進行鐵道觀光旅遊整體行銷宣傳。</w:t>
      </w:r>
      <w:proofErr w:type="gramStart"/>
      <w:r>
        <w:rPr>
          <w:rFonts w:hAnsi="標楷體" w:hint="eastAsia"/>
          <w:color w:val="000000"/>
        </w:rPr>
        <w:t>臺鐵局</w:t>
      </w:r>
      <w:proofErr w:type="gramEnd"/>
      <w:r>
        <w:rPr>
          <w:rFonts w:hAnsi="標楷體" w:hint="eastAsia"/>
          <w:color w:val="000000"/>
        </w:rPr>
        <w:t>並邀集交通部觀光局及配合其他單位轄管資源作為吸引國際旅客目光，舉凡行政院農業委員會之休閒農業、內政部營建署的國家公園、經濟部的觀光工廠…等，因此交通部觀光局業將2022年訂為鐵道觀光旅遊年，除將鐵道觀光列為國際宣傳重點項目，並於2017、2018、2020年與</w:t>
      </w:r>
      <w:proofErr w:type="gramStart"/>
      <w:r>
        <w:rPr>
          <w:rFonts w:hAnsi="標楷體" w:hint="eastAsia"/>
          <w:color w:val="000000"/>
        </w:rPr>
        <w:t>臺</w:t>
      </w:r>
      <w:proofErr w:type="gramEnd"/>
      <w:r>
        <w:rPr>
          <w:rFonts w:hAnsi="標楷體" w:hint="eastAsia"/>
          <w:color w:val="000000"/>
        </w:rPr>
        <w:t>日觀光高峰論壇</w:t>
      </w:r>
      <w:proofErr w:type="gramStart"/>
      <w:r>
        <w:rPr>
          <w:rFonts w:hAnsi="標楷體" w:hint="eastAsia"/>
          <w:color w:val="000000"/>
        </w:rPr>
        <w:t>併</w:t>
      </w:r>
      <w:proofErr w:type="gramEnd"/>
      <w:r>
        <w:rPr>
          <w:rFonts w:hAnsi="標楷體" w:hint="eastAsia"/>
          <w:color w:val="000000"/>
        </w:rPr>
        <w:t>同辦理「</w:t>
      </w:r>
      <w:proofErr w:type="gramStart"/>
      <w:r>
        <w:rPr>
          <w:rFonts w:hAnsi="標楷體" w:hint="eastAsia"/>
          <w:color w:val="000000"/>
        </w:rPr>
        <w:t>臺</w:t>
      </w:r>
      <w:proofErr w:type="gramEnd"/>
      <w:r>
        <w:rPr>
          <w:rFonts w:hAnsi="標楷體" w:hint="eastAsia"/>
          <w:color w:val="000000"/>
        </w:rPr>
        <w:t>日鐵道觀光論壇」，及透過各駐外辦事處於海外宣廣行銷，包含：辦理「</w:t>
      </w:r>
      <w:proofErr w:type="gramStart"/>
      <w:r>
        <w:rPr>
          <w:rFonts w:hAnsi="標楷體" w:hint="eastAsia"/>
          <w:color w:val="000000"/>
        </w:rPr>
        <w:t>臺</w:t>
      </w:r>
      <w:proofErr w:type="gramEnd"/>
      <w:r>
        <w:rPr>
          <w:rFonts w:hAnsi="標楷體" w:hint="eastAsia"/>
          <w:color w:val="000000"/>
        </w:rPr>
        <w:t>日32同名車站」活動、締結鐵道友好關係，促進交流、運用「</w:t>
      </w:r>
      <w:proofErr w:type="gramStart"/>
      <w:r>
        <w:rPr>
          <w:rFonts w:hAnsi="標楷體" w:hint="eastAsia"/>
          <w:color w:val="000000"/>
        </w:rPr>
        <w:t>臺</w:t>
      </w:r>
      <w:proofErr w:type="gramEnd"/>
      <w:r>
        <w:rPr>
          <w:rFonts w:hAnsi="標楷體" w:hint="eastAsia"/>
          <w:color w:val="000000"/>
        </w:rPr>
        <w:t>日鐵道觀光論壇」平台，深化</w:t>
      </w:r>
      <w:proofErr w:type="gramStart"/>
      <w:r>
        <w:rPr>
          <w:rFonts w:hAnsi="標楷體" w:hint="eastAsia"/>
          <w:color w:val="000000"/>
        </w:rPr>
        <w:t>臺</w:t>
      </w:r>
      <w:proofErr w:type="gramEnd"/>
      <w:r>
        <w:rPr>
          <w:rFonts w:hAnsi="標楷體" w:hint="eastAsia"/>
          <w:color w:val="000000"/>
        </w:rPr>
        <w:t>日鐵道觀光交流、</w:t>
      </w:r>
      <w:r>
        <w:rPr>
          <w:rFonts w:hAnsi="標楷體" w:hint="eastAsia"/>
          <w:color w:val="000000"/>
        </w:rPr>
        <w:tab/>
        <w:t>集集支線彩繪列車「國立集集美術館」、配合美食展辦理「鐵路</w:t>
      </w:r>
      <w:proofErr w:type="gramStart"/>
      <w:r>
        <w:rPr>
          <w:rFonts w:hAnsi="標楷體" w:hint="eastAsia"/>
          <w:color w:val="000000"/>
        </w:rPr>
        <w:t>便當節</w:t>
      </w:r>
      <w:proofErr w:type="gramEnd"/>
      <w:r>
        <w:rPr>
          <w:rFonts w:hAnsi="標楷體" w:hint="eastAsia"/>
          <w:color w:val="000000"/>
        </w:rPr>
        <w:t>」、駐外辦事處推動鐵道觀光作為等，吸引旅客前來。然而，</w:t>
      </w:r>
      <w:r>
        <w:rPr>
          <w:rFonts w:hAnsi="標楷體" w:hint="eastAsia"/>
          <w:bCs w:val="0"/>
          <w:color w:val="000000"/>
          <w:szCs w:val="32"/>
        </w:rPr>
        <w:t>距離2022年鐵道觀光旅遊年已不到1年半時間，相關佈局仍未成形，實有加緊腳步必要。</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綜上，</w:t>
      </w:r>
      <w:r>
        <w:rPr>
          <w:rFonts w:hAnsi="標楷體" w:hint="eastAsia"/>
          <w:bCs w:val="0"/>
          <w:color w:val="000000"/>
          <w:szCs w:val="32"/>
        </w:rPr>
        <w:t>鑒於「鐵道觀光」歐洲各國及日本業已推行多年，鐵道已由傳統運輸功能轉型為鐵道觀光發展，距離2022年為鐵道觀光旅遊年已不到1年半時間，交通部於加速佈局之餘，猶應思考結合地方政府既有優勢及民間企業力量，完備相關配套措施，並預為進行多元管道宣廣與行銷，達成展現臺灣觀光鐵道特色與形象，進而帶動地方繁榮發展等目標</w:t>
      </w:r>
      <w:r>
        <w:rPr>
          <w:rFonts w:hAnsi="標楷體" w:hint="eastAsia"/>
          <w:color w:val="000000"/>
        </w:rPr>
        <w:t>。</w:t>
      </w:r>
    </w:p>
    <w:p w:rsidR="00405D97" w:rsidRDefault="00405D97" w:rsidP="00405D97">
      <w:pPr>
        <w:pStyle w:val="2"/>
        <w:numPr>
          <w:ilvl w:val="1"/>
          <w:numId w:val="2"/>
        </w:numPr>
        <w:spacing w:line="520" w:lineRule="exact"/>
        <w:rPr>
          <w:rFonts w:hAnsi="標楷體" w:hint="eastAsia"/>
          <w:b/>
          <w:color w:val="000000"/>
        </w:rPr>
      </w:pPr>
      <w:bookmarkStart w:id="9" w:name="_Toc44678568"/>
      <w:r>
        <w:rPr>
          <w:rFonts w:hAnsi="標楷體" w:hint="eastAsia"/>
          <w:b/>
          <w:color w:val="000000"/>
        </w:rPr>
        <w:t>因應時代變遷，</w:t>
      </w:r>
      <w:proofErr w:type="gramStart"/>
      <w:r>
        <w:rPr>
          <w:rFonts w:hAnsi="標楷體" w:hint="eastAsia"/>
          <w:b/>
          <w:color w:val="000000"/>
        </w:rPr>
        <w:t>臺</w:t>
      </w:r>
      <w:proofErr w:type="gramEnd"/>
      <w:r>
        <w:rPr>
          <w:rFonts w:hAnsi="標楷體" w:hint="eastAsia"/>
          <w:b/>
          <w:color w:val="000000"/>
        </w:rPr>
        <w:t>鐵營運中客運支線僅存6條路線，提</w:t>
      </w:r>
      <w:r>
        <w:rPr>
          <w:rFonts w:hAnsi="標楷體" w:hint="eastAsia"/>
          <w:b/>
          <w:color w:val="000000"/>
        </w:rPr>
        <w:lastRenderedPageBreak/>
        <w:t>供沿線居民通勤服務及</w:t>
      </w:r>
      <w:proofErr w:type="gramStart"/>
      <w:r>
        <w:rPr>
          <w:rFonts w:hAnsi="標楷體" w:hint="eastAsia"/>
          <w:b/>
          <w:color w:val="000000"/>
        </w:rPr>
        <w:t>轉乘接駁</w:t>
      </w:r>
      <w:proofErr w:type="gramEnd"/>
      <w:r>
        <w:rPr>
          <w:rFonts w:hAnsi="標楷體" w:hint="eastAsia"/>
          <w:b/>
          <w:color w:val="000000"/>
        </w:rPr>
        <w:t>，部分路線雖已轉型為觀光支線，惟營運策略顯然仍以傳統運輸服務為主，鐵道觀光旅遊思維不足，無法型塑鐵道觀光意象，為落實發展鐵道觀光</w:t>
      </w:r>
      <w:r>
        <w:rPr>
          <w:rFonts w:hAnsi="標楷體" w:hint="eastAsia"/>
          <w:b/>
        </w:rPr>
        <w:t>，</w:t>
      </w:r>
      <w:proofErr w:type="gramStart"/>
      <w:r>
        <w:rPr>
          <w:rFonts w:hAnsi="標楷體" w:hint="eastAsia"/>
          <w:b/>
        </w:rPr>
        <w:t>臺鐵局</w:t>
      </w:r>
      <w:proofErr w:type="gramEnd"/>
      <w:r>
        <w:rPr>
          <w:rFonts w:hAnsi="標楷體" w:hint="eastAsia"/>
          <w:b/>
          <w:color w:val="000000"/>
        </w:rPr>
        <w:t>允應有效整合鐵路沿線資源及加強與地方、中央相關部會合作，共同推動</w:t>
      </w:r>
      <w:r>
        <w:rPr>
          <w:rFonts w:hAnsi="標楷體" w:hint="eastAsia"/>
          <w:b/>
        </w:rPr>
        <w:t>觀光、運輸與地方互利共榮之發展</w:t>
      </w:r>
      <w:r>
        <w:rPr>
          <w:rFonts w:hAnsi="標楷體" w:hint="eastAsia"/>
          <w:b/>
          <w:color w:val="000000"/>
        </w:rPr>
        <w:t>：</w:t>
      </w:r>
      <w:bookmarkEnd w:id="9"/>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早期</w:t>
      </w:r>
      <w:proofErr w:type="gramStart"/>
      <w:r>
        <w:rPr>
          <w:rFonts w:hAnsi="標楷體" w:hint="eastAsia"/>
          <w:color w:val="000000"/>
        </w:rPr>
        <w:t>臺</w:t>
      </w:r>
      <w:proofErr w:type="gramEnd"/>
      <w:r>
        <w:rPr>
          <w:rFonts w:hAnsi="標楷體" w:hint="eastAsia"/>
          <w:color w:val="000000"/>
        </w:rPr>
        <w:t>鐵支線興建都有其主要的運輸目的，例如平溪線及深澳線係為運送煤炭，集集線係為蓋電廠，內灣線係為運送水泥及林產、淡水線係為海運至淡水港間運送物資等，曾經多達數十條的支線，目前除平溪線、內灣線、集集線已轉型為客運支線或觀光支線外，其餘</w:t>
      </w:r>
      <w:proofErr w:type="gramStart"/>
      <w:r>
        <w:rPr>
          <w:rFonts w:hAnsi="標楷體" w:hint="eastAsia"/>
          <w:color w:val="000000"/>
        </w:rPr>
        <w:t>支線均已廢止</w:t>
      </w:r>
      <w:proofErr w:type="gramEnd"/>
      <w:r>
        <w:rPr>
          <w:rFonts w:hAnsi="標楷體" w:hint="eastAsia"/>
          <w:color w:val="000000"/>
        </w:rPr>
        <w:t>，路基已被改建為捷運或公路等用途。深</w:t>
      </w:r>
      <w:proofErr w:type="gramStart"/>
      <w:r>
        <w:rPr>
          <w:rFonts w:hAnsi="標楷體" w:hint="eastAsia"/>
          <w:color w:val="000000"/>
        </w:rPr>
        <w:t>澳線曾於</w:t>
      </w:r>
      <w:proofErr w:type="gramEnd"/>
      <w:r>
        <w:rPr>
          <w:rFonts w:hAnsi="標楷體" w:hint="eastAsia"/>
          <w:color w:val="000000"/>
        </w:rPr>
        <w:t>96年停駛，</w:t>
      </w:r>
      <w:proofErr w:type="gramStart"/>
      <w:r>
        <w:rPr>
          <w:rFonts w:hAnsi="標楷體" w:hint="eastAsia"/>
          <w:color w:val="000000"/>
        </w:rPr>
        <w:t>嗣</w:t>
      </w:r>
      <w:proofErr w:type="gramEnd"/>
      <w:r>
        <w:rPr>
          <w:rFonts w:hAnsi="標楷體" w:hint="eastAsia"/>
          <w:color w:val="000000"/>
        </w:rPr>
        <w:t>因國際海洋科技博物館(下稱</w:t>
      </w:r>
      <w:proofErr w:type="gramStart"/>
      <w:r>
        <w:rPr>
          <w:rFonts w:hAnsi="標楷體" w:hint="eastAsia"/>
          <w:color w:val="000000"/>
        </w:rPr>
        <w:t>海科館</w:t>
      </w:r>
      <w:proofErr w:type="gramEnd"/>
      <w:r>
        <w:rPr>
          <w:rFonts w:hAnsi="標楷體" w:hint="eastAsia"/>
          <w:color w:val="000000"/>
        </w:rPr>
        <w:t>)啟用，而於103年1月9日瑞芳</w:t>
      </w:r>
      <w:proofErr w:type="gramStart"/>
      <w:r>
        <w:rPr>
          <w:rFonts w:hAnsi="標楷體" w:hint="eastAsia"/>
          <w:color w:val="000000"/>
        </w:rPr>
        <w:t>－海科館間</w:t>
      </w:r>
      <w:proofErr w:type="gramEnd"/>
      <w:r>
        <w:rPr>
          <w:rFonts w:hAnsi="標楷體" w:hint="eastAsia"/>
          <w:color w:val="000000"/>
        </w:rPr>
        <w:t>恢復營運，105年12月28日再延長至八斗子站，目前已轉型為觀光支線。另因應高速鐵路成為臺灣主要長程運輸幹道，由交通部高速鐵路工程局規劃、鐵路改建工程局施工(兩局目前已合併為鐵道局)，已於100年1月2日及同年11月11日通車的</w:t>
      </w:r>
      <w:proofErr w:type="gramStart"/>
      <w:r>
        <w:rPr>
          <w:rFonts w:hAnsi="標楷體" w:hint="eastAsia"/>
          <w:color w:val="000000"/>
        </w:rPr>
        <w:t>臺</w:t>
      </w:r>
      <w:proofErr w:type="gramEnd"/>
      <w:r>
        <w:rPr>
          <w:rFonts w:hAnsi="標楷體" w:hint="eastAsia"/>
          <w:color w:val="000000"/>
        </w:rPr>
        <w:t>南沙崙線(下稱沙崙線)、新竹六家線(下稱六家線)等兩條支線，主要功能定位為高鐵新竹站、</w:t>
      </w:r>
      <w:proofErr w:type="gramStart"/>
      <w:r>
        <w:rPr>
          <w:rFonts w:hAnsi="標楷體" w:hint="eastAsia"/>
          <w:color w:val="000000"/>
        </w:rPr>
        <w:t>臺</w:t>
      </w:r>
      <w:proofErr w:type="gramEnd"/>
      <w:r>
        <w:rPr>
          <w:rFonts w:hAnsi="標楷體" w:hint="eastAsia"/>
          <w:color w:val="000000"/>
        </w:rPr>
        <w:t>南站之聯絡線，以解決都會區與高鐵車站間交通運輸需求，即以提升高鐵與</w:t>
      </w:r>
      <w:proofErr w:type="gramStart"/>
      <w:r>
        <w:rPr>
          <w:rFonts w:hAnsi="標楷體" w:hint="eastAsia"/>
          <w:color w:val="000000"/>
        </w:rPr>
        <w:t>臺</w:t>
      </w:r>
      <w:proofErr w:type="gramEnd"/>
      <w:r>
        <w:rPr>
          <w:rFonts w:hAnsi="標楷體" w:hint="eastAsia"/>
          <w:color w:val="000000"/>
        </w:rPr>
        <w:t>鐵</w:t>
      </w:r>
      <w:proofErr w:type="gramStart"/>
      <w:r>
        <w:rPr>
          <w:rFonts w:hAnsi="標楷體" w:hint="eastAsia"/>
          <w:color w:val="000000"/>
        </w:rPr>
        <w:t>間轉乘接駁為</w:t>
      </w:r>
      <w:proofErr w:type="gramEnd"/>
      <w:r>
        <w:rPr>
          <w:rFonts w:hAnsi="標楷體" w:hint="eastAsia"/>
          <w:color w:val="000000"/>
        </w:rPr>
        <w:t>目標，並達成有效整合軌道路網、方便旅客</w:t>
      </w:r>
      <w:proofErr w:type="gramStart"/>
      <w:r>
        <w:rPr>
          <w:rFonts w:hAnsi="標楷體" w:hint="eastAsia"/>
          <w:color w:val="000000"/>
        </w:rPr>
        <w:t>接駁轉乘</w:t>
      </w:r>
      <w:proofErr w:type="gramEnd"/>
      <w:r>
        <w:rPr>
          <w:rFonts w:hAnsi="標楷體" w:hint="eastAsia"/>
          <w:color w:val="000000"/>
        </w:rPr>
        <w:t>、擴大軌道運輸服務範圍、促進地方發展為目的。</w:t>
      </w:r>
      <w:proofErr w:type="gramStart"/>
      <w:r>
        <w:rPr>
          <w:rFonts w:hAnsi="標楷體" w:hint="eastAsia"/>
          <w:color w:val="000000"/>
        </w:rPr>
        <w:t>此外，</w:t>
      </w:r>
      <w:proofErr w:type="gramEnd"/>
      <w:r>
        <w:rPr>
          <w:rFonts w:hAnsi="標楷體" w:hint="eastAsia"/>
          <w:color w:val="000000"/>
        </w:rPr>
        <w:t>除高鐵末班車因適逢深夜時段，</w:t>
      </w:r>
      <w:proofErr w:type="gramStart"/>
      <w:r>
        <w:rPr>
          <w:rFonts w:hAnsi="標楷體" w:hint="eastAsia"/>
          <w:color w:val="000000"/>
        </w:rPr>
        <w:t>臺</w:t>
      </w:r>
      <w:proofErr w:type="gramEnd"/>
      <w:r>
        <w:rPr>
          <w:rFonts w:hAnsi="標楷體" w:hint="eastAsia"/>
          <w:color w:val="000000"/>
        </w:rPr>
        <w:t>鐵進</w:t>
      </w:r>
      <w:r>
        <w:rPr>
          <w:rFonts w:hAnsi="標楷體" w:hint="eastAsia"/>
          <w:color w:val="000000"/>
        </w:rPr>
        <w:lastRenderedPageBreak/>
        <w:t>行路線檢修養護無法提供接駁服務外，高鐵其餘98%之班次皆可與</w:t>
      </w:r>
      <w:proofErr w:type="gramStart"/>
      <w:r>
        <w:rPr>
          <w:rFonts w:hAnsi="標楷體" w:hint="eastAsia"/>
          <w:color w:val="000000"/>
        </w:rPr>
        <w:t>臺鐵轉</w:t>
      </w:r>
      <w:proofErr w:type="gramEnd"/>
      <w:r>
        <w:rPr>
          <w:rFonts w:hAnsi="標楷體" w:hint="eastAsia"/>
          <w:color w:val="000000"/>
        </w:rPr>
        <w:t>乘。因此，隨著時代變遷，</w:t>
      </w:r>
      <w:proofErr w:type="gramStart"/>
      <w:r>
        <w:rPr>
          <w:rFonts w:hAnsi="標楷體" w:hint="eastAsia"/>
          <w:color w:val="000000"/>
        </w:rPr>
        <w:t>臺</w:t>
      </w:r>
      <w:proofErr w:type="gramEnd"/>
      <w:r>
        <w:rPr>
          <w:rFonts w:hAnsi="標楷體" w:hint="eastAsia"/>
          <w:color w:val="000000"/>
        </w:rPr>
        <w:t>鐵支線已由原本運送煤炭、水泥、林產之目的轉變為載客運輸服務的功能。</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就近3年</w:t>
      </w:r>
      <w:proofErr w:type="gramStart"/>
      <w:r>
        <w:rPr>
          <w:rFonts w:hAnsi="標楷體" w:hint="eastAsia"/>
          <w:color w:val="000000"/>
        </w:rPr>
        <w:t>臺</w:t>
      </w:r>
      <w:proofErr w:type="gramEnd"/>
      <w:r>
        <w:rPr>
          <w:rFonts w:hAnsi="標楷體" w:hint="eastAsia"/>
          <w:color w:val="000000"/>
        </w:rPr>
        <w:t>鐵僅存6條客運支線每日平均旅運人次來看(詳下表)，其中僅六家線(竹中-六家，3.1公里)呈現逐年成長之趨勢，內灣線(新竹-內灣，27.9公里)及沙崙線(中洲-沙崙，5.3公里)109年旅運人次下滑，而平溪線(三貂嶺-</w:t>
      </w:r>
      <w:proofErr w:type="gramStart"/>
      <w:r>
        <w:rPr>
          <w:rFonts w:hAnsi="標楷體" w:hint="eastAsia"/>
          <w:color w:val="000000"/>
        </w:rPr>
        <w:t>菁</w:t>
      </w:r>
      <w:proofErr w:type="gramEnd"/>
      <w:r>
        <w:rPr>
          <w:rFonts w:hAnsi="標楷體" w:hint="eastAsia"/>
          <w:color w:val="000000"/>
        </w:rPr>
        <w:t>桐，12.9公里)、深澳線(瑞芳-八斗子，4.7公里)及集集線(二水-車埕，29.7公里)則逐年減少，尤以深澳線之旅運人次減少幅度最大。另以客座利用率分析，不論平日或假日，</w:t>
      </w:r>
      <w:proofErr w:type="gramStart"/>
      <w:r>
        <w:rPr>
          <w:rFonts w:hAnsi="標楷體" w:hint="eastAsia"/>
          <w:color w:val="000000"/>
        </w:rPr>
        <w:t>均以內灣</w:t>
      </w:r>
      <w:proofErr w:type="gramEnd"/>
      <w:r>
        <w:rPr>
          <w:rFonts w:hAnsi="標楷體" w:hint="eastAsia"/>
          <w:color w:val="000000"/>
        </w:rPr>
        <w:t>線之客座利用率為最高，其次是平溪線，再其次是集集線，深澳線的客座利用率為最低，運能有待加強提升。</w:t>
      </w:r>
    </w:p>
    <w:p w:rsidR="00405D97" w:rsidRDefault="00405D97" w:rsidP="00405D97">
      <w:pPr>
        <w:pStyle w:val="a0"/>
        <w:spacing w:before="0" w:line="520" w:lineRule="exact"/>
        <w:ind w:left="482" w:firstLine="936"/>
        <w:rPr>
          <w:rFonts w:hAnsi="標楷體" w:hint="eastAsia"/>
          <w:b/>
          <w:color w:val="000000"/>
        </w:rPr>
      </w:pPr>
      <w:bookmarkStart w:id="10" w:name="_Toc44678609"/>
      <w:r>
        <w:rPr>
          <w:rFonts w:hAnsi="標楷體" w:hint="eastAsia"/>
          <w:b/>
          <w:color w:val="000000"/>
        </w:rPr>
        <w:t>106年至108年</w:t>
      </w:r>
      <w:proofErr w:type="gramStart"/>
      <w:r>
        <w:rPr>
          <w:rFonts w:hAnsi="標楷體" w:hint="eastAsia"/>
          <w:b/>
          <w:color w:val="000000"/>
        </w:rPr>
        <w:t>臺</w:t>
      </w:r>
      <w:proofErr w:type="gramEnd"/>
      <w:r>
        <w:rPr>
          <w:rFonts w:hAnsi="標楷體" w:hint="eastAsia"/>
          <w:b/>
          <w:color w:val="000000"/>
        </w:rPr>
        <w:t>鐵支線每日平均旅運人次一覽表</w:t>
      </w:r>
      <w:bookmarkEnd w:id="10"/>
    </w:p>
    <w:tbl>
      <w:tblPr>
        <w:tblW w:w="760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067"/>
        <w:gridCol w:w="1067"/>
        <w:gridCol w:w="1067"/>
        <w:gridCol w:w="1067"/>
        <w:gridCol w:w="1067"/>
        <w:gridCol w:w="1067"/>
      </w:tblGrid>
      <w:tr w:rsidR="00405D97" w:rsidTr="00405D97">
        <w:trPr>
          <w:trHeight w:val="397"/>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支線</w:t>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106</w:t>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107</w:t>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108</w:t>
            </w:r>
          </w:p>
        </w:tc>
      </w:tr>
      <w:tr w:rsidR="00405D97" w:rsidTr="00405D9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widowControl/>
              <w:spacing w:line="520" w:lineRule="exact"/>
              <w:rPr>
                <w:rFonts w:ascii="標楷體" w:eastAsia="標楷體" w:hAnsi="標楷體"/>
                <w:color w:val="000000"/>
                <w:kern w:val="32"/>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平日</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假日</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平日</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假日</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平日</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假日</w:t>
            </w:r>
          </w:p>
        </w:tc>
      </w:tr>
      <w:tr w:rsidR="00405D97" w:rsidTr="00405D97">
        <w:trPr>
          <w:trHeight w:val="397"/>
        </w:trPr>
        <w:tc>
          <w:tcPr>
            <w:tcW w:w="1202"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平溪線</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2,558</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3,895</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2,416</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3,792</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2,193</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3,501</w:t>
            </w:r>
          </w:p>
        </w:tc>
      </w:tr>
      <w:tr w:rsidR="00405D97" w:rsidTr="00405D97">
        <w:trPr>
          <w:trHeight w:val="397"/>
        </w:trPr>
        <w:tc>
          <w:tcPr>
            <w:tcW w:w="1202"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深澳線</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899</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1,384</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668</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1,037</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592</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922</w:t>
            </w:r>
          </w:p>
        </w:tc>
      </w:tr>
      <w:tr w:rsidR="00405D97" w:rsidTr="00405D97">
        <w:trPr>
          <w:trHeight w:val="397"/>
        </w:trPr>
        <w:tc>
          <w:tcPr>
            <w:tcW w:w="1202"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內灣線</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3,929</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5,378</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4,036</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5,389</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3,950</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5,320</w:t>
            </w:r>
          </w:p>
        </w:tc>
      </w:tr>
      <w:tr w:rsidR="00405D97" w:rsidTr="00405D97">
        <w:trPr>
          <w:trHeight w:val="397"/>
        </w:trPr>
        <w:tc>
          <w:tcPr>
            <w:tcW w:w="1202"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六家線</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szCs w:val="28"/>
              </w:rPr>
            </w:pPr>
            <w:r>
              <w:rPr>
                <w:rFonts w:hAnsi="標楷體" w:hint="eastAsia"/>
                <w:color w:val="000000"/>
                <w:sz w:val="28"/>
                <w:szCs w:val="28"/>
              </w:rPr>
              <w:t>2,281</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szCs w:val="28"/>
              </w:rPr>
            </w:pPr>
            <w:r>
              <w:rPr>
                <w:rFonts w:hAnsi="標楷體" w:hint="eastAsia"/>
                <w:color w:val="000000"/>
                <w:sz w:val="28"/>
                <w:szCs w:val="28"/>
              </w:rPr>
              <w:t>2,928</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szCs w:val="28"/>
              </w:rPr>
            </w:pPr>
            <w:r>
              <w:rPr>
                <w:rFonts w:hAnsi="標楷體" w:hint="eastAsia"/>
                <w:color w:val="000000"/>
                <w:sz w:val="28"/>
                <w:szCs w:val="28"/>
              </w:rPr>
              <w:t>2,589</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szCs w:val="28"/>
              </w:rPr>
            </w:pPr>
            <w:r>
              <w:rPr>
                <w:rFonts w:hAnsi="標楷體" w:hint="eastAsia"/>
                <w:color w:val="000000"/>
                <w:sz w:val="28"/>
                <w:szCs w:val="28"/>
              </w:rPr>
              <w:t>3,304</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szCs w:val="28"/>
              </w:rPr>
            </w:pPr>
            <w:r>
              <w:rPr>
                <w:rFonts w:hAnsi="標楷體" w:hint="eastAsia"/>
                <w:color w:val="000000"/>
                <w:sz w:val="28"/>
                <w:szCs w:val="28"/>
              </w:rPr>
              <w:t>2,692</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right"/>
              <w:rPr>
                <w:rFonts w:hAnsi="標楷體" w:hint="eastAsia"/>
                <w:color w:val="000000"/>
                <w:sz w:val="28"/>
                <w:szCs w:val="28"/>
              </w:rPr>
            </w:pPr>
            <w:r>
              <w:rPr>
                <w:rFonts w:hAnsi="標楷體" w:hint="eastAsia"/>
                <w:color w:val="000000"/>
                <w:sz w:val="28"/>
                <w:szCs w:val="28"/>
              </w:rPr>
              <w:t>3,444</w:t>
            </w:r>
          </w:p>
        </w:tc>
      </w:tr>
      <w:tr w:rsidR="00405D97" w:rsidTr="00405D97">
        <w:trPr>
          <w:trHeight w:val="397"/>
        </w:trPr>
        <w:tc>
          <w:tcPr>
            <w:tcW w:w="1202"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集集線</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1,264</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2,432</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1,127</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2,395</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1,033</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2,260</w:t>
            </w:r>
          </w:p>
        </w:tc>
      </w:tr>
      <w:tr w:rsidR="00405D97" w:rsidTr="00405D97">
        <w:trPr>
          <w:trHeight w:val="397"/>
        </w:trPr>
        <w:tc>
          <w:tcPr>
            <w:tcW w:w="1202"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center"/>
              <w:rPr>
                <w:rFonts w:hAnsi="標楷體" w:hint="eastAsia"/>
                <w:color w:val="000000"/>
                <w:sz w:val="28"/>
                <w:szCs w:val="28"/>
              </w:rPr>
            </w:pPr>
            <w:r>
              <w:rPr>
                <w:rFonts w:hAnsi="標楷體" w:hint="eastAsia"/>
                <w:color w:val="000000"/>
                <w:sz w:val="28"/>
                <w:szCs w:val="28"/>
              </w:rPr>
              <w:t>沙崙線</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3,129</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3,702</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3,304</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3,889</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3,277</w:t>
            </w:r>
          </w:p>
        </w:tc>
        <w:tc>
          <w:tcPr>
            <w:tcW w:w="1067"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pStyle w:val="4"/>
              <w:numPr>
                <w:ilvl w:val="0"/>
                <w:numId w:val="0"/>
              </w:numPr>
              <w:spacing w:line="520" w:lineRule="exact"/>
              <w:jc w:val="right"/>
              <w:rPr>
                <w:rFonts w:hAnsi="標楷體" w:hint="eastAsia"/>
                <w:color w:val="000000"/>
                <w:sz w:val="28"/>
                <w:szCs w:val="28"/>
              </w:rPr>
            </w:pPr>
            <w:r>
              <w:rPr>
                <w:rFonts w:hAnsi="標楷體" w:hint="eastAsia"/>
                <w:color w:val="000000"/>
                <w:sz w:val="28"/>
                <w:szCs w:val="28"/>
              </w:rPr>
              <w:t>3,837</w:t>
            </w:r>
          </w:p>
        </w:tc>
      </w:tr>
    </w:tbl>
    <w:p w:rsidR="00405D97" w:rsidRDefault="00405D97" w:rsidP="00405D97">
      <w:pPr>
        <w:spacing w:afterLines="20" w:after="72" w:line="520" w:lineRule="exact"/>
        <w:ind w:leftChars="382" w:left="917"/>
        <w:rPr>
          <w:rFonts w:ascii="標楷體" w:eastAsia="標楷體" w:hAnsi="標楷體" w:cs="Times New Roman" w:hint="eastAsia"/>
          <w:color w:val="000000"/>
          <w:szCs w:val="20"/>
        </w:rPr>
      </w:pPr>
      <w:r>
        <w:rPr>
          <w:rFonts w:hAnsi="標楷體" w:hint="eastAsia"/>
          <w:color w:val="000000"/>
        </w:rPr>
        <w:t>資料來源：履</w:t>
      </w:r>
      <w:proofErr w:type="gramStart"/>
      <w:r>
        <w:rPr>
          <w:rFonts w:hAnsi="標楷體" w:hint="eastAsia"/>
          <w:color w:val="000000"/>
        </w:rPr>
        <w:t>勘</w:t>
      </w:r>
      <w:proofErr w:type="gramEnd"/>
      <w:r>
        <w:rPr>
          <w:rFonts w:hAnsi="標楷體" w:hint="eastAsia"/>
          <w:color w:val="000000"/>
        </w:rPr>
        <w:t>簡報資料，</w:t>
      </w:r>
      <w:proofErr w:type="gramStart"/>
      <w:r>
        <w:rPr>
          <w:rFonts w:hAnsi="標楷體" w:hint="eastAsia"/>
          <w:color w:val="000000"/>
        </w:rPr>
        <w:t>本院彙整</w:t>
      </w:r>
      <w:proofErr w:type="gramEnd"/>
      <w:r>
        <w:rPr>
          <w:rFonts w:hAnsi="標楷體" w:hint="eastAsia"/>
          <w:color w:val="000000"/>
        </w:rPr>
        <w:t>。</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另觀察99年至108年間</w:t>
      </w:r>
      <w:proofErr w:type="gramStart"/>
      <w:r>
        <w:rPr>
          <w:rFonts w:hAnsi="標楷體" w:hint="eastAsia"/>
          <w:color w:val="000000"/>
        </w:rPr>
        <w:t>臺</w:t>
      </w:r>
      <w:proofErr w:type="gramEnd"/>
      <w:r>
        <w:rPr>
          <w:rFonts w:hAnsi="標楷體" w:hint="eastAsia"/>
          <w:color w:val="000000"/>
        </w:rPr>
        <w:t>鐵支線之營運收支(詳下</w:t>
      </w:r>
      <w:r>
        <w:rPr>
          <w:rFonts w:hAnsi="標楷體" w:hint="eastAsia"/>
          <w:color w:val="000000"/>
        </w:rPr>
        <w:lastRenderedPageBreak/>
        <w:t>表)、營運收入與運量等情形(詳下圖)，在營運成本方面，沙崙線、內灣線108年營運成本較其他年度增加，主要係</w:t>
      </w:r>
      <w:proofErr w:type="gramStart"/>
      <w:r>
        <w:rPr>
          <w:rFonts w:hAnsi="標楷體" w:hint="eastAsia"/>
          <w:color w:val="000000"/>
        </w:rPr>
        <w:t>臺鐵總</w:t>
      </w:r>
      <w:proofErr w:type="gramEnd"/>
      <w:r>
        <w:rPr>
          <w:rFonts w:hAnsi="標楷體" w:hint="eastAsia"/>
          <w:color w:val="000000"/>
        </w:rPr>
        <w:t>體檢營運財務改革委員會裁示，重新檢視6條支線成本結構，經</w:t>
      </w:r>
      <w:proofErr w:type="gramStart"/>
      <w:r>
        <w:rPr>
          <w:rFonts w:hAnsi="標楷體" w:hint="eastAsia"/>
          <w:color w:val="000000"/>
        </w:rPr>
        <w:t>臺鐵局</w:t>
      </w:r>
      <w:proofErr w:type="gramEnd"/>
      <w:r>
        <w:rPr>
          <w:rFonts w:hAnsi="標楷體" w:hint="eastAsia"/>
          <w:color w:val="000000"/>
        </w:rPr>
        <w:t>檢討108年將折舊費用納入計算，由於屬新開通路線，</w:t>
      </w:r>
      <w:proofErr w:type="gramStart"/>
      <w:r>
        <w:rPr>
          <w:rFonts w:hAnsi="標楷體" w:hint="eastAsia"/>
          <w:color w:val="000000"/>
        </w:rPr>
        <w:t>帳列攤提</w:t>
      </w:r>
      <w:proofErr w:type="gramEnd"/>
      <w:r>
        <w:rPr>
          <w:rFonts w:hAnsi="標楷體" w:hint="eastAsia"/>
          <w:color w:val="000000"/>
        </w:rPr>
        <w:t>相關設施折舊費用較高；另集集線100年營運成本較其他年度增加，主要係100年辦理集集支線老舊隧道改善工程，致維護管理費增加至2.43億元。另扣除上述成本較高之原因後，各支線之年度</w:t>
      </w:r>
      <w:proofErr w:type="gramStart"/>
      <w:r>
        <w:rPr>
          <w:rFonts w:hAnsi="標楷體" w:hint="eastAsia"/>
          <w:color w:val="000000"/>
        </w:rPr>
        <w:t>成本均呈微</w:t>
      </w:r>
      <w:proofErr w:type="gramEnd"/>
      <w:r>
        <w:rPr>
          <w:rFonts w:hAnsi="標楷體" w:hint="eastAsia"/>
          <w:color w:val="000000"/>
        </w:rPr>
        <w:t>幅上升趨勢，其年平均營運支出，平溪線為1.31億元、深澳線為0.36億元、內灣線為1.66億元、六家線0.67億元、集集線為1.45億元、沙崙線為1.26億元。在運量方面上，六家線及沙崙線自100年開始營運，總運量人次由100年632,409人次成長至108年2,307,288人次，運量逐年成長顯示旅客有</w:t>
      </w:r>
      <w:proofErr w:type="gramStart"/>
      <w:r>
        <w:rPr>
          <w:rFonts w:hAnsi="標楷體" w:hint="eastAsia"/>
          <w:color w:val="000000"/>
        </w:rPr>
        <w:t>接駁轉乘</w:t>
      </w:r>
      <w:proofErr w:type="gramEnd"/>
      <w:r>
        <w:rPr>
          <w:rFonts w:hAnsi="標楷體" w:hint="eastAsia"/>
          <w:color w:val="000000"/>
        </w:rPr>
        <w:t>之需求；至其它支線近年的</w:t>
      </w:r>
      <w:proofErr w:type="gramStart"/>
      <w:r>
        <w:rPr>
          <w:rFonts w:hAnsi="標楷體" w:hint="eastAsia"/>
          <w:color w:val="000000"/>
        </w:rPr>
        <w:t>運量均有減少</w:t>
      </w:r>
      <w:proofErr w:type="gramEnd"/>
      <w:r>
        <w:rPr>
          <w:rFonts w:hAnsi="標楷體" w:hint="eastAsia"/>
          <w:color w:val="000000"/>
        </w:rPr>
        <w:t>情形，尤以深澳線運量減少最為嚴重，甚</w:t>
      </w:r>
      <w:proofErr w:type="gramStart"/>
      <w:r>
        <w:rPr>
          <w:rFonts w:hAnsi="標楷體" w:hint="eastAsia"/>
          <w:color w:val="000000"/>
        </w:rPr>
        <w:t>且</w:t>
      </w:r>
      <w:proofErr w:type="gramEnd"/>
      <w:r>
        <w:rPr>
          <w:rFonts w:hAnsi="標楷體" w:hint="eastAsia"/>
          <w:color w:val="000000"/>
        </w:rPr>
        <w:t>，</w:t>
      </w:r>
      <w:proofErr w:type="gramStart"/>
      <w:r>
        <w:rPr>
          <w:rFonts w:hAnsi="標楷體" w:hint="eastAsia"/>
          <w:color w:val="000000"/>
        </w:rPr>
        <w:t>海科館</w:t>
      </w:r>
      <w:proofErr w:type="gramEnd"/>
      <w:r>
        <w:rPr>
          <w:rFonts w:hAnsi="標楷體" w:hint="eastAsia"/>
          <w:color w:val="000000"/>
        </w:rPr>
        <w:t>希望能免除當時規劃深澳線</w:t>
      </w:r>
      <w:proofErr w:type="gramStart"/>
      <w:r>
        <w:rPr>
          <w:rFonts w:hAnsi="標楷體" w:hint="eastAsia"/>
          <w:color w:val="000000"/>
        </w:rPr>
        <w:t>復駛時同意</w:t>
      </w:r>
      <w:proofErr w:type="gramEnd"/>
      <w:r>
        <w:rPr>
          <w:rFonts w:hAnsi="標楷體" w:hint="eastAsia"/>
          <w:color w:val="000000"/>
        </w:rPr>
        <w:t>分攤費用之責任，按行政院張景森政務委員107年10月30日召開會議結論：「有關</w:t>
      </w:r>
      <w:proofErr w:type="gramStart"/>
      <w:r>
        <w:rPr>
          <w:rFonts w:hAnsi="標楷體" w:hint="eastAsia"/>
          <w:color w:val="000000"/>
        </w:rPr>
        <w:t>臺</w:t>
      </w:r>
      <w:proofErr w:type="gramEnd"/>
      <w:r>
        <w:rPr>
          <w:rFonts w:hAnsi="標楷體" w:hint="eastAsia"/>
          <w:color w:val="000000"/>
        </w:rPr>
        <w:t>鐵費用補貼事宜，請教育部先以公務預算支應，以3年為期，每年1,000萬元，屆期如確定無法繼續營運，</w:t>
      </w:r>
      <w:proofErr w:type="gramStart"/>
      <w:r>
        <w:rPr>
          <w:rFonts w:hAnsi="標楷體" w:hint="eastAsia"/>
          <w:color w:val="000000"/>
        </w:rPr>
        <w:t>則朝停駛</w:t>
      </w:r>
      <w:proofErr w:type="gramEnd"/>
      <w:r>
        <w:rPr>
          <w:rFonts w:hAnsi="標楷體" w:hint="eastAsia"/>
          <w:color w:val="000000"/>
        </w:rPr>
        <w:t>規劃。」相關主管機關允應共同努力，提升深澳線運能。</w:t>
      </w:r>
    </w:p>
    <w:p w:rsidR="00405D97" w:rsidRDefault="00405D97" w:rsidP="00405D97">
      <w:pPr>
        <w:pStyle w:val="a0"/>
        <w:spacing w:before="0" w:after="0" w:line="520" w:lineRule="exact"/>
        <w:ind w:left="1616" w:hanging="482"/>
        <w:rPr>
          <w:rFonts w:hAnsi="標楷體" w:hint="eastAsia"/>
          <w:color w:val="000000"/>
        </w:rPr>
      </w:pPr>
      <w:bookmarkStart w:id="11" w:name="_Toc44678610"/>
      <w:proofErr w:type="gramStart"/>
      <w:r>
        <w:rPr>
          <w:rFonts w:hAnsi="標楷體" w:hint="eastAsia"/>
          <w:b/>
          <w:color w:val="000000"/>
        </w:rPr>
        <w:lastRenderedPageBreak/>
        <w:t>臺</w:t>
      </w:r>
      <w:proofErr w:type="gramEnd"/>
      <w:r>
        <w:rPr>
          <w:rFonts w:hAnsi="標楷體" w:hint="eastAsia"/>
          <w:b/>
          <w:color w:val="000000"/>
        </w:rPr>
        <w:t>鐵支線年平均營運情形一覽表</w:t>
      </w:r>
      <w:bookmarkEnd w:id="11"/>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1417"/>
        <w:gridCol w:w="1560"/>
        <w:gridCol w:w="1559"/>
        <w:gridCol w:w="1559"/>
        <w:gridCol w:w="1375"/>
        <w:gridCol w:w="1744"/>
      </w:tblGrid>
      <w:tr w:rsidR="00405D97" w:rsidTr="00405D97">
        <w:trPr>
          <w:trHeight w:val="20"/>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支線</w:t>
            </w:r>
          </w:p>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名稱</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營運成本</w:t>
            </w:r>
            <w:r>
              <w:rPr>
                <w:rFonts w:hAnsi="標楷體" w:hint="eastAsia"/>
                <w:color w:val="000000"/>
                <w:sz w:val="22"/>
                <w:szCs w:val="28"/>
              </w:rPr>
              <w:t>(</w:t>
            </w:r>
            <w:r>
              <w:rPr>
                <w:rFonts w:hAnsi="標楷體" w:hint="eastAsia"/>
                <w:color w:val="000000"/>
                <w:sz w:val="22"/>
                <w:szCs w:val="28"/>
              </w:rPr>
              <w:t>元</w:t>
            </w:r>
            <w:r>
              <w:rPr>
                <w:rFonts w:hAnsi="標楷體" w:hint="eastAsia"/>
                <w:color w:val="000000"/>
                <w:sz w:val="22"/>
                <w:szCs w:val="28"/>
              </w:rPr>
              <w:t>/</w:t>
            </w:r>
            <w:r>
              <w:rPr>
                <w:rFonts w:hAnsi="標楷體" w:hint="eastAsia"/>
                <w:color w:val="000000"/>
                <w:sz w:val="22"/>
                <w:szCs w:val="28"/>
              </w:rPr>
              <w:t>年</w:t>
            </w:r>
            <w:r>
              <w:rPr>
                <w:rFonts w:hAnsi="標楷體" w:hint="eastAsia"/>
                <w:color w:val="000000"/>
                <w:sz w:val="22"/>
                <w:szCs w:val="28"/>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營運收入</w:t>
            </w:r>
          </w:p>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w:t>
            </w:r>
            <w:r>
              <w:rPr>
                <w:rFonts w:hAnsi="標楷體" w:hint="eastAsia"/>
                <w:color w:val="000000"/>
                <w:sz w:val="22"/>
                <w:szCs w:val="28"/>
              </w:rPr>
              <w:t>元</w:t>
            </w:r>
            <w:r>
              <w:rPr>
                <w:rFonts w:hAnsi="標楷體" w:hint="eastAsia"/>
                <w:color w:val="000000"/>
                <w:sz w:val="22"/>
                <w:szCs w:val="28"/>
              </w:rPr>
              <w:t>/</w:t>
            </w:r>
            <w:r>
              <w:rPr>
                <w:rFonts w:hAnsi="標楷體" w:hint="eastAsia"/>
                <w:color w:val="000000"/>
                <w:sz w:val="22"/>
                <w:szCs w:val="28"/>
              </w:rPr>
              <w:t>年</w:t>
            </w:r>
            <w:r>
              <w:rPr>
                <w:rFonts w:hAnsi="標楷體" w:hint="eastAsia"/>
                <w:color w:val="000000"/>
                <w:sz w:val="22"/>
                <w:szCs w:val="28"/>
              </w:rPr>
              <w:t>)</w:t>
            </w:r>
          </w:p>
        </w:tc>
        <w:tc>
          <w:tcPr>
            <w:tcW w:w="1375"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客運量</w:t>
            </w:r>
            <w:r>
              <w:rPr>
                <w:rFonts w:hAnsi="標楷體" w:hint="eastAsia"/>
                <w:color w:val="000000"/>
                <w:sz w:val="22"/>
                <w:szCs w:val="28"/>
              </w:rPr>
              <w:t>(</w:t>
            </w:r>
            <w:r>
              <w:rPr>
                <w:rFonts w:hAnsi="標楷體" w:hint="eastAsia"/>
                <w:color w:val="000000"/>
                <w:sz w:val="22"/>
                <w:szCs w:val="28"/>
              </w:rPr>
              <w:t>進站人次</w:t>
            </w:r>
            <w:r>
              <w:rPr>
                <w:rFonts w:hAnsi="標楷體" w:hint="eastAsia"/>
                <w:color w:val="000000"/>
                <w:sz w:val="22"/>
                <w:szCs w:val="28"/>
              </w:rPr>
              <w:t>/</w:t>
            </w:r>
            <w:r>
              <w:rPr>
                <w:rFonts w:hAnsi="標楷體" w:hint="eastAsia"/>
                <w:color w:val="000000"/>
                <w:sz w:val="22"/>
                <w:szCs w:val="28"/>
              </w:rPr>
              <w:t>年</w:t>
            </w:r>
            <w:r>
              <w:rPr>
                <w:rFonts w:hAnsi="標楷體" w:hint="eastAsia"/>
                <w:color w:val="000000"/>
                <w:sz w:val="22"/>
                <w:szCs w:val="28"/>
              </w:rPr>
              <w:t>)</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備註</w:t>
            </w:r>
          </w:p>
        </w:tc>
      </w:tr>
      <w:tr w:rsidR="00405D97" w:rsidTr="00405D97">
        <w:trPr>
          <w:trHeight w:val="20"/>
          <w:tblHeade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widowControl/>
              <w:spacing w:line="520" w:lineRule="exact"/>
              <w:rPr>
                <w:rFonts w:ascii="標楷體" w:eastAsia="標楷體" w:hAnsi="標楷體"/>
                <w:color w:val="000000"/>
                <w:sz w:val="22"/>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人事費</w:t>
            </w:r>
          </w:p>
        </w:tc>
        <w:tc>
          <w:tcPr>
            <w:tcW w:w="156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405D97" w:rsidRDefault="00405D97" w:rsidP="00405D97">
            <w:pPr>
              <w:spacing w:line="520" w:lineRule="exact"/>
              <w:jc w:val="center"/>
              <w:rPr>
                <w:rFonts w:hAnsi="標楷體" w:hint="eastAsia"/>
                <w:color w:val="000000"/>
                <w:sz w:val="22"/>
                <w:szCs w:val="28"/>
              </w:rPr>
            </w:pPr>
            <w:proofErr w:type="gramStart"/>
            <w:r>
              <w:rPr>
                <w:rFonts w:hAnsi="標楷體" w:hint="eastAsia"/>
                <w:color w:val="000000"/>
                <w:sz w:val="22"/>
                <w:szCs w:val="28"/>
              </w:rPr>
              <w:t>維管費</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業務費</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widowControl/>
              <w:spacing w:line="520" w:lineRule="exact"/>
              <w:rPr>
                <w:rFonts w:ascii="標楷體" w:eastAsia="標楷體" w:hAnsi="標楷體"/>
                <w:color w:val="000000"/>
                <w:sz w:val="22"/>
                <w:szCs w:val="28"/>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widowControl/>
              <w:spacing w:line="520" w:lineRule="exact"/>
              <w:rPr>
                <w:rFonts w:ascii="標楷體" w:eastAsia="標楷體" w:hAnsi="標楷體"/>
                <w:color w:val="000000"/>
                <w:sz w:val="22"/>
                <w:szCs w:val="28"/>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widowControl/>
              <w:spacing w:line="520" w:lineRule="exact"/>
              <w:rPr>
                <w:rFonts w:ascii="標楷體" w:eastAsia="標楷體" w:hAnsi="標楷體"/>
                <w:color w:val="000000"/>
                <w:sz w:val="22"/>
                <w:szCs w:val="28"/>
              </w:rPr>
            </w:pPr>
          </w:p>
        </w:tc>
      </w:tr>
      <w:tr w:rsidR="00405D97" w:rsidTr="00405D97">
        <w:trPr>
          <w:trHeight w:val="453"/>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平溪</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51,875,952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59,577,835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19,829,400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30,061,070</w:t>
            </w:r>
          </w:p>
        </w:tc>
        <w:tc>
          <w:tcPr>
            <w:tcW w:w="1375"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989,747</w:t>
            </w:r>
          </w:p>
        </w:tc>
        <w:tc>
          <w:tcPr>
            <w:tcW w:w="1744"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99-108</w:t>
            </w:r>
            <w:r>
              <w:rPr>
                <w:rFonts w:hAnsi="標楷體" w:hint="eastAsia"/>
                <w:color w:val="000000"/>
                <w:spacing w:val="-8"/>
                <w:sz w:val="22"/>
                <w:szCs w:val="26"/>
              </w:rPr>
              <w:t>年</w:t>
            </w:r>
          </w:p>
        </w:tc>
      </w:tr>
      <w:tr w:rsidR="00405D97" w:rsidTr="00405D97">
        <w:trPr>
          <w:trHeight w:val="45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深澳</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19,764,226</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10,181,859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6,553,961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5,811,294</w:t>
            </w:r>
          </w:p>
        </w:tc>
        <w:tc>
          <w:tcPr>
            <w:tcW w:w="1375"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344,927</w:t>
            </w:r>
          </w:p>
        </w:tc>
        <w:tc>
          <w:tcPr>
            <w:tcW w:w="1744"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103-108</w:t>
            </w:r>
            <w:r>
              <w:rPr>
                <w:rFonts w:hAnsi="標楷體" w:hint="eastAsia"/>
                <w:color w:val="000000"/>
                <w:spacing w:val="-8"/>
                <w:sz w:val="22"/>
                <w:szCs w:val="26"/>
              </w:rPr>
              <w:t>年</w:t>
            </w:r>
          </w:p>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(103</w:t>
            </w:r>
            <w:r>
              <w:rPr>
                <w:rFonts w:hAnsi="標楷體" w:hint="eastAsia"/>
                <w:color w:val="000000"/>
                <w:spacing w:val="-8"/>
                <w:sz w:val="22"/>
                <w:szCs w:val="26"/>
              </w:rPr>
              <w:t>年</w:t>
            </w:r>
            <w:r>
              <w:rPr>
                <w:rFonts w:hAnsi="標楷體" w:hint="eastAsia"/>
                <w:color w:val="000000"/>
                <w:spacing w:val="-8"/>
                <w:sz w:val="22"/>
                <w:szCs w:val="26"/>
              </w:rPr>
              <w:t>1</w:t>
            </w:r>
            <w:r>
              <w:rPr>
                <w:rFonts w:hAnsi="標楷體" w:hint="eastAsia"/>
                <w:color w:val="000000"/>
                <w:spacing w:val="-8"/>
                <w:sz w:val="22"/>
                <w:szCs w:val="26"/>
              </w:rPr>
              <w:t>月復駛</w:t>
            </w:r>
            <w:r>
              <w:rPr>
                <w:rFonts w:hAnsi="標楷體" w:hint="eastAsia"/>
                <w:color w:val="000000"/>
                <w:spacing w:val="-8"/>
                <w:sz w:val="22"/>
                <w:szCs w:val="26"/>
              </w:rPr>
              <w:t>)</w:t>
            </w:r>
          </w:p>
        </w:tc>
      </w:tr>
      <w:tr w:rsidR="00405D97" w:rsidTr="00405D97">
        <w:trPr>
          <w:trHeight w:val="45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內灣</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78,191,622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61,705,730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26,135,530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39,186,954</w:t>
            </w:r>
          </w:p>
        </w:tc>
        <w:tc>
          <w:tcPr>
            <w:tcW w:w="1375"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1,569,015</w:t>
            </w:r>
          </w:p>
        </w:tc>
        <w:tc>
          <w:tcPr>
            <w:tcW w:w="1744"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101-108</w:t>
            </w:r>
            <w:r>
              <w:rPr>
                <w:rFonts w:hAnsi="標楷體" w:hint="eastAsia"/>
                <w:color w:val="000000"/>
                <w:spacing w:val="-8"/>
                <w:sz w:val="22"/>
                <w:szCs w:val="26"/>
              </w:rPr>
              <w:t>年</w:t>
            </w:r>
          </w:p>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w:t>
            </w:r>
            <w:r>
              <w:rPr>
                <w:rFonts w:hAnsi="標楷體" w:hint="eastAsia"/>
                <w:color w:val="000000"/>
                <w:spacing w:val="-8"/>
                <w:sz w:val="22"/>
                <w:szCs w:val="26"/>
              </w:rPr>
              <w:t>配合六家線</w:t>
            </w:r>
            <w:r>
              <w:rPr>
                <w:rFonts w:hAnsi="標楷體" w:hint="eastAsia"/>
                <w:color w:val="000000"/>
                <w:spacing w:val="-8"/>
                <w:sz w:val="22"/>
                <w:szCs w:val="26"/>
              </w:rPr>
              <w:t>)</w:t>
            </w:r>
          </w:p>
        </w:tc>
      </w:tr>
      <w:tr w:rsidR="00405D97" w:rsidTr="00405D97">
        <w:trPr>
          <w:trHeight w:val="45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六家</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37,320,307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17,659,039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12,048,813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15,212,826</w:t>
            </w:r>
          </w:p>
        </w:tc>
        <w:tc>
          <w:tcPr>
            <w:tcW w:w="1375"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871,662</w:t>
            </w:r>
          </w:p>
        </w:tc>
        <w:tc>
          <w:tcPr>
            <w:tcW w:w="1744"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101-108</w:t>
            </w:r>
            <w:r>
              <w:rPr>
                <w:rFonts w:hAnsi="標楷體" w:hint="eastAsia"/>
                <w:color w:val="000000"/>
                <w:spacing w:val="-8"/>
                <w:sz w:val="22"/>
                <w:szCs w:val="26"/>
              </w:rPr>
              <w:t>年</w:t>
            </w:r>
          </w:p>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(100</w:t>
            </w:r>
            <w:r>
              <w:rPr>
                <w:rFonts w:hAnsi="標楷體" w:hint="eastAsia"/>
                <w:color w:val="000000"/>
                <w:spacing w:val="-8"/>
                <w:sz w:val="22"/>
                <w:szCs w:val="26"/>
              </w:rPr>
              <w:t>年</w:t>
            </w:r>
            <w:r>
              <w:rPr>
                <w:rFonts w:hAnsi="標楷體" w:hint="eastAsia"/>
                <w:color w:val="000000"/>
                <w:spacing w:val="-8"/>
                <w:sz w:val="22"/>
                <w:szCs w:val="26"/>
              </w:rPr>
              <w:t>11</w:t>
            </w:r>
            <w:r>
              <w:rPr>
                <w:rFonts w:hAnsi="標楷體" w:hint="eastAsia"/>
                <w:color w:val="000000"/>
                <w:spacing w:val="-8"/>
                <w:sz w:val="22"/>
                <w:szCs w:val="26"/>
              </w:rPr>
              <w:t>月啟用</w:t>
            </w:r>
            <w:r>
              <w:rPr>
                <w:rFonts w:hAnsi="標楷體" w:hint="eastAsia"/>
                <w:color w:val="000000"/>
                <w:spacing w:val="-8"/>
                <w:sz w:val="22"/>
                <w:szCs w:val="26"/>
              </w:rPr>
              <w:t>)</w:t>
            </w:r>
          </w:p>
        </w:tc>
      </w:tr>
      <w:tr w:rsidR="00405D97" w:rsidTr="00405D97">
        <w:trPr>
          <w:trHeight w:val="45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集集</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57,241,559</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65,873,600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21,738,647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16,105,696</w:t>
            </w:r>
          </w:p>
        </w:tc>
        <w:tc>
          <w:tcPr>
            <w:tcW w:w="1375"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552,297</w:t>
            </w:r>
          </w:p>
        </w:tc>
        <w:tc>
          <w:tcPr>
            <w:tcW w:w="1744"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99-108</w:t>
            </w:r>
            <w:r>
              <w:rPr>
                <w:rFonts w:hAnsi="標楷體" w:hint="eastAsia"/>
                <w:color w:val="000000"/>
                <w:spacing w:val="-8"/>
                <w:sz w:val="22"/>
                <w:szCs w:val="26"/>
              </w:rPr>
              <w:t>年</w:t>
            </w:r>
          </w:p>
        </w:tc>
      </w:tr>
      <w:tr w:rsidR="00405D97" w:rsidTr="00405D97">
        <w:trPr>
          <w:trHeight w:val="454"/>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8"/>
              </w:rPr>
            </w:pPr>
            <w:r>
              <w:rPr>
                <w:rFonts w:hAnsi="標楷體" w:hint="eastAsia"/>
                <w:color w:val="000000"/>
                <w:sz w:val="22"/>
                <w:szCs w:val="28"/>
              </w:rPr>
              <w:t>沙崙</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70,897,658</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30,797,699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24,133,081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26,447,371</w:t>
            </w:r>
          </w:p>
        </w:tc>
        <w:tc>
          <w:tcPr>
            <w:tcW w:w="1375" w:type="dxa"/>
            <w:tcBorders>
              <w:top w:val="single" w:sz="4" w:space="0" w:color="auto"/>
              <w:left w:val="single" w:sz="4" w:space="0" w:color="auto"/>
              <w:bottom w:val="single" w:sz="4" w:space="0" w:color="auto"/>
              <w:right w:val="single" w:sz="4" w:space="0" w:color="auto"/>
            </w:tcBorders>
            <w:noWrap/>
            <w:vAlign w:val="center"/>
            <w:hideMark/>
          </w:tcPr>
          <w:p w:rsidR="00405D97" w:rsidRDefault="00405D97" w:rsidP="00405D97">
            <w:pPr>
              <w:spacing w:line="520" w:lineRule="exact"/>
              <w:jc w:val="center"/>
              <w:rPr>
                <w:rFonts w:hAnsi="標楷體" w:hint="eastAsia"/>
                <w:color w:val="000000"/>
                <w:sz w:val="22"/>
                <w:szCs w:val="26"/>
              </w:rPr>
            </w:pPr>
            <w:r>
              <w:rPr>
                <w:rFonts w:hAnsi="標楷體" w:hint="eastAsia"/>
                <w:color w:val="000000"/>
                <w:sz w:val="22"/>
                <w:szCs w:val="26"/>
              </w:rPr>
              <w:t>1,133,046</w:t>
            </w:r>
          </w:p>
        </w:tc>
        <w:tc>
          <w:tcPr>
            <w:tcW w:w="1744" w:type="dxa"/>
            <w:tcBorders>
              <w:top w:val="single" w:sz="4" w:space="0" w:color="auto"/>
              <w:left w:val="single" w:sz="4" w:space="0" w:color="auto"/>
              <w:bottom w:val="single" w:sz="4" w:space="0" w:color="auto"/>
              <w:right w:val="single" w:sz="4" w:space="0" w:color="auto"/>
            </w:tcBorders>
            <w:vAlign w:val="center"/>
            <w:hideMark/>
          </w:tcPr>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100-108</w:t>
            </w:r>
            <w:r>
              <w:rPr>
                <w:rFonts w:hAnsi="標楷體" w:hint="eastAsia"/>
                <w:color w:val="000000"/>
                <w:spacing w:val="-8"/>
                <w:sz w:val="22"/>
                <w:szCs w:val="26"/>
              </w:rPr>
              <w:t>年</w:t>
            </w:r>
          </w:p>
          <w:p w:rsidR="00405D97" w:rsidRDefault="00405D97" w:rsidP="00405D97">
            <w:pPr>
              <w:spacing w:line="520" w:lineRule="exact"/>
              <w:jc w:val="center"/>
              <w:rPr>
                <w:rFonts w:hAnsi="標楷體" w:hint="eastAsia"/>
                <w:color w:val="000000"/>
                <w:spacing w:val="-8"/>
                <w:sz w:val="22"/>
                <w:szCs w:val="26"/>
              </w:rPr>
            </w:pPr>
            <w:r>
              <w:rPr>
                <w:rFonts w:hAnsi="標楷體" w:hint="eastAsia"/>
                <w:color w:val="000000"/>
                <w:spacing w:val="-8"/>
                <w:sz w:val="22"/>
                <w:szCs w:val="26"/>
              </w:rPr>
              <w:t>(100</w:t>
            </w:r>
            <w:r>
              <w:rPr>
                <w:rFonts w:hAnsi="標楷體" w:hint="eastAsia"/>
                <w:color w:val="000000"/>
                <w:spacing w:val="-8"/>
                <w:sz w:val="22"/>
                <w:szCs w:val="26"/>
              </w:rPr>
              <w:t>年</w:t>
            </w:r>
            <w:r>
              <w:rPr>
                <w:rFonts w:hAnsi="標楷體" w:hint="eastAsia"/>
                <w:color w:val="000000"/>
                <w:spacing w:val="-8"/>
                <w:sz w:val="22"/>
                <w:szCs w:val="26"/>
              </w:rPr>
              <w:t>1</w:t>
            </w:r>
            <w:r>
              <w:rPr>
                <w:rFonts w:hAnsi="標楷體" w:hint="eastAsia"/>
                <w:color w:val="000000"/>
                <w:spacing w:val="-8"/>
                <w:sz w:val="22"/>
                <w:szCs w:val="26"/>
              </w:rPr>
              <w:t>月啟用</w:t>
            </w:r>
            <w:r>
              <w:rPr>
                <w:rFonts w:hAnsi="標楷體" w:hint="eastAsia"/>
                <w:color w:val="000000"/>
                <w:spacing w:val="-8"/>
                <w:sz w:val="22"/>
                <w:szCs w:val="26"/>
              </w:rPr>
              <w:t>)</w:t>
            </w:r>
          </w:p>
        </w:tc>
      </w:tr>
    </w:tbl>
    <w:p w:rsidR="00405D97" w:rsidRDefault="00405D97" w:rsidP="00405D97">
      <w:pPr>
        <w:pStyle w:val="4"/>
        <w:numPr>
          <w:ilvl w:val="0"/>
          <w:numId w:val="0"/>
        </w:numPr>
        <w:spacing w:line="520" w:lineRule="exact"/>
        <w:ind w:leftChars="-108" w:left="67" w:hangingChars="136" w:hanging="326"/>
        <w:rPr>
          <w:rFonts w:hAnsi="標楷體" w:hint="eastAsia"/>
          <w:color w:val="000000"/>
          <w:sz w:val="28"/>
        </w:rPr>
      </w:pPr>
      <w:r>
        <w:rPr>
          <w:rFonts w:hAnsi="標楷體" w:hint="eastAsia"/>
          <w:color w:val="000000"/>
          <w:sz w:val="24"/>
        </w:rPr>
        <w:t>資料來源：</w:t>
      </w:r>
      <w:proofErr w:type="gramStart"/>
      <w:r>
        <w:rPr>
          <w:rFonts w:hAnsi="標楷體" w:hint="eastAsia"/>
          <w:color w:val="000000"/>
          <w:sz w:val="24"/>
        </w:rPr>
        <w:t>臺</w:t>
      </w:r>
      <w:proofErr w:type="gramEnd"/>
      <w:r>
        <w:rPr>
          <w:rFonts w:hAnsi="標楷體" w:hint="eastAsia"/>
          <w:color w:val="000000"/>
          <w:sz w:val="24"/>
        </w:rPr>
        <w:t>鐵局</w:t>
      </w:r>
    </w:p>
    <w:p w:rsidR="00405D97" w:rsidRDefault="00405D97" w:rsidP="00405D97">
      <w:pPr>
        <w:spacing w:line="520" w:lineRule="exact"/>
        <w:jc w:val="center"/>
        <w:rPr>
          <w:rFonts w:hAnsi="標楷體" w:hint="eastAsia"/>
          <w:color w:val="000000"/>
          <w:sz w:val="32"/>
        </w:rPr>
      </w:pPr>
      <w:r>
        <w:rPr>
          <w:rFonts w:hAnsi="標楷體"/>
          <w:noProof/>
          <w:color w:val="000000"/>
          <w:bdr w:val="single" w:sz="4" w:space="0" w:color="auto" w:frame="1"/>
        </w:rPr>
        <w:drawing>
          <wp:inline distT="0" distB="0" distL="0" distR="0">
            <wp:extent cx="5149850" cy="320421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9850" cy="3204210"/>
                    </a:xfrm>
                    <a:prstGeom prst="rect">
                      <a:avLst/>
                    </a:prstGeom>
                    <a:noFill/>
                    <a:ln>
                      <a:noFill/>
                    </a:ln>
                  </pic:spPr>
                </pic:pic>
              </a:graphicData>
            </a:graphic>
          </wp:inline>
        </w:drawing>
      </w:r>
    </w:p>
    <w:p w:rsidR="00405D97" w:rsidRDefault="00405D97" w:rsidP="00405D97">
      <w:pPr>
        <w:spacing w:line="520" w:lineRule="exact"/>
        <w:jc w:val="center"/>
        <w:rPr>
          <w:rFonts w:hAnsi="標楷體" w:hint="eastAsia"/>
          <w:color w:val="000000"/>
        </w:rPr>
      </w:pPr>
      <w:proofErr w:type="gramStart"/>
      <w:r>
        <w:rPr>
          <w:rFonts w:hAnsi="標楷體" w:hint="eastAsia"/>
          <w:color w:val="000000"/>
          <w:sz w:val="22"/>
        </w:rPr>
        <w:t>註</w:t>
      </w:r>
      <w:proofErr w:type="gramEnd"/>
      <w:r>
        <w:rPr>
          <w:rFonts w:hAnsi="標楷體" w:hint="eastAsia"/>
          <w:color w:val="000000"/>
          <w:sz w:val="22"/>
        </w:rPr>
        <w:t>:</w:t>
      </w:r>
      <w:r>
        <w:rPr>
          <w:rFonts w:hAnsi="標楷體" w:hint="eastAsia"/>
          <w:color w:val="000000"/>
          <w:sz w:val="22"/>
        </w:rPr>
        <w:t>內灣線、沙崙線、深澳線分別於</w:t>
      </w:r>
      <w:r>
        <w:rPr>
          <w:rFonts w:hAnsi="標楷體" w:hint="eastAsia"/>
          <w:color w:val="000000"/>
          <w:sz w:val="22"/>
        </w:rPr>
        <w:t>100</w:t>
      </w:r>
      <w:r>
        <w:rPr>
          <w:rFonts w:hAnsi="標楷體" w:hint="eastAsia"/>
          <w:color w:val="000000"/>
          <w:sz w:val="22"/>
        </w:rPr>
        <w:t>年</w:t>
      </w:r>
      <w:r>
        <w:rPr>
          <w:rFonts w:hAnsi="標楷體" w:hint="eastAsia"/>
          <w:color w:val="000000"/>
          <w:sz w:val="22"/>
        </w:rPr>
        <w:t>1</w:t>
      </w:r>
      <w:r>
        <w:rPr>
          <w:rFonts w:hAnsi="標楷體" w:hint="eastAsia"/>
          <w:color w:val="000000"/>
          <w:sz w:val="22"/>
        </w:rPr>
        <w:t>月、</w:t>
      </w:r>
      <w:r>
        <w:rPr>
          <w:rFonts w:hAnsi="標楷體" w:hint="eastAsia"/>
          <w:color w:val="000000"/>
          <w:sz w:val="22"/>
        </w:rPr>
        <w:t>100</w:t>
      </w:r>
      <w:r>
        <w:rPr>
          <w:rFonts w:hAnsi="標楷體" w:hint="eastAsia"/>
          <w:color w:val="000000"/>
          <w:sz w:val="22"/>
        </w:rPr>
        <w:t>年</w:t>
      </w:r>
      <w:r>
        <w:rPr>
          <w:rFonts w:hAnsi="標楷體" w:hint="eastAsia"/>
          <w:color w:val="000000"/>
          <w:sz w:val="22"/>
        </w:rPr>
        <w:t>11</w:t>
      </w:r>
      <w:r>
        <w:rPr>
          <w:rFonts w:hAnsi="標楷體" w:hint="eastAsia"/>
          <w:color w:val="000000"/>
          <w:sz w:val="22"/>
        </w:rPr>
        <w:t>月及</w:t>
      </w:r>
      <w:r>
        <w:rPr>
          <w:rFonts w:hAnsi="標楷體" w:hint="eastAsia"/>
          <w:color w:val="000000"/>
          <w:sz w:val="22"/>
        </w:rPr>
        <w:t>103</w:t>
      </w:r>
      <w:r>
        <w:rPr>
          <w:rFonts w:hAnsi="標楷體" w:hint="eastAsia"/>
          <w:color w:val="000000"/>
          <w:sz w:val="22"/>
        </w:rPr>
        <w:t>年</w:t>
      </w:r>
      <w:r>
        <w:rPr>
          <w:rFonts w:hAnsi="標楷體" w:hint="eastAsia"/>
          <w:color w:val="000000"/>
          <w:sz w:val="22"/>
        </w:rPr>
        <w:t>1</w:t>
      </w:r>
      <w:r>
        <w:rPr>
          <w:rFonts w:hAnsi="標楷體" w:hint="eastAsia"/>
          <w:color w:val="000000"/>
          <w:sz w:val="22"/>
        </w:rPr>
        <w:t>月開通營運</w:t>
      </w:r>
    </w:p>
    <w:p w:rsidR="00405D97" w:rsidRDefault="00405D97" w:rsidP="00405D97">
      <w:pPr>
        <w:pStyle w:val="a"/>
        <w:spacing w:before="0" w:after="120" w:line="520" w:lineRule="exact"/>
        <w:ind w:left="482" w:hanging="482"/>
        <w:rPr>
          <w:rFonts w:hAnsi="標楷體" w:hint="eastAsia"/>
          <w:color w:val="000000"/>
        </w:rPr>
      </w:pPr>
      <w:bookmarkStart w:id="12" w:name="_Toc44678643"/>
      <w:proofErr w:type="gramStart"/>
      <w:r>
        <w:rPr>
          <w:rFonts w:hAnsi="標楷體" w:hint="eastAsia"/>
          <w:b/>
          <w:color w:val="000000"/>
        </w:rPr>
        <w:t>臺</w:t>
      </w:r>
      <w:proofErr w:type="gramEnd"/>
      <w:r>
        <w:rPr>
          <w:rFonts w:hAnsi="標楷體" w:hint="eastAsia"/>
          <w:b/>
          <w:color w:val="000000"/>
        </w:rPr>
        <w:t>鐵支線近10年營運收入及運量示意圖</w:t>
      </w:r>
      <w:bookmarkEnd w:id="12"/>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不同於幹線之中長程運輸服務的功能，支線僅係提供沿線居民通勤及運輸接駁的服務，為帶動國內旅遊風氣及提升支線運能，近年各縣市政府多積極推展地方觀光活動，加上國際觀光行銷，確實提升集集、平溪及內灣線之旅運人次於103年至104年間達到最高峰，惟因平溪天燈環保議題，加上各支線觀光景點並無新增亮點，以致該3支線近年旅運人次逐漸下滑。另外，為發展內灣支線各站特色景點，新竹縣政府向交通部觀光局申請補助1億6千多萬</w:t>
      </w:r>
      <w:r>
        <w:rPr>
          <w:rFonts w:hAnsi="標楷體" w:hint="eastAsia"/>
          <w:color w:val="000000"/>
        </w:rPr>
        <w:lastRenderedPageBreak/>
        <w:t>元，於99年至104年間改善內灣線的內灣車站、竹東車站及合興車站，計畫期間與旅行業者合作行銷，配合當地文化歷史、不定期辦理活動，帶動當地觀光。至集集線觀光發展部分，則因交通部觀光局於100、109年進行日月潭國家風景區範圍調整後，涵蓋集集支線，故該局即就集集遊憩區、水里遊憩區、車埕遊憩區投入經費1億4千多萬元，執行觀光發展工作，估計間接觀光效益每年達17億元。是</w:t>
      </w:r>
      <w:proofErr w:type="gramStart"/>
      <w:r>
        <w:rPr>
          <w:rFonts w:hAnsi="標楷體" w:hint="eastAsia"/>
          <w:color w:val="000000"/>
        </w:rPr>
        <w:t>以</w:t>
      </w:r>
      <w:proofErr w:type="gramEnd"/>
      <w:r>
        <w:rPr>
          <w:rFonts w:hAnsi="標楷體" w:hint="eastAsia"/>
          <w:color w:val="000000"/>
        </w:rPr>
        <w:t>，</w:t>
      </w:r>
      <w:proofErr w:type="gramStart"/>
      <w:r>
        <w:rPr>
          <w:rFonts w:hAnsi="標楷體" w:hint="eastAsia"/>
          <w:color w:val="000000"/>
        </w:rPr>
        <w:t>臺鐵局</w:t>
      </w:r>
      <w:proofErr w:type="gramEnd"/>
      <w:r>
        <w:rPr>
          <w:rFonts w:hAnsi="標楷體" w:hint="eastAsia"/>
          <w:color w:val="000000"/>
        </w:rPr>
        <w:t>雖稱平溪線、內灣線及集集線等三支線已轉型為觀光支線</w:t>
      </w:r>
      <w:r>
        <w:rPr>
          <w:rFonts w:hAnsi="標楷體" w:hint="eastAsia"/>
          <w:b/>
          <w:color w:val="000000"/>
        </w:rPr>
        <w:t>，</w:t>
      </w:r>
      <w:r>
        <w:rPr>
          <w:rFonts w:hAnsi="標楷體" w:hint="eastAsia"/>
          <w:color w:val="000000"/>
        </w:rPr>
        <w:t>惟由上開鐵道觀光發展情形來看，該局顯然仍以傳統運輸服務為主，尚未將鐵道觀光旅遊思維導入營運策略，並與地方共同合作、有效整合鐵路沿線資源及型塑鐵道觀光意象，為落實鐵道支線觀光發展，</w:t>
      </w:r>
      <w:proofErr w:type="gramStart"/>
      <w:r>
        <w:rPr>
          <w:rFonts w:hAnsi="標楷體" w:hint="eastAsia"/>
          <w:color w:val="000000"/>
        </w:rPr>
        <w:t>臺鐵局實</w:t>
      </w:r>
      <w:proofErr w:type="gramEnd"/>
      <w:r>
        <w:rPr>
          <w:rFonts w:hAnsi="標楷體" w:hint="eastAsia"/>
          <w:color w:val="000000"/>
        </w:rPr>
        <w:t>應加強與地方、中央部會合作，共同創造鐵道觀光價值及地方共榮發展。</w:t>
      </w:r>
    </w:p>
    <w:p w:rsidR="00405D97" w:rsidRDefault="00405D97" w:rsidP="00405D97">
      <w:pPr>
        <w:pStyle w:val="3"/>
        <w:numPr>
          <w:ilvl w:val="2"/>
          <w:numId w:val="2"/>
        </w:numPr>
        <w:spacing w:line="520" w:lineRule="exact"/>
        <w:rPr>
          <w:rFonts w:hAnsi="標楷體" w:hint="eastAsia"/>
          <w:color w:val="000000"/>
        </w:rPr>
      </w:pPr>
      <w:proofErr w:type="gramStart"/>
      <w:r>
        <w:rPr>
          <w:rFonts w:hAnsi="標楷體" w:hint="eastAsia"/>
          <w:color w:val="000000"/>
        </w:rPr>
        <w:t>此外，</w:t>
      </w:r>
      <w:proofErr w:type="gramEnd"/>
      <w:r>
        <w:rPr>
          <w:rFonts w:hAnsi="標楷體" w:hint="eastAsia"/>
          <w:color w:val="000000"/>
        </w:rPr>
        <w:t>交通部觀光局、</w:t>
      </w:r>
      <w:proofErr w:type="gramStart"/>
      <w:r>
        <w:rPr>
          <w:rFonts w:hAnsi="標楷體" w:hint="eastAsia"/>
          <w:color w:val="000000"/>
        </w:rPr>
        <w:t>臺鐵局</w:t>
      </w:r>
      <w:proofErr w:type="gramEnd"/>
      <w:r>
        <w:rPr>
          <w:rFonts w:hAnsi="標楷體" w:hint="eastAsia"/>
          <w:color w:val="000000"/>
        </w:rPr>
        <w:t>、高鐵公司三方合作前於108年推出為期1年行駛於集集線的「國立集集美術館」彩繪列車(石虎香蕉列車)、「</w:t>
      </w:r>
      <w:proofErr w:type="gramStart"/>
      <w:r>
        <w:rPr>
          <w:rFonts w:hAnsi="標楷體" w:hint="eastAsia"/>
          <w:color w:val="000000"/>
        </w:rPr>
        <w:t>搭雙鐵</w:t>
      </w:r>
      <w:proofErr w:type="gramEnd"/>
      <w:r>
        <w:rPr>
          <w:rFonts w:hAnsi="標楷體" w:hint="eastAsia"/>
          <w:color w:val="000000"/>
        </w:rPr>
        <w:t>，遊集集」套裝遊程等旅遊推廣措施、在地產業、藝術文化三種元素設計，彩繪列車以黃色車身、黃色車廂、白色座椅，象徵集集特產的香蕉，細看還有</w:t>
      </w:r>
      <w:proofErr w:type="gramStart"/>
      <w:r>
        <w:rPr>
          <w:rFonts w:hAnsi="標楷體" w:hint="eastAsia"/>
          <w:color w:val="000000"/>
        </w:rPr>
        <w:t>香蕉籽的黑點</w:t>
      </w:r>
      <w:proofErr w:type="gramEnd"/>
      <w:r>
        <w:rPr>
          <w:rFonts w:hAnsi="標楷體" w:hint="eastAsia"/>
          <w:color w:val="000000"/>
        </w:rPr>
        <w:t>，在車廂頂部並陳列集集線的發展歷史，可謂相當受到民眾肯定，惟因列車班次較少，僅於每週</w:t>
      </w:r>
      <w:proofErr w:type="gramStart"/>
      <w:r>
        <w:rPr>
          <w:rFonts w:hAnsi="標楷體" w:hint="eastAsia"/>
          <w:color w:val="000000"/>
        </w:rPr>
        <w:t>三</w:t>
      </w:r>
      <w:proofErr w:type="gramEnd"/>
      <w:r>
        <w:rPr>
          <w:rFonts w:hAnsi="標楷體" w:hint="eastAsia"/>
          <w:color w:val="000000"/>
        </w:rPr>
        <w:t>固定行駛5班次運行。持平而論，彩繪列車與行駛縱貫線的「環島之星」相比，車廂設計雖然相</w:t>
      </w:r>
      <w:r>
        <w:rPr>
          <w:rFonts w:hAnsi="標楷體" w:hint="eastAsia"/>
          <w:color w:val="000000"/>
        </w:rPr>
        <w:lastRenderedPageBreak/>
        <w:t>對陽春，仍吸引民眾注意與讚賞，且交通部觀光局、</w:t>
      </w:r>
      <w:proofErr w:type="gramStart"/>
      <w:r>
        <w:rPr>
          <w:rFonts w:hAnsi="標楷體" w:hint="eastAsia"/>
          <w:color w:val="000000"/>
        </w:rPr>
        <w:t>臺鐵局</w:t>
      </w:r>
      <w:proofErr w:type="gramEnd"/>
      <w:r>
        <w:rPr>
          <w:rFonts w:hAnsi="標楷體" w:hint="eastAsia"/>
          <w:color w:val="000000"/>
        </w:rPr>
        <w:t>及高鐵公司主動推出彩繪列車及支線觀光旅遊行程，</w:t>
      </w:r>
      <w:proofErr w:type="gramStart"/>
      <w:r>
        <w:rPr>
          <w:rFonts w:hAnsi="標楷體" w:hint="eastAsia"/>
          <w:color w:val="000000"/>
        </w:rPr>
        <w:t>已見跨單位</w:t>
      </w:r>
      <w:proofErr w:type="gramEnd"/>
      <w:r>
        <w:rPr>
          <w:rFonts w:hAnsi="標楷體" w:hint="eastAsia"/>
          <w:color w:val="000000"/>
        </w:rPr>
        <w:t>合作規劃的雛形，未來透過合作發展的模式，共同創造鐵道觀光效益與價值，應指日可待。</w:t>
      </w:r>
    </w:p>
    <w:p w:rsidR="00405D97" w:rsidRDefault="00405D97" w:rsidP="00405D97">
      <w:pPr>
        <w:pStyle w:val="3"/>
        <w:numPr>
          <w:ilvl w:val="2"/>
          <w:numId w:val="2"/>
        </w:numPr>
        <w:spacing w:line="520" w:lineRule="exact"/>
        <w:rPr>
          <w:rFonts w:hAnsi="標楷體" w:hint="eastAsia"/>
          <w:color w:val="000000"/>
        </w:rPr>
      </w:pPr>
      <w:r>
        <w:rPr>
          <w:rFonts w:hAnsi="標楷體" w:hint="eastAsia"/>
          <w:color w:val="000000"/>
        </w:rPr>
        <w:tab/>
        <w:t>綜上，因應時代變遷，</w:t>
      </w:r>
      <w:proofErr w:type="gramStart"/>
      <w:r>
        <w:rPr>
          <w:rFonts w:hAnsi="標楷體" w:hint="eastAsia"/>
          <w:color w:val="000000"/>
        </w:rPr>
        <w:t>臺</w:t>
      </w:r>
      <w:proofErr w:type="gramEnd"/>
      <w:r>
        <w:rPr>
          <w:rFonts w:hAnsi="標楷體" w:hint="eastAsia"/>
          <w:color w:val="000000"/>
        </w:rPr>
        <w:t>鐵營運中客運支線僅存6條路線，提供沿線居民通勤服務及</w:t>
      </w:r>
      <w:proofErr w:type="gramStart"/>
      <w:r>
        <w:rPr>
          <w:rFonts w:hAnsi="標楷體" w:hint="eastAsia"/>
          <w:color w:val="000000"/>
        </w:rPr>
        <w:t>轉乘接駁</w:t>
      </w:r>
      <w:proofErr w:type="gramEnd"/>
      <w:r>
        <w:rPr>
          <w:rFonts w:hAnsi="標楷體" w:hint="eastAsia"/>
          <w:color w:val="000000"/>
        </w:rPr>
        <w:t>，部分路線雖已轉型為觀光支線，惟營運策略顯然仍以運輸服務為主，鐵道觀光旅遊思維不足，無法型塑鐵道觀光意象，為落實發展鐵道觀光</w:t>
      </w:r>
      <w:r>
        <w:rPr>
          <w:rFonts w:hAnsi="標楷體" w:hint="eastAsia"/>
        </w:rPr>
        <w:t>，</w:t>
      </w:r>
      <w:proofErr w:type="gramStart"/>
      <w:r>
        <w:rPr>
          <w:rFonts w:hAnsi="標楷體" w:hint="eastAsia"/>
        </w:rPr>
        <w:t>臺鐵局</w:t>
      </w:r>
      <w:proofErr w:type="gramEnd"/>
      <w:r>
        <w:rPr>
          <w:rFonts w:hAnsi="標楷體" w:hint="eastAsia"/>
          <w:color w:val="000000"/>
        </w:rPr>
        <w:t>允應有效整合鐵路沿線資源及加強與地方、中央相關部會合作，共同推動</w:t>
      </w:r>
      <w:r>
        <w:rPr>
          <w:rFonts w:hAnsi="標楷體" w:hint="eastAsia"/>
        </w:rPr>
        <w:t>觀光、運輸與地方互利共榮之發展</w:t>
      </w:r>
      <w:r>
        <w:rPr>
          <w:rFonts w:hAnsi="標楷體" w:hint="eastAsia"/>
          <w:color w:val="000000"/>
        </w:rPr>
        <w:t>。</w:t>
      </w:r>
    </w:p>
    <w:p w:rsidR="00405D97" w:rsidRDefault="00405D97" w:rsidP="00405D97">
      <w:pPr>
        <w:pStyle w:val="2"/>
        <w:numPr>
          <w:ilvl w:val="1"/>
          <w:numId w:val="2"/>
        </w:numPr>
        <w:spacing w:line="520" w:lineRule="exact"/>
        <w:rPr>
          <w:rFonts w:hAnsi="標楷體" w:hint="eastAsia"/>
          <w:b/>
          <w:color w:val="000000"/>
        </w:rPr>
      </w:pPr>
      <w:bookmarkStart w:id="13" w:name="_Toc44678569"/>
      <w:proofErr w:type="gramStart"/>
      <w:r>
        <w:rPr>
          <w:rFonts w:hAnsi="標楷體" w:hint="eastAsia"/>
          <w:b/>
          <w:color w:val="000000"/>
        </w:rPr>
        <w:t>臺鐵局已廢線</w:t>
      </w:r>
      <w:proofErr w:type="gramEnd"/>
      <w:r>
        <w:rPr>
          <w:rFonts w:hAnsi="標楷體" w:hint="eastAsia"/>
          <w:b/>
          <w:color w:val="000000"/>
        </w:rPr>
        <w:t>停駛之鐵道共為23處，大部分路基已改建為捷運線、道路、自行車專用道等用途，</w:t>
      </w:r>
      <w:proofErr w:type="gramStart"/>
      <w:r>
        <w:rPr>
          <w:rFonts w:hAnsi="標楷體" w:hint="eastAsia"/>
          <w:b/>
          <w:color w:val="000000"/>
        </w:rPr>
        <w:t>舊深澳</w:t>
      </w:r>
      <w:proofErr w:type="gramEnd"/>
      <w:r>
        <w:rPr>
          <w:rFonts w:hAnsi="標楷體" w:hint="eastAsia"/>
          <w:b/>
          <w:color w:val="000000"/>
        </w:rPr>
        <w:t>線八斗子站及苗栗舊山線兩廢棄鐵道已由地方政府租用，並規劃為軌道自行車(Rail Bike)，帶動周邊旅遊觀光產業發展，已見初步活化創新成果，至部分靜態保存之舊鐵道，亦可思考規劃活化發展策略，</w:t>
      </w:r>
      <w:proofErr w:type="gramStart"/>
      <w:r>
        <w:rPr>
          <w:rFonts w:hAnsi="標楷體" w:hint="eastAsia"/>
          <w:b/>
          <w:color w:val="000000"/>
        </w:rPr>
        <w:t>創造廢線鐵道</w:t>
      </w:r>
      <w:proofErr w:type="gramEnd"/>
      <w:r>
        <w:rPr>
          <w:rFonts w:hAnsi="標楷體" w:hint="eastAsia"/>
          <w:b/>
          <w:color w:val="000000"/>
        </w:rPr>
        <w:t>之再生效益：</w:t>
      </w:r>
      <w:bookmarkEnd w:id="13"/>
    </w:p>
    <w:p w:rsidR="00405D97" w:rsidRDefault="00405D97" w:rsidP="00405D97">
      <w:pPr>
        <w:pStyle w:val="3"/>
        <w:numPr>
          <w:ilvl w:val="2"/>
          <w:numId w:val="2"/>
        </w:numPr>
        <w:spacing w:line="520" w:lineRule="exact"/>
        <w:rPr>
          <w:rFonts w:hAnsi="標楷體" w:hint="eastAsia"/>
        </w:rPr>
      </w:pPr>
      <w:r>
        <w:rPr>
          <w:rFonts w:hAnsi="標楷體" w:hint="eastAsia"/>
        </w:rPr>
        <w:t>查</w:t>
      </w:r>
      <w:proofErr w:type="gramStart"/>
      <w:r>
        <w:rPr>
          <w:rFonts w:hAnsi="標楷體" w:hint="eastAsia"/>
        </w:rPr>
        <w:t>臺鐵舊鐵道廢線</w:t>
      </w:r>
      <w:proofErr w:type="gramEnd"/>
      <w:r>
        <w:rPr>
          <w:rFonts w:hAnsi="標楷體" w:hint="eastAsia"/>
        </w:rPr>
        <w:t>共為23處，</w:t>
      </w:r>
      <w:proofErr w:type="gramStart"/>
      <w:r>
        <w:rPr>
          <w:rFonts w:hAnsi="標楷體" w:hint="eastAsia"/>
        </w:rPr>
        <w:t>廢線停駛後</w:t>
      </w:r>
      <w:proofErr w:type="gramEnd"/>
      <w:r>
        <w:rPr>
          <w:rFonts w:hAnsi="標楷體" w:hint="eastAsia"/>
        </w:rPr>
        <w:t>大多改建為其他系統之用，例如興建捷運、輕軌、自行車廊道或公路等使用。其現況用途</w:t>
      </w:r>
      <w:proofErr w:type="gramStart"/>
      <w:r>
        <w:rPr>
          <w:rFonts w:hAnsi="標楷體" w:hint="eastAsia"/>
        </w:rPr>
        <w:t>詳</w:t>
      </w:r>
      <w:proofErr w:type="gramEnd"/>
      <w:r>
        <w:rPr>
          <w:rFonts w:hAnsi="標楷體" w:hint="eastAsia"/>
        </w:rPr>
        <w:t>如下表：</w:t>
      </w:r>
    </w:p>
    <w:tbl>
      <w:tblPr>
        <w:tblW w:w="7938" w:type="dxa"/>
        <w:tblInd w:w="983" w:type="dxa"/>
        <w:tblCellMar>
          <w:left w:w="0" w:type="dxa"/>
          <w:right w:w="0" w:type="dxa"/>
        </w:tblCellMar>
        <w:tblLook w:val="04A0" w:firstRow="1" w:lastRow="0" w:firstColumn="1" w:lastColumn="0" w:noHBand="0" w:noVBand="1"/>
      </w:tblPr>
      <w:tblGrid>
        <w:gridCol w:w="1842"/>
        <w:gridCol w:w="5103"/>
        <w:gridCol w:w="993"/>
      </w:tblGrid>
      <w:tr w:rsidR="00405D97" w:rsidTr="00405D97">
        <w:trPr>
          <w:trHeight w:val="728"/>
        </w:trPr>
        <w:tc>
          <w:tcPr>
            <w:tcW w:w="1842" w:type="dxa"/>
            <w:tcBorders>
              <w:top w:val="single" w:sz="8" w:space="0" w:color="000000"/>
              <w:left w:val="single" w:sz="8" w:space="0" w:color="000000"/>
              <w:bottom w:val="single" w:sz="8" w:space="0" w:color="000000"/>
              <w:right w:val="single" w:sz="8" w:space="0" w:color="000000"/>
            </w:tcBorders>
            <w:shd w:val="clear" w:color="auto" w:fill="E2F0D9"/>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現況用途</w:t>
            </w:r>
            <w:r>
              <w:rPr>
                <w:rFonts w:hAnsi="標楷體" w:hint="eastAsia"/>
                <w:b/>
                <w:bCs/>
                <w:color w:val="000000"/>
                <w:sz w:val="28"/>
                <w:szCs w:val="28"/>
              </w:rPr>
              <w:t>/</w:t>
            </w:r>
          </w:p>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活化創新</w:t>
            </w:r>
          </w:p>
        </w:tc>
        <w:tc>
          <w:tcPr>
            <w:tcW w:w="5103" w:type="dxa"/>
            <w:tcBorders>
              <w:top w:val="single" w:sz="8" w:space="0" w:color="000000"/>
              <w:left w:val="single" w:sz="8" w:space="0" w:color="000000"/>
              <w:bottom w:val="single" w:sz="8" w:space="0" w:color="000000"/>
              <w:right w:val="single" w:sz="8" w:space="0" w:color="000000"/>
            </w:tcBorders>
            <w:shd w:val="clear" w:color="auto" w:fill="E2F0D9"/>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路線名稱</w:t>
            </w:r>
          </w:p>
        </w:tc>
        <w:tc>
          <w:tcPr>
            <w:tcW w:w="993" w:type="dxa"/>
            <w:tcBorders>
              <w:top w:val="single" w:sz="8" w:space="0" w:color="000000"/>
              <w:left w:val="single" w:sz="8" w:space="0" w:color="000000"/>
              <w:bottom w:val="single" w:sz="8" w:space="0" w:color="000000"/>
              <w:right w:val="single" w:sz="8" w:space="0" w:color="000000"/>
            </w:tcBorders>
            <w:shd w:val="clear" w:color="auto" w:fill="E2F0D9"/>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小計</w:t>
            </w:r>
          </w:p>
        </w:tc>
      </w:tr>
      <w:tr w:rsidR="00405D97" w:rsidTr="00405D97">
        <w:trPr>
          <w:trHeight w:val="681"/>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b/>
                <w:bCs/>
                <w:color w:val="000000"/>
                <w:sz w:val="28"/>
                <w:szCs w:val="28"/>
              </w:rPr>
              <w:t>捷運系統</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color w:val="000000"/>
                <w:sz w:val="28"/>
                <w:szCs w:val="28"/>
              </w:rPr>
              <w:t>淡水線、新北投支線、中和線、東港線</w:t>
            </w:r>
            <w:r>
              <w:rPr>
                <w:rFonts w:hAnsi="標楷體" w:hint="eastAsia"/>
                <w:color w:val="000000"/>
                <w:sz w:val="28"/>
                <w:szCs w:val="28"/>
              </w:rPr>
              <w:t>(</w:t>
            </w:r>
            <w:r>
              <w:rPr>
                <w:rFonts w:hAnsi="標楷體" w:hint="eastAsia"/>
                <w:color w:val="000000"/>
                <w:sz w:val="28"/>
                <w:szCs w:val="28"/>
              </w:rPr>
              <w:t>規劃暫緩中</w:t>
            </w:r>
            <w:r>
              <w:rPr>
                <w:rFonts w:hAnsi="標楷體" w:hint="eastAsia"/>
                <w:color w:val="000000"/>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4</w:t>
            </w:r>
          </w:p>
        </w:tc>
      </w:tr>
      <w:tr w:rsidR="00405D97" w:rsidTr="00405D97">
        <w:trPr>
          <w:trHeight w:val="78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b/>
                <w:bCs/>
                <w:color w:val="000000"/>
                <w:sz w:val="28"/>
                <w:szCs w:val="28"/>
              </w:rPr>
              <w:lastRenderedPageBreak/>
              <w:t>輕軌系統</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color w:val="000000"/>
                <w:sz w:val="28"/>
                <w:szCs w:val="28"/>
              </w:rPr>
              <w:t>高雄臨港線</w:t>
            </w:r>
            <w:r>
              <w:rPr>
                <w:rFonts w:hAnsi="標楷體" w:hint="eastAsia"/>
                <w:color w:val="000000"/>
                <w:sz w:val="28"/>
                <w:szCs w:val="28"/>
              </w:rPr>
              <w:t>(</w:t>
            </w:r>
            <w:r>
              <w:rPr>
                <w:rFonts w:hAnsi="標楷體" w:hint="eastAsia"/>
                <w:color w:val="000000"/>
                <w:sz w:val="28"/>
                <w:szCs w:val="28"/>
              </w:rPr>
              <w:t>部分為自行車廊道</w:t>
            </w:r>
            <w:r>
              <w:rPr>
                <w:rFonts w:hAnsi="標楷體" w:hint="eastAsia"/>
                <w:color w:val="000000"/>
                <w:sz w:val="28"/>
                <w:szCs w:val="28"/>
              </w:rPr>
              <w:t>)</w:t>
            </w:r>
            <w:r>
              <w:rPr>
                <w:rFonts w:hAnsi="標楷體" w:hint="eastAsia"/>
                <w:color w:val="000000"/>
                <w:sz w:val="28"/>
                <w:szCs w:val="28"/>
              </w:rPr>
              <w:t>、基隆臨港線</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2</w:t>
            </w:r>
          </w:p>
        </w:tc>
      </w:tr>
      <w:tr w:rsidR="00405D97" w:rsidTr="00405D97">
        <w:trPr>
          <w:trHeight w:val="426"/>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b/>
                <w:bCs/>
                <w:color w:val="000000"/>
                <w:sz w:val="28"/>
                <w:szCs w:val="28"/>
              </w:rPr>
              <w:t>軌道自行車</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color w:val="000000"/>
                <w:sz w:val="28"/>
                <w:szCs w:val="28"/>
              </w:rPr>
              <w:t>舊山線、八斗子站</w:t>
            </w:r>
            <w:r>
              <w:rPr>
                <w:rFonts w:hAnsi="標楷體" w:hint="eastAsia"/>
                <w:color w:val="000000"/>
                <w:sz w:val="28"/>
                <w:szCs w:val="28"/>
              </w:rPr>
              <w:t>(</w:t>
            </w:r>
            <w:r>
              <w:rPr>
                <w:rFonts w:hAnsi="標楷體" w:hint="eastAsia"/>
                <w:color w:val="000000"/>
                <w:sz w:val="28"/>
                <w:szCs w:val="28"/>
              </w:rPr>
              <w:t>深澳線</w:t>
            </w:r>
            <w:r>
              <w:rPr>
                <w:rFonts w:hAnsi="標楷體" w:hint="eastAsia"/>
                <w:color w:val="000000"/>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2</w:t>
            </w:r>
          </w:p>
        </w:tc>
      </w:tr>
      <w:tr w:rsidR="00405D97" w:rsidTr="00405D97">
        <w:trPr>
          <w:trHeight w:val="783"/>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b/>
                <w:bCs/>
                <w:color w:val="000000"/>
                <w:sz w:val="28"/>
                <w:szCs w:val="28"/>
              </w:rPr>
              <w:t>自行車廊道</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color w:val="000000"/>
                <w:sz w:val="28"/>
                <w:szCs w:val="28"/>
              </w:rPr>
              <w:t>東勢線、</w:t>
            </w:r>
            <w:proofErr w:type="gramStart"/>
            <w:r>
              <w:rPr>
                <w:rFonts w:hAnsi="標楷體" w:hint="eastAsia"/>
                <w:color w:val="000000"/>
                <w:sz w:val="28"/>
                <w:szCs w:val="28"/>
              </w:rPr>
              <w:t>神岡線</w:t>
            </w:r>
            <w:proofErr w:type="gramEnd"/>
            <w:r>
              <w:rPr>
                <w:rFonts w:hAnsi="標楷體" w:hint="eastAsia"/>
                <w:color w:val="000000"/>
                <w:sz w:val="28"/>
                <w:szCs w:val="28"/>
              </w:rPr>
              <w:t>、舊</w:t>
            </w:r>
            <w:proofErr w:type="gramStart"/>
            <w:r>
              <w:rPr>
                <w:rFonts w:hAnsi="標楷體" w:hint="eastAsia"/>
                <w:color w:val="000000"/>
                <w:sz w:val="28"/>
                <w:szCs w:val="28"/>
              </w:rPr>
              <w:t>臺</w:t>
            </w:r>
            <w:proofErr w:type="gramEnd"/>
            <w:r>
              <w:rPr>
                <w:rFonts w:hAnsi="標楷體" w:hint="eastAsia"/>
                <w:color w:val="000000"/>
                <w:sz w:val="28"/>
                <w:szCs w:val="28"/>
              </w:rPr>
              <w:t>東線、舊草嶺隧道、林口線</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5</w:t>
            </w:r>
          </w:p>
        </w:tc>
      </w:tr>
      <w:tr w:rsidR="00405D97" w:rsidTr="00405D97">
        <w:trPr>
          <w:trHeight w:val="684"/>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b/>
                <w:bCs/>
                <w:color w:val="000000"/>
                <w:sz w:val="28"/>
                <w:szCs w:val="28"/>
              </w:rPr>
              <w:t>公路系統</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color w:val="000000"/>
                <w:sz w:val="28"/>
                <w:szCs w:val="28"/>
              </w:rPr>
              <w:t>松山機場線、新店線</w:t>
            </w:r>
            <w:r>
              <w:rPr>
                <w:rFonts w:hAnsi="標楷體" w:hint="eastAsia"/>
                <w:color w:val="000000"/>
                <w:sz w:val="28"/>
                <w:szCs w:val="28"/>
              </w:rPr>
              <w:t>(</w:t>
            </w:r>
            <w:r>
              <w:rPr>
                <w:rFonts w:hAnsi="標楷體" w:hint="eastAsia"/>
                <w:color w:val="000000"/>
                <w:sz w:val="28"/>
                <w:szCs w:val="28"/>
              </w:rPr>
              <w:t>少部分改建捷運系統</w:t>
            </w:r>
            <w:r>
              <w:rPr>
                <w:rFonts w:hAnsi="標楷體" w:hint="eastAsia"/>
                <w:color w:val="000000"/>
                <w:sz w:val="28"/>
                <w:szCs w:val="28"/>
              </w:rPr>
              <w:t>)</w:t>
            </w:r>
            <w:r>
              <w:rPr>
                <w:rFonts w:hAnsi="標楷體" w:hint="eastAsia"/>
                <w:color w:val="000000"/>
                <w:sz w:val="28"/>
                <w:szCs w:val="28"/>
              </w:rPr>
              <w:t>、新竹機場線、舊觀音隧道</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4</w:t>
            </w:r>
          </w:p>
        </w:tc>
      </w:tr>
      <w:tr w:rsidR="00405D97" w:rsidTr="00405D97">
        <w:trPr>
          <w:trHeight w:val="1278"/>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b/>
                <w:bCs/>
                <w:color w:val="000000"/>
                <w:sz w:val="28"/>
                <w:szCs w:val="28"/>
              </w:rPr>
              <w:t>其他</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rPr>
                <w:rFonts w:hAnsi="標楷體" w:hint="eastAsia"/>
                <w:color w:val="000000"/>
                <w:sz w:val="28"/>
                <w:szCs w:val="28"/>
              </w:rPr>
            </w:pPr>
            <w:r>
              <w:rPr>
                <w:rFonts w:hAnsi="標楷體" w:hint="eastAsia"/>
                <w:color w:val="000000"/>
                <w:sz w:val="28"/>
                <w:szCs w:val="28"/>
              </w:rPr>
              <w:t>三張犂支線、臺東海岸線、崎頂子母隧道、功維敘隧道、舊自強隧道、白沙屯隧道</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05D97" w:rsidRDefault="00405D97" w:rsidP="00405D97">
            <w:pPr>
              <w:spacing w:line="520" w:lineRule="exact"/>
              <w:jc w:val="center"/>
              <w:rPr>
                <w:rFonts w:hAnsi="標楷體" w:hint="eastAsia"/>
                <w:color w:val="000000"/>
                <w:sz w:val="28"/>
                <w:szCs w:val="28"/>
              </w:rPr>
            </w:pPr>
            <w:r>
              <w:rPr>
                <w:rFonts w:hAnsi="標楷體" w:hint="eastAsia"/>
                <w:b/>
                <w:bCs/>
                <w:color w:val="000000"/>
                <w:sz w:val="28"/>
                <w:szCs w:val="28"/>
              </w:rPr>
              <w:t>6</w:t>
            </w:r>
          </w:p>
        </w:tc>
      </w:tr>
    </w:tbl>
    <w:p w:rsidR="00405D97" w:rsidRDefault="00405D97" w:rsidP="00405D97">
      <w:pPr>
        <w:spacing w:line="520" w:lineRule="exact"/>
        <w:jc w:val="center"/>
        <w:rPr>
          <w:rFonts w:ascii="標楷體" w:eastAsia="標楷體" w:hAnsi="標楷體" w:cs="Times New Roman" w:hint="eastAsia"/>
          <w:sz w:val="32"/>
          <w:szCs w:val="20"/>
        </w:rPr>
      </w:pPr>
      <w:r>
        <w:rPr>
          <w:rFonts w:hAnsi="標楷體" w:hint="eastAsia"/>
          <w:color w:val="000000"/>
        </w:rPr>
        <w:t>資料來源：</w:t>
      </w:r>
      <w:proofErr w:type="gramStart"/>
      <w:r>
        <w:rPr>
          <w:rFonts w:hAnsi="標楷體" w:hint="eastAsia"/>
          <w:color w:val="000000"/>
        </w:rPr>
        <w:t>臺鐵局</w:t>
      </w:r>
      <w:proofErr w:type="gramEnd"/>
      <w:r>
        <w:rPr>
          <w:rFonts w:hAnsi="標楷體" w:hint="eastAsia"/>
          <w:color w:val="000000"/>
        </w:rPr>
        <w:t>(109</w:t>
      </w:r>
      <w:r>
        <w:rPr>
          <w:rFonts w:hAnsi="標楷體" w:hint="eastAsia"/>
          <w:color w:val="000000"/>
        </w:rPr>
        <w:t>年</w:t>
      </w:r>
      <w:r>
        <w:rPr>
          <w:rFonts w:hAnsi="標楷體" w:hint="eastAsia"/>
          <w:color w:val="000000"/>
        </w:rPr>
        <w:t>4</w:t>
      </w:r>
      <w:r>
        <w:rPr>
          <w:rFonts w:hAnsi="標楷體" w:hint="eastAsia"/>
          <w:color w:val="000000"/>
        </w:rPr>
        <w:t>月</w:t>
      </w:r>
      <w:r>
        <w:rPr>
          <w:rFonts w:hAnsi="標楷體" w:hint="eastAsia"/>
          <w:color w:val="000000"/>
        </w:rPr>
        <w:t>10</w:t>
      </w:r>
      <w:r>
        <w:rPr>
          <w:rFonts w:hAnsi="標楷體" w:hint="eastAsia"/>
          <w:color w:val="000000"/>
        </w:rPr>
        <w:t>日簡報資料</w:t>
      </w:r>
      <w:r>
        <w:rPr>
          <w:rFonts w:hAnsi="標楷體" w:hint="eastAsia"/>
          <w:color w:val="000000"/>
        </w:rPr>
        <w:t>)</w:t>
      </w:r>
    </w:p>
    <w:p w:rsidR="00405D97" w:rsidRDefault="00405D97" w:rsidP="00405D97">
      <w:pPr>
        <w:pStyle w:val="3"/>
        <w:numPr>
          <w:ilvl w:val="2"/>
          <w:numId w:val="2"/>
        </w:numPr>
        <w:spacing w:line="520" w:lineRule="exact"/>
        <w:rPr>
          <w:rFonts w:hAnsi="標楷體" w:hint="eastAsia"/>
        </w:rPr>
      </w:pPr>
      <w:r>
        <w:rPr>
          <w:rFonts w:hAnsi="標楷體" w:hint="eastAsia"/>
        </w:rPr>
        <w:t>復查，</w:t>
      </w:r>
      <w:proofErr w:type="gramStart"/>
      <w:r>
        <w:rPr>
          <w:rFonts w:hAnsi="標楷體" w:hint="eastAsia"/>
        </w:rPr>
        <w:t>臺鐵局</w:t>
      </w:r>
      <w:proofErr w:type="gramEnd"/>
      <w:r>
        <w:rPr>
          <w:rFonts w:hAnsi="標楷體" w:hint="eastAsia"/>
        </w:rPr>
        <w:t>於舊鐵道廢止後，</w:t>
      </w:r>
      <w:proofErr w:type="gramStart"/>
      <w:r>
        <w:rPr>
          <w:rFonts w:hAnsi="標楷體" w:hint="eastAsia"/>
        </w:rPr>
        <w:t>僅有舊</w:t>
      </w:r>
      <w:r>
        <w:rPr>
          <w:rFonts w:hAnsi="標楷體" w:hint="eastAsia"/>
          <w:color w:val="000000"/>
        </w:rPr>
        <w:t>深澳</w:t>
      </w:r>
      <w:proofErr w:type="gramEnd"/>
      <w:r>
        <w:rPr>
          <w:rFonts w:hAnsi="標楷體" w:hint="eastAsia"/>
          <w:color w:val="000000"/>
        </w:rPr>
        <w:t>線因國立海洋科技博物館啟用，於103年1月9日瑞芳至</w:t>
      </w:r>
      <w:proofErr w:type="gramStart"/>
      <w:r>
        <w:rPr>
          <w:rFonts w:hAnsi="標楷體" w:hint="eastAsia"/>
          <w:color w:val="000000"/>
        </w:rPr>
        <w:t>海科館間</w:t>
      </w:r>
      <w:proofErr w:type="gramEnd"/>
      <w:r>
        <w:rPr>
          <w:rFonts w:hAnsi="標楷體" w:hint="eastAsia"/>
          <w:color w:val="000000"/>
        </w:rPr>
        <w:t>恢復營運，並於105年12月28日延伸至八斗子，已轉型為觀光支線。</w:t>
      </w:r>
      <w:proofErr w:type="gramStart"/>
      <w:r>
        <w:rPr>
          <w:rFonts w:hAnsi="標楷體" w:hint="eastAsia"/>
          <w:color w:val="000000"/>
        </w:rPr>
        <w:t>舊深澳</w:t>
      </w:r>
      <w:proofErr w:type="gramEnd"/>
      <w:r>
        <w:rPr>
          <w:rFonts w:hAnsi="標楷體" w:hint="eastAsia"/>
          <w:color w:val="000000"/>
        </w:rPr>
        <w:t>支線部分土地(八斗子站至深澳站間)，全長1.3公里，106年12月由新北市政府觀光旅遊局承租，期限至109年底，利用既有軌道設置鐵道自行車(Railbike，</w:t>
      </w:r>
      <w:proofErr w:type="gramStart"/>
      <w:r>
        <w:rPr>
          <w:rFonts w:hAnsi="標楷體" w:hint="eastAsia"/>
          <w:color w:val="000000"/>
        </w:rPr>
        <w:t>又稱深澳</w:t>
      </w:r>
      <w:proofErr w:type="gramEnd"/>
      <w:r>
        <w:rPr>
          <w:rFonts w:hAnsi="標楷體" w:hint="eastAsia"/>
          <w:color w:val="000000"/>
        </w:rPr>
        <w:t>鐵道自行車)做為觀光遊憩使用，並結合附近東北角觀光景點，如深澳漁港、</w:t>
      </w:r>
      <w:proofErr w:type="gramStart"/>
      <w:r>
        <w:rPr>
          <w:rFonts w:hAnsi="標楷體" w:hint="eastAsia"/>
          <w:color w:val="000000"/>
        </w:rPr>
        <w:t>海科館、潮境</w:t>
      </w:r>
      <w:proofErr w:type="gramEnd"/>
      <w:r>
        <w:rPr>
          <w:rFonts w:hAnsi="標楷體" w:hint="eastAsia"/>
          <w:color w:val="000000"/>
        </w:rPr>
        <w:t>公園等，提供民眾不同的觀光體驗。經查，該自行車設計俏皮河豚造型車輛，雙人搭乘，共24台車，定價單程150元，於107年12月18日至12月27日營運第一階段，新北市政府邀請媒體、旅行社進行體驗，進行宣傳及行銷，復於營運第二階段開放週末假日予一般民眾體驗，</w:t>
      </w:r>
      <w:r>
        <w:rPr>
          <w:rFonts w:hAnsi="標楷體" w:hint="eastAsia"/>
        </w:rPr>
        <w:t>平日開放當地里民體驗</w:t>
      </w:r>
      <w:r>
        <w:rPr>
          <w:rFonts w:hAnsi="標楷體" w:hint="eastAsia"/>
          <w:color w:val="000000"/>
        </w:rPr>
        <w:t>。據新北市政</w:t>
      </w:r>
      <w:r>
        <w:rPr>
          <w:rFonts w:hAnsi="標楷體" w:hint="eastAsia"/>
          <w:color w:val="000000"/>
        </w:rPr>
        <w:lastRenderedPageBreak/>
        <w:t>府觀光旅遊局統計，每月搭乘者逾3萬人，如以每人300元消費，平均每</w:t>
      </w:r>
      <w:proofErr w:type="gramStart"/>
      <w:r>
        <w:rPr>
          <w:rFonts w:hAnsi="標楷體" w:hint="eastAsia"/>
          <w:color w:val="000000"/>
        </w:rPr>
        <w:t>個</w:t>
      </w:r>
      <w:proofErr w:type="gramEnd"/>
      <w:r>
        <w:rPr>
          <w:rFonts w:hAnsi="標楷體" w:hint="eastAsia"/>
          <w:color w:val="000000"/>
        </w:rPr>
        <w:t>月可創造約900萬元之經濟效益。</w:t>
      </w:r>
    </w:p>
    <w:p w:rsidR="00405D97" w:rsidRDefault="00405D97" w:rsidP="00405D97">
      <w:pPr>
        <w:pStyle w:val="3"/>
        <w:numPr>
          <w:ilvl w:val="2"/>
          <w:numId w:val="2"/>
        </w:numPr>
        <w:spacing w:line="520" w:lineRule="exact"/>
        <w:rPr>
          <w:rFonts w:hAnsi="標楷體" w:hint="eastAsia"/>
        </w:rPr>
      </w:pPr>
      <w:r>
        <w:rPr>
          <w:rFonts w:hAnsi="標楷體" w:hint="eastAsia"/>
        </w:rPr>
        <w:t>另外，苗栗舊山線全線業經文化部列為臺灣世界遺產潛力點，99年至102年間</w:t>
      </w:r>
      <w:proofErr w:type="gramStart"/>
      <w:r>
        <w:rPr>
          <w:rFonts w:hAnsi="標楷體" w:hint="eastAsia"/>
        </w:rPr>
        <w:t>臺鐵局</w:t>
      </w:r>
      <w:proofErr w:type="gramEnd"/>
      <w:r>
        <w:rPr>
          <w:rFonts w:hAnsi="標楷體" w:hint="eastAsia"/>
        </w:rPr>
        <w:t>曾以觀光方式恢復行駛三義至泰安，惟因舊山線ROT招商2次均無人投標，且因復駛虧損及營運付費迷你蒸汽火車，被認定違反鐵路法而停駛。</w:t>
      </w:r>
      <w:proofErr w:type="gramStart"/>
      <w:r>
        <w:rPr>
          <w:rFonts w:hAnsi="標楷體" w:hint="eastAsia"/>
        </w:rPr>
        <w:t>嗣</w:t>
      </w:r>
      <w:proofErr w:type="gramEnd"/>
      <w:r>
        <w:rPr>
          <w:rFonts w:hAnsi="標楷體" w:hint="eastAsia"/>
        </w:rPr>
        <w:t>苗栗縣政府提出</w:t>
      </w:r>
      <w:r>
        <w:rPr>
          <w:rFonts w:hAnsi="標楷體" w:hint="eastAsia"/>
          <w:color w:val="000000"/>
        </w:rPr>
        <w:t>舊山線軌道自行車OT案(民間自提營運)計畫，</w:t>
      </w:r>
      <w:proofErr w:type="gramStart"/>
      <w:r>
        <w:rPr>
          <w:rFonts w:hAnsi="標楷體" w:hint="eastAsia"/>
          <w:color w:val="000000"/>
        </w:rPr>
        <w:t>臺鐵局</w:t>
      </w:r>
      <w:proofErr w:type="gramEnd"/>
      <w:r>
        <w:rPr>
          <w:rFonts w:hAnsi="標楷體" w:hint="eastAsia"/>
          <w:color w:val="000000"/>
        </w:rPr>
        <w:t>將勝興車站南側以南至苗栗縣境</w:t>
      </w:r>
      <w:r>
        <w:rPr>
          <w:rFonts w:hAnsi="標楷體" w:hint="eastAsia"/>
        </w:rPr>
        <w:t>區段</w:t>
      </w:r>
      <w:r>
        <w:rPr>
          <w:rFonts w:hAnsi="標楷體" w:hint="eastAsia"/>
          <w:color w:val="000000"/>
        </w:rPr>
        <w:t>出租予苗栗縣政府，自106年起出租至126年，每年</w:t>
      </w:r>
      <w:proofErr w:type="gramStart"/>
      <w:r>
        <w:rPr>
          <w:rFonts w:hAnsi="標楷體" w:hint="eastAsia"/>
          <w:color w:val="000000"/>
        </w:rPr>
        <w:t>年</w:t>
      </w:r>
      <w:proofErr w:type="gramEnd"/>
      <w:r>
        <w:rPr>
          <w:rFonts w:hAnsi="標楷體" w:hint="eastAsia"/>
          <w:color w:val="000000"/>
        </w:rPr>
        <w:t>租金約80萬元(依每年公告地價調整)，營運路線</w:t>
      </w:r>
      <w:proofErr w:type="gramStart"/>
      <w:r>
        <w:rPr>
          <w:rFonts w:hAnsi="標楷體" w:hint="eastAsia"/>
          <w:color w:val="000000"/>
        </w:rPr>
        <w:t>由勝興站</w:t>
      </w:r>
      <w:proofErr w:type="gramEnd"/>
      <w:r>
        <w:rPr>
          <w:rFonts w:hAnsi="標楷體" w:hint="eastAsia"/>
          <w:color w:val="000000"/>
        </w:rPr>
        <w:t>至6號隧道北口，共6公里，營運年期自107年6月20日至126年10月26日止，已於108年7月1日正式營運，至109年2月29日止，統計搭乘人數已達31萬人次，平均每</w:t>
      </w:r>
      <w:proofErr w:type="gramStart"/>
      <w:r>
        <w:rPr>
          <w:rFonts w:hAnsi="標楷體" w:hint="eastAsia"/>
          <w:color w:val="000000"/>
        </w:rPr>
        <w:t>個</w:t>
      </w:r>
      <w:proofErr w:type="gramEnd"/>
      <w:r>
        <w:rPr>
          <w:rFonts w:hAnsi="標楷體" w:hint="eastAsia"/>
          <w:color w:val="000000"/>
        </w:rPr>
        <w:t>月搭乘人數約3萬8千人。經查，為推動舊山線軌道自行車，業者規劃多元之觀光行銷活動，例如與51家觀光/</w:t>
      </w:r>
      <w:proofErr w:type="gramStart"/>
      <w:r>
        <w:rPr>
          <w:rFonts w:hAnsi="標楷體" w:hint="eastAsia"/>
          <w:color w:val="000000"/>
        </w:rPr>
        <w:t>旅宿業者</w:t>
      </w:r>
      <w:proofErr w:type="gramEnd"/>
      <w:r>
        <w:rPr>
          <w:rFonts w:hAnsi="標楷體" w:hint="eastAsia"/>
          <w:color w:val="000000"/>
        </w:rPr>
        <w:t>簽訂共同行銷互惠、1,700家旅行業合作夥伴、與日本輕井</w:t>
      </w:r>
      <w:proofErr w:type="gramStart"/>
      <w:r>
        <w:rPr>
          <w:rFonts w:hAnsi="標楷體" w:hint="eastAsia"/>
          <w:color w:val="000000"/>
        </w:rPr>
        <w:t>澤信濃鐵道</w:t>
      </w:r>
      <w:proofErr w:type="gramEnd"/>
      <w:r>
        <w:rPr>
          <w:rFonts w:hAnsi="標楷體" w:hint="eastAsia"/>
          <w:color w:val="000000"/>
        </w:rPr>
        <w:t>締結互惠(連續簽署2年的票</w:t>
      </w:r>
      <w:proofErr w:type="gramStart"/>
      <w:r>
        <w:rPr>
          <w:rFonts w:hAnsi="標楷體" w:hint="eastAsia"/>
          <w:color w:val="000000"/>
        </w:rPr>
        <w:t>券</w:t>
      </w:r>
      <w:proofErr w:type="gramEnd"/>
      <w:r>
        <w:rPr>
          <w:rFonts w:hAnsi="標楷體" w:hint="eastAsia"/>
          <w:color w:val="000000"/>
        </w:rPr>
        <w:t>互惠合作意向書，憑乘車</w:t>
      </w:r>
      <w:proofErr w:type="gramStart"/>
      <w:r>
        <w:rPr>
          <w:rFonts w:hAnsi="標楷體" w:hint="eastAsia"/>
          <w:color w:val="000000"/>
        </w:rPr>
        <w:t>券</w:t>
      </w:r>
      <w:proofErr w:type="gramEnd"/>
      <w:r>
        <w:rPr>
          <w:rFonts w:hAnsi="標楷體" w:hint="eastAsia"/>
          <w:color w:val="000000"/>
        </w:rPr>
        <w:t>可免費兌換日本「</w:t>
      </w:r>
      <w:proofErr w:type="gramStart"/>
      <w:r>
        <w:rPr>
          <w:rFonts w:hAnsi="標楷體" w:hint="eastAsia"/>
          <w:color w:val="000000"/>
        </w:rPr>
        <w:t>信濃鐵道</w:t>
      </w:r>
      <w:proofErr w:type="gramEnd"/>
      <w:r>
        <w:rPr>
          <w:rFonts w:hAnsi="標楷體" w:hint="eastAsia"/>
          <w:color w:val="000000"/>
        </w:rPr>
        <w:t>2日周遊</w:t>
      </w:r>
      <w:proofErr w:type="gramStart"/>
      <w:r>
        <w:rPr>
          <w:rFonts w:hAnsi="標楷體" w:hint="eastAsia"/>
          <w:color w:val="000000"/>
        </w:rPr>
        <w:t>券</w:t>
      </w:r>
      <w:proofErr w:type="gramEnd"/>
      <w:r>
        <w:rPr>
          <w:rFonts w:hAnsi="標楷體" w:hint="eastAsia"/>
          <w:color w:val="000000"/>
        </w:rPr>
        <w:t>」，合作期限至2021年4月)、航空/</w:t>
      </w:r>
      <w:proofErr w:type="gramStart"/>
      <w:r>
        <w:rPr>
          <w:rFonts w:hAnsi="標楷體" w:hint="eastAsia"/>
          <w:color w:val="000000"/>
        </w:rPr>
        <w:t>旅宿異</w:t>
      </w:r>
      <w:proofErr w:type="gramEnd"/>
      <w:r>
        <w:rPr>
          <w:rFonts w:hAnsi="標楷體" w:hint="eastAsia"/>
          <w:color w:val="000000"/>
        </w:rPr>
        <w:t>業結盟(機＋酒＋舊山線軌道自行車優惠，憑香港華航、新加坡華航、新加坡長榮等登機證搭乘日7日到臨櫃兌換鐵道自行車車票，出示</w:t>
      </w:r>
      <w:proofErr w:type="gramStart"/>
      <w:r>
        <w:rPr>
          <w:rFonts w:hAnsi="標楷體" w:hint="eastAsia"/>
          <w:color w:val="000000"/>
        </w:rPr>
        <w:t>機票即退</w:t>
      </w:r>
      <w:proofErr w:type="gramEnd"/>
      <w:r>
        <w:rPr>
          <w:rFonts w:hAnsi="標楷體" w:hint="eastAsia"/>
          <w:color w:val="000000"/>
        </w:rPr>
        <w:t>10％現金)等。由上</w:t>
      </w:r>
      <w:proofErr w:type="gramStart"/>
      <w:r>
        <w:rPr>
          <w:rFonts w:hAnsi="標楷體" w:hint="eastAsia"/>
          <w:color w:val="000000"/>
        </w:rPr>
        <w:t>開舊深澳</w:t>
      </w:r>
      <w:proofErr w:type="gramEnd"/>
      <w:r>
        <w:rPr>
          <w:rFonts w:hAnsi="標楷體" w:hint="eastAsia"/>
          <w:color w:val="000000"/>
        </w:rPr>
        <w:t>線八斗子站及苗栗舊山線之鐵道自行車活化現</w:t>
      </w:r>
      <w:r>
        <w:rPr>
          <w:rFonts w:hAnsi="標楷體" w:hint="eastAsia"/>
          <w:color w:val="000000"/>
        </w:rPr>
        <w:lastRenderedPageBreak/>
        <w:t>況，已見初步活化創新成果。</w:t>
      </w:r>
    </w:p>
    <w:p w:rsidR="00405D97" w:rsidRPr="00405D97" w:rsidRDefault="00405D97" w:rsidP="00405D97">
      <w:pPr>
        <w:pStyle w:val="3"/>
        <w:numPr>
          <w:ilvl w:val="2"/>
          <w:numId w:val="2"/>
        </w:numPr>
        <w:spacing w:line="520" w:lineRule="exact"/>
        <w:rPr>
          <w:rFonts w:hAnsi="標楷體"/>
        </w:rPr>
      </w:pPr>
      <w:proofErr w:type="gramStart"/>
      <w:r>
        <w:rPr>
          <w:rFonts w:hAnsi="標楷體" w:hint="eastAsia"/>
        </w:rPr>
        <w:t>再者，</w:t>
      </w:r>
      <w:proofErr w:type="gramEnd"/>
      <w:r>
        <w:rPr>
          <w:rFonts w:hAnsi="標楷體" w:hint="eastAsia"/>
        </w:rPr>
        <w:t>為利苗栗舊山線再生，</w:t>
      </w:r>
      <w:proofErr w:type="gramStart"/>
      <w:r>
        <w:rPr>
          <w:rFonts w:hAnsi="標楷體" w:hint="eastAsia"/>
        </w:rPr>
        <w:t>臺鐵局奉</w:t>
      </w:r>
      <w:proofErr w:type="gramEnd"/>
      <w:r>
        <w:rPr>
          <w:rFonts w:hAnsi="標楷體" w:hint="eastAsia"/>
        </w:rPr>
        <w:t>交通部於108年指示辦理「舊山線多元運具活化再利用計畫」，提出全線三義~后里共15.9公里，修復沿線軌道、橋梁隧道等工程並</w:t>
      </w:r>
      <w:proofErr w:type="gramStart"/>
      <w:r>
        <w:rPr>
          <w:rFonts w:hAnsi="標楷體" w:hint="eastAsia"/>
        </w:rPr>
        <w:t>研</w:t>
      </w:r>
      <w:proofErr w:type="gramEnd"/>
      <w:r>
        <w:rPr>
          <w:rFonts w:hAnsi="標楷體" w:hint="eastAsia"/>
        </w:rPr>
        <w:t>擬未來與地方政府合作委託第三方經營。甚</w:t>
      </w:r>
      <w:proofErr w:type="gramStart"/>
      <w:r>
        <w:rPr>
          <w:rFonts w:hAnsi="標楷體" w:hint="eastAsia"/>
        </w:rPr>
        <w:t>且</w:t>
      </w:r>
      <w:proofErr w:type="gramEnd"/>
      <w:r>
        <w:rPr>
          <w:rFonts w:hAnsi="標楷體" w:hint="eastAsia"/>
        </w:rPr>
        <w:t>，</w:t>
      </w:r>
      <w:proofErr w:type="gramStart"/>
      <w:r>
        <w:rPr>
          <w:rFonts w:hAnsi="標楷體" w:hint="eastAsia"/>
        </w:rPr>
        <w:t>臺鐵局舊</w:t>
      </w:r>
      <w:proofErr w:type="gramEnd"/>
      <w:r>
        <w:rPr>
          <w:rFonts w:hAnsi="標楷體" w:hint="eastAsia"/>
        </w:rPr>
        <w:t>山線三義車站管有土地，經苗栗縣政府檢討周邊都市計畫變更土地使用分區，並整合周邊商業區及</w:t>
      </w:r>
      <w:proofErr w:type="gramStart"/>
      <w:r>
        <w:rPr>
          <w:rFonts w:hAnsi="標楷體" w:hint="eastAsia"/>
        </w:rPr>
        <w:t>臺鐵局</w:t>
      </w:r>
      <w:proofErr w:type="gramEnd"/>
      <w:r>
        <w:rPr>
          <w:rFonts w:hAnsi="標楷體" w:hint="eastAsia"/>
        </w:rPr>
        <w:t>管有鐵路用地辦理更新後，預估分回價值約2億元。</w:t>
      </w:r>
      <w:proofErr w:type="gramStart"/>
      <w:r>
        <w:rPr>
          <w:rFonts w:hAnsi="標楷體" w:hint="eastAsia"/>
        </w:rPr>
        <w:t>爰</w:t>
      </w:r>
      <w:proofErr w:type="gramEnd"/>
      <w:r>
        <w:rPr>
          <w:rFonts w:hAnsi="標楷體" w:hint="eastAsia"/>
        </w:rPr>
        <w:t>此，</w:t>
      </w:r>
      <w:proofErr w:type="gramStart"/>
      <w:r>
        <w:rPr>
          <w:rFonts w:hAnsi="標楷體" w:hint="eastAsia"/>
        </w:rPr>
        <w:t>臺鐵局刻</w:t>
      </w:r>
      <w:proofErr w:type="gramEnd"/>
      <w:r>
        <w:rPr>
          <w:rFonts w:hAnsi="標楷體" w:hint="eastAsia"/>
        </w:rPr>
        <w:t>正提報前瞻觀光計畫，其中舊山線觀光建設再利用計畫編列23億元，期藉由觀光發展</w:t>
      </w:r>
      <w:proofErr w:type="gramStart"/>
      <w:r>
        <w:rPr>
          <w:rFonts w:hAnsi="標楷體" w:hint="eastAsia"/>
        </w:rPr>
        <w:t>增裕營收</w:t>
      </w:r>
      <w:proofErr w:type="gramEnd"/>
      <w:r>
        <w:rPr>
          <w:rFonts w:hAnsi="標楷體" w:hint="eastAsia"/>
        </w:rPr>
        <w:t>。是</w:t>
      </w:r>
      <w:proofErr w:type="gramStart"/>
      <w:r>
        <w:rPr>
          <w:rFonts w:hAnsi="標楷體" w:hint="eastAsia"/>
        </w:rPr>
        <w:t>以</w:t>
      </w:r>
      <w:proofErr w:type="gramEnd"/>
      <w:r>
        <w:rPr>
          <w:rFonts w:hAnsi="標楷體" w:hint="eastAsia"/>
        </w:rPr>
        <w:t>，藉由舊鐵道活化創新，對於鐵道觀光及地方發展皆有加成效果，值得肯定。然而，部分舊鐵道如東港線、舊山線(部分保存)、基隆臨港線等鐵道，現況仍為靜態保存，其中東港線(鎮安至東港，6.2公里)係</w:t>
      </w:r>
      <w:proofErr w:type="gramStart"/>
      <w:r>
        <w:rPr>
          <w:rFonts w:hAnsi="標楷體" w:hint="eastAsia"/>
        </w:rPr>
        <w:t>臺鐵局</w:t>
      </w:r>
      <w:proofErr w:type="gramEnd"/>
      <w:r>
        <w:rPr>
          <w:rFonts w:hAnsi="標楷體" w:hint="eastAsia"/>
        </w:rPr>
        <w:t>經營的傳統鐵路支線，106年行政院曾將東港線復駛計畫納入前瞻基礎建設計畫項目中，惟107年底鐵道局提出暫緩推動，108年鎮安車站為配合南</w:t>
      </w:r>
      <w:proofErr w:type="gramStart"/>
      <w:r>
        <w:rPr>
          <w:rFonts w:hAnsi="標楷體" w:hint="eastAsia"/>
        </w:rPr>
        <w:t>迴</w:t>
      </w:r>
      <w:proofErr w:type="gramEnd"/>
      <w:r>
        <w:rPr>
          <w:rFonts w:hAnsi="標楷體" w:hint="eastAsia"/>
        </w:rPr>
        <w:t>鐵路電氣化興建雙月台，將位於鎮安車站的東港線路軌拆除，目前僅剩沿海路附近殘存的路軌，讓不少鐵道迷為此留下遺憾。</w:t>
      </w:r>
      <w:proofErr w:type="gramStart"/>
      <w:r>
        <w:rPr>
          <w:rFonts w:hAnsi="標楷體" w:hint="eastAsia"/>
        </w:rPr>
        <w:t>爰</w:t>
      </w:r>
      <w:proofErr w:type="gramEnd"/>
      <w:r>
        <w:rPr>
          <w:rFonts w:hAnsi="標楷體" w:hint="eastAsia"/>
        </w:rPr>
        <w:t>此，就</w:t>
      </w:r>
      <w:r>
        <w:rPr>
          <w:rFonts w:hAnsi="標楷體" w:hint="eastAsia"/>
          <w:color w:val="000000"/>
        </w:rPr>
        <w:t>部分靜態保存舊鐵道，</w:t>
      </w:r>
      <w:proofErr w:type="gramStart"/>
      <w:r>
        <w:rPr>
          <w:rFonts w:hAnsi="標楷體" w:hint="eastAsia"/>
        </w:rPr>
        <w:t>臺鐵局</w:t>
      </w:r>
      <w:proofErr w:type="gramEnd"/>
      <w:r>
        <w:rPr>
          <w:rFonts w:hAnsi="標楷體" w:hint="eastAsia"/>
        </w:rPr>
        <w:t>亦可</w:t>
      </w:r>
      <w:r>
        <w:rPr>
          <w:rFonts w:hAnsi="標楷體" w:hint="eastAsia"/>
          <w:color w:val="000000"/>
        </w:rPr>
        <w:t>思考規劃活化發展策略，</w:t>
      </w:r>
      <w:proofErr w:type="gramStart"/>
      <w:r>
        <w:rPr>
          <w:rFonts w:hAnsi="標楷體" w:hint="eastAsia"/>
          <w:color w:val="000000"/>
        </w:rPr>
        <w:t>創造廢線鐵道</w:t>
      </w:r>
      <w:proofErr w:type="gramEnd"/>
      <w:r>
        <w:rPr>
          <w:rFonts w:hAnsi="標楷體" w:hint="eastAsia"/>
          <w:color w:val="000000"/>
        </w:rPr>
        <w:t>之再生效益。</w:t>
      </w:r>
    </w:p>
    <w:p w:rsidR="00405D97" w:rsidRDefault="00405D97" w:rsidP="00405D97">
      <w:pPr>
        <w:pStyle w:val="3"/>
        <w:numPr>
          <w:ilvl w:val="2"/>
          <w:numId w:val="2"/>
        </w:numPr>
        <w:spacing w:line="520" w:lineRule="exact"/>
        <w:rPr>
          <w:rFonts w:hAnsi="標楷體" w:hint="eastAsia"/>
        </w:rPr>
      </w:pPr>
      <w:r>
        <w:rPr>
          <w:rFonts w:hAnsi="標楷體" w:hint="eastAsia"/>
        </w:rPr>
        <w:t>綜上，目前</w:t>
      </w:r>
      <w:proofErr w:type="gramStart"/>
      <w:r>
        <w:rPr>
          <w:rFonts w:hAnsi="標楷體" w:hint="eastAsia"/>
        </w:rPr>
        <w:t>臺鐵舊鐵道廢線</w:t>
      </w:r>
      <w:proofErr w:type="gramEnd"/>
      <w:r>
        <w:rPr>
          <w:rFonts w:hAnsi="標楷體" w:hint="eastAsia"/>
        </w:rPr>
        <w:t>共為23處，</w:t>
      </w:r>
      <w:proofErr w:type="gramStart"/>
      <w:r>
        <w:rPr>
          <w:rFonts w:hAnsi="標楷體" w:hint="eastAsia"/>
        </w:rPr>
        <w:t>廢線停駛後</w:t>
      </w:r>
      <w:proofErr w:type="gramEnd"/>
      <w:r>
        <w:rPr>
          <w:rFonts w:hAnsi="標楷體" w:hint="eastAsia"/>
        </w:rPr>
        <w:t>，</w:t>
      </w:r>
      <w:r>
        <w:rPr>
          <w:rFonts w:hAnsi="標楷體" w:hint="eastAsia"/>
          <w:color w:val="000000"/>
        </w:rPr>
        <w:t>大部分鐵道路基已改建為捷運線、道路、自行車專用道等用途，</w:t>
      </w:r>
      <w:proofErr w:type="gramStart"/>
      <w:r>
        <w:rPr>
          <w:rFonts w:hAnsi="標楷體" w:hint="eastAsia"/>
          <w:color w:val="000000"/>
        </w:rPr>
        <w:t>舊深澳</w:t>
      </w:r>
      <w:proofErr w:type="gramEnd"/>
      <w:r>
        <w:rPr>
          <w:rFonts w:hAnsi="標楷體" w:hint="eastAsia"/>
          <w:color w:val="000000"/>
        </w:rPr>
        <w:t>線八斗子站及苗栗舊山線</w:t>
      </w:r>
      <w:proofErr w:type="gramStart"/>
      <w:r>
        <w:rPr>
          <w:rFonts w:hAnsi="標楷體" w:hint="eastAsia"/>
          <w:color w:val="000000"/>
        </w:rPr>
        <w:t>兩廢</w:t>
      </w:r>
      <w:r>
        <w:rPr>
          <w:rFonts w:hAnsi="標楷體" w:hint="eastAsia"/>
          <w:color w:val="000000"/>
        </w:rPr>
        <w:lastRenderedPageBreak/>
        <w:t>線鐵已</w:t>
      </w:r>
      <w:proofErr w:type="gramEnd"/>
      <w:r>
        <w:rPr>
          <w:rFonts w:hAnsi="標楷體" w:hint="eastAsia"/>
          <w:color w:val="000000"/>
        </w:rPr>
        <w:t>由地方政府租用，並規劃為軌道自行車(Rail Bike)，帶動周邊旅遊觀光產業發展，已見初步活化創新成果，至部分靜態保存之舊鐵道，亦可思考規劃活化發展策略，</w:t>
      </w:r>
      <w:proofErr w:type="gramStart"/>
      <w:r>
        <w:rPr>
          <w:rFonts w:hAnsi="標楷體" w:hint="eastAsia"/>
          <w:color w:val="000000"/>
        </w:rPr>
        <w:t>創造廢線鐵道</w:t>
      </w:r>
      <w:proofErr w:type="gramEnd"/>
      <w:r>
        <w:rPr>
          <w:rFonts w:hAnsi="標楷體" w:hint="eastAsia"/>
          <w:color w:val="000000"/>
        </w:rPr>
        <w:t>之再生效益</w:t>
      </w:r>
      <w:r>
        <w:rPr>
          <w:rFonts w:hAnsi="標楷體" w:hint="eastAsia"/>
        </w:rPr>
        <w:t>。</w:t>
      </w:r>
    </w:p>
    <w:p w:rsidR="00405D97" w:rsidRDefault="00405D97" w:rsidP="00405D97">
      <w:pPr>
        <w:widowControl/>
        <w:rPr>
          <w:rFonts w:ascii="新細明體" w:eastAsia="新細明體" w:hAnsi="新細明體" w:cs="新細明體" w:hint="eastAsia"/>
          <w:kern w:val="0"/>
          <w:szCs w:val="24"/>
        </w:rPr>
      </w:pPr>
    </w:p>
    <w:p w:rsidR="008475C9" w:rsidRPr="002D7E8F" w:rsidRDefault="008475C9" w:rsidP="002D7E8F">
      <w:pPr>
        <w:spacing w:line="500" w:lineRule="exact"/>
        <w:rPr>
          <w:color w:val="000000" w:themeColor="text1"/>
        </w:rPr>
      </w:pPr>
      <w:bookmarkStart w:id="14" w:name="_GoBack"/>
      <w:bookmarkEnd w:id="14"/>
    </w:p>
    <w:sectPr w:rsidR="008475C9" w:rsidRPr="002D7E8F">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817" w:rsidRDefault="00B76817" w:rsidP="002D7E8F">
      <w:r>
        <w:separator/>
      </w:r>
    </w:p>
  </w:endnote>
  <w:endnote w:type="continuationSeparator" w:id="0">
    <w:p w:rsidR="00B76817" w:rsidRDefault="00B76817" w:rsidP="002D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楷書體W5(P)">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764897"/>
      <w:docPartObj>
        <w:docPartGallery w:val="Page Numbers (Bottom of Page)"/>
        <w:docPartUnique/>
      </w:docPartObj>
    </w:sdtPr>
    <w:sdtEndPr/>
    <w:sdtContent>
      <w:p w:rsidR="002D7E8F" w:rsidRDefault="002D7E8F">
        <w:pPr>
          <w:pStyle w:val="a9"/>
          <w:jc w:val="center"/>
        </w:pPr>
        <w:r>
          <w:fldChar w:fldCharType="begin"/>
        </w:r>
        <w:r>
          <w:instrText>PAGE   \* MERGEFORMAT</w:instrText>
        </w:r>
        <w:r>
          <w:fldChar w:fldCharType="separate"/>
        </w:r>
        <w:r w:rsidR="00405D97" w:rsidRPr="00405D97">
          <w:rPr>
            <w:noProof/>
            <w:lang w:val="zh-TW"/>
          </w:rPr>
          <w:t>25</w:t>
        </w:r>
        <w:r>
          <w:fldChar w:fldCharType="end"/>
        </w:r>
      </w:p>
    </w:sdtContent>
  </w:sdt>
  <w:p w:rsidR="002D7E8F" w:rsidRDefault="002D7E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817" w:rsidRDefault="00B76817" w:rsidP="002D7E8F">
      <w:r>
        <w:separator/>
      </w:r>
    </w:p>
  </w:footnote>
  <w:footnote w:type="continuationSeparator" w:id="0">
    <w:p w:rsidR="00B76817" w:rsidRDefault="00B76817" w:rsidP="002D7E8F">
      <w:r>
        <w:continuationSeparator/>
      </w:r>
    </w:p>
  </w:footnote>
  <w:footnote w:id="1">
    <w:p w:rsidR="00405D97" w:rsidRDefault="00405D97" w:rsidP="00405D97">
      <w:pPr>
        <w:pStyle w:val="ab"/>
        <w:rPr>
          <w:rFonts w:hint="eastAsia"/>
        </w:rPr>
      </w:pPr>
      <w:r>
        <w:rPr>
          <w:rStyle w:val="ad"/>
        </w:rPr>
        <w:footnoteRef/>
      </w:r>
      <w:r>
        <w:t xml:space="preserve"> </w:t>
      </w:r>
      <w:r>
        <w:rPr>
          <w:rFonts w:hint="eastAsia"/>
          <w:color w:val="000000"/>
        </w:rPr>
        <w:t>日本觀光火車，</w:t>
      </w:r>
      <w:r>
        <w:rPr>
          <w:color w:val="000000"/>
        </w:rPr>
        <w:t>Nikkei Design</w:t>
      </w:r>
      <w:r>
        <w:rPr>
          <w:rFonts w:hint="eastAsia"/>
          <w:color w:val="000000"/>
        </w:rPr>
        <w:t>編，陳柏瑤譯</w:t>
      </w:r>
      <w:r>
        <w:rPr>
          <w:color w:val="000000"/>
        </w:rPr>
        <w:t>(2017)</w:t>
      </w:r>
      <w:r>
        <w:rPr>
          <w:rFonts w:hint="eastAsia"/>
          <w:color w:val="000000"/>
        </w:rPr>
        <w:t>，頁</w:t>
      </w:r>
      <w:r>
        <w:rPr>
          <w:color w:val="000000"/>
        </w:rPr>
        <w:t>96</w:t>
      </w:r>
      <w:r>
        <w:rPr>
          <w:rFonts w:hint="eastAsia"/>
          <w:color w:val="000000"/>
        </w:rPr>
        <w:t>、</w:t>
      </w:r>
      <w:r>
        <w:rPr>
          <w:color w:val="000000"/>
        </w:rPr>
        <w:t>99</w:t>
      </w:r>
      <w:r>
        <w:rPr>
          <w:rFonts w:hint="eastAsia"/>
          <w:color w:val="000000"/>
        </w:rPr>
        <w:t>、</w:t>
      </w:r>
      <w:r>
        <w:rPr>
          <w:color w:val="000000"/>
        </w:rPr>
        <w:t>101</w:t>
      </w:r>
      <w:r>
        <w:rPr>
          <w:rFonts w:hint="eastAsia"/>
          <w:color w:val="000000"/>
        </w:rPr>
        <w:t>。</w:t>
      </w:r>
    </w:p>
  </w:footnote>
  <w:footnote w:id="2">
    <w:p w:rsidR="00405D97" w:rsidRDefault="00405D97" w:rsidP="00405D97">
      <w:pPr>
        <w:pStyle w:val="ab"/>
        <w:ind w:left="200" w:hangingChars="100" w:hanging="200"/>
      </w:pPr>
      <w:r>
        <w:rPr>
          <w:rStyle w:val="ad"/>
        </w:rPr>
        <w:footnoteRef/>
      </w:r>
      <w:r>
        <w:t xml:space="preserve"> ROKUMON</w:t>
      </w:r>
      <w:r>
        <w:rPr>
          <w:rFonts w:hint="eastAsia"/>
        </w:rPr>
        <w:t>觀光列車</w:t>
      </w:r>
      <w:r>
        <w:t>(</w:t>
      </w:r>
      <w:r>
        <w:rPr>
          <w:rFonts w:ascii="Arial" w:hAnsi="Arial" w:cs="Arial" w:hint="eastAsia"/>
          <w:color w:val="4D5156"/>
          <w:sz w:val="21"/>
          <w:szCs w:val="21"/>
          <w:shd w:val="clear" w:color="auto" w:fill="FFFFFF"/>
        </w:rPr>
        <w:t>ろくもん</w:t>
      </w:r>
      <w:r>
        <w:t>)</w:t>
      </w:r>
      <w:r>
        <w:rPr>
          <w:rFonts w:hint="eastAsia"/>
        </w:rPr>
        <w:t>是日本信濃鐵道推出懷舊、嶄新且充滿樂趣的列車，從自然文化豐富的輕井澤出發，到歷史名城上田及善光寺周邊的長野，大人小孩可以共用喜悅的空間，並品嘗信州山珍美食的餐車，列車由水戶岡銳治設計。</w:t>
      </w:r>
    </w:p>
  </w:footnote>
  <w:footnote w:id="3">
    <w:p w:rsidR="00405D97" w:rsidRDefault="00405D97" w:rsidP="00405D97">
      <w:pPr>
        <w:pStyle w:val="ab"/>
      </w:pPr>
      <w:r>
        <w:rPr>
          <w:rStyle w:val="ad"/>
        </w:rPr>
        <w:footnoteRef/>
      </w:r>
      <w:r>
        <w:t xml:space="preserve"> </w:t>
      </w:r>
      <w:r>
        <w:rPr>
          <w:rFonts w:hint="eastAsia"/>
          <w:color w:val="000000"/>
        </w:rPr>
        <w:t>日本觀光火車，</w:t>
      </w:r>
      <w:r>
        <w:rPr>
          <w:color w:val="000000"/>
        </w:rPr>
        <w:t>Nikkei Design</w:t>
      </w:r>
      <w:r>
        <w:rPr>
          <w:rFonts w:hint="eastAsia"/>
          <w:color w:val="000000"/>
        </w:rPr>
        <w:t>編，陳柏瑤譯</w:t>
      </w:r>
      <w:r>
        <w:rPr>
          <w:color w:val="000000"/>
        </w:rPr>
        <w:t>(2017)</w:t>
      </w:r>
      <w:r>
        <w:rPr>
          <w:rFonts w:hint="eastAsia"/>
          <w:color w:val="000000"/>
        </w:rPr>
        <w:t>，頁</w:t>
      </w:r>
      <w:r>
        <w:rPr>
          <w:color w:val="000000"/>
        </w:rPr>
        <w:t>188</w:t>
      </w:r>
      <w:r>
        <w:rPr>
          <w:rFonts w:hint="eastAsia"/>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A9F8FD32"/>
    <w:lvl w:ilvl="0">
      <w:start w:val="6"/>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94"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1" w15:restartNumberingAfterBreak="0">
    <w:nsid w:val="3CFE143F"/>
    <w:multiLevelType w:val="hybridMultilevel"/>
    <w:tmpl w:val="7BDAD5B4"/>
    <w:lvl w:ilvl="0" w:tplc="10FE3198">
      <w:start w:val="1"/>
      <w:numFmt w:val="decimal"/>
      <w:pStyle w:val="a"/>
      <w:lvlText w:val="圖%1　"/>
      <w:lvlJc w:val="left"/>
      <w:pPr>
        <w:ind w:left="1757" w:hanging="480"/>
      </w:pPr>
      <w:rPr>
        <w:rFonts w:ascii="標楷體" w:eastAsia="標楷體" w:hAnsi="Times New Roman"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4A5F5684"/>
    <w:multiLevelType w:val="hybridMultilevel"/>
    <w:tmpl w:val="F496D27A"/>
    <w:lvl w:ilvl="0" w:tplc="21B6B414">
      <w:start w:val="1"/>
      <w:numFmt w:val="decimal"/>
      <w:pStyle w:val="a0"/>
      <w:lvlText w:val="表%1　"/>
      <w:lvlJc w:val="left"/>
      <w:pPr>
        <w:ind w:left="1898" w:hanging="480"/>
      </w:pPr>
      <w:rPr>
        <w:rFonts w:ascii="標楷體" w:eastAsia="標楷體" w:hAnsi="Times New Roman" w:hint="eastAsia"/>
        <w:b/>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8F"/>
    <w:rsid w:val="002D7E8F"/>
    <w:rsid w:val="00353764"/>
    <w:rsid w:val="00405D97"/>
    <w:rsid w:val="00503D84"/>
    <w:rsid w:val="008475C9"/>
    <w:rsid w:val="00880890"/>
    <w:rsid w:val="00B76817"/>
    <w:rsid w:val="00D12AE2"/>
    <w:rsid w:val="00F447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4ACA98-CC09-4F9D-9C92-C81AE9BE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style>
  <w:style w:type="paragraph" w:styleId="1">
    <w:name w:val="heading 1"/>
    <w:aliases w:val="題號1"/>
    <w:basedOn w:val="a1"/>
    <w:link w:val="10"/>
    <w:qFormat/>
    <w:rsid w:val="002D7E8F"/>
    <w:pPr>
      <w:numPr>
        <w:numId w:val="1"/>
      </w:numPr>
      <w:overflowPunct w:val="0"/>
      <w:autoSpaceDE w:val="0"/>
      <w:autoSpaceDN w:val="0"/>
      <w:jc w:val="both"/>
      <w:outlineLvl w:val="0"/>
    </w:pPr>
    <w:rPr>
      <w:rFonts w:ascii="標楷體" w:eastAsia="標楷體" w:hAnsi="Arial" w:cs="Times New Roman"/>
      <w:bCs/>
      <w:kern w:val="32"/>
      <w:sz w:val="32"/>
      <w:szCs w:val="52"/>
    </w:rPr>
  </w:style>
  <w:style w:type="paragraph" w:styleId="2">
    <w:name w:val="heading 2"/>
    <w:aliases w:val="標題110/111,節,節1"/>
    <w:basedOn w:val="a1"/>
    <w:link w:val="20"/>
    <w:qFormat/>
    <w:rsid w:val="002D7E8F"/>
    <w:pPr>
      <w:numPr>
        <w:ilvl w:val="1"/>
        <w:numId w:val="1"/>
      </w:numPr>
      <w:overflowPunct w:val="0"/>
      <w:autoSpaceDE w:val="0"/>
      <w:autoSpaceDN w:val="0"/>
      <w:jc w:val="both"/>
      <w:outlineLvl w:val="1"/>
    </w:pPr>
    <w:rPr>
      <w:rFonts w:ascii="標楷體" w:eastAsia="標楷體" w:hAnsi="Arial" w:cs="Times New Roman"/>
      <w:bCs/>
      <w:kern w:val="32"/>
      <w:sz w:val="32"/>
      <w:szCs w:val="48"/>
    </w:rPr>
  </w:style>
  <w:style w:type="paragraph" w:styleId="3">
    <w:name w:val="heading 3"/>
    <w:basedOn w:val="a1"/>
    <w:link w:val="30"/>
    <w:qFormat/>
    <w:rsid w:val="002D7E8F"/>
    <w:pPr>
      <w:numPr>
        <w:ilvl w:val="2"/>
        <w:numId w:val="1"/>
      </w:numPr>
      <w:overflowPunct w:val="0"/>
      <w:autoSpaceDE w:val="0"/>
      <w:autoSpaceDN w:val="0"/>
      <w:jc w:val="both"/>
      <w:outlineLvl w:val="2"/>
    </w:pPr>
    <w:rPr>
      <w:rFonts w:ascii="標楷體" w:eastAsia="標楷體" w:hAnsi="Arial" w:cs="Times New Roman"/>
      <w:bCs/>
      <w:kern w:val="32"/>
      <w:sz w:val="32"/>
      <w:szCs w:val="36"/>
    </w:rPr>
  </w:style>
  <w:style w:type="paragraph" w:styleId="4">
    <w:name w:val="heading 4"/>
    <w:basedOn w:val="a1"/>
    <w:link w:val="40"/>
    <w:qFormat/>
    <w:rsid w:val="002D7E8F"/>
    <w:pPr>
      <w:numPr>
        <w:ilvl w:val="3"/>
        <w:numId w:val="1"/>
      </w:numPr>
      <w:overflowPunct w:val="0"/>
      <w:autoSpaceDE w:val="0"/>
      <w:autoSpaceDN w:val="0"/>
      <w:jc w:val="both"/>
      <w:outlineLvl w:val="3"/>
    </w:pPr>
    <w:rPr>
      <w:rFonts w:ascii="標楷體" w:eastAsia="標楷體" w:hAnsi="Arial" w:cs="Times New Roman"/>
      <w:kern w:val="32"/>
      <w:sz w:val="32"/>
      <w:szCs w:val="36"/>
    </w:rPr>
  </w:style>
  <w:style w:type="paragraph" w:styleId="5">
    <w:name w:val="heading 5"/>
    <w:basedOn w:val="a1"/>
    <w:link w:val="50"/>
    <w:qFormat/>
    <w:rsid w:val="002D7E8F"/>
    <w:pPr>
      <w:numPr>
        <w:ilvl w:val="4"/>
        <w:numId w:val="1"/>
      </w:numPr>
      <w:overflowPunct w:val="0"/>
      <w:autoSpaceDE w:val="0"/>
      <w:autoSpaceDN w:val="0"/>
      <w:jc w:val="both"/>
      <w:outlineLvl w:val="4"/>
    </w:pPr>
    <w:rPr>
      <w:rFonts w:ascii="標楷體" w:eastAsia="標楷體" w:hAnsi="Arial" w:cs="Times New Roman"/>
      <w:bCs/>
      <w:kern w:val="32"/>
      <w:sz w:val="32"/>
      <w:szCs w:val="36"/>
    </w:rPr>
  </w:style>
  <w:style w:type="paragraph" w:styleId="6">
    <w:name w:val="heading 6"/>
    <w:basedOn w:val="a1"/>
    <w:link w:val="60"/>
    <w:qFormat/>
    <w:rsid w:val="002D7E8F"/>
    <w:pPr>
      <w:numPr>
        <w:ilvl w:val="5"/>
        <w:numId w:val="1"/>
      </w:numPr>
      <w:tabs>
        <w:tab w:val="left" w:pos="2094"/>
      </w:tabs>
      <w:overflowPunct w:val="0"/>
      <w:autoSpaceDE w:val="0"/>
      <w:autoSpaceDN w:val="0"/>
      <w:jc w:val="both"/>
      <w:outlineLvl w:val="5"/>
    </w:pPr>
    <w:rPr>
      <w:rFonts w:ascii="標楷體" w:eastAsia="標楷體" w:hAnsi="Arial" w:cs="Times New Roman"/>
      <w:kern w:val="32"/>
      <w:sz w:val="32"/>
      <w:szCs w:val="36"/>
    </w:rPr>
  </w:style>
  <w:style w:type="paragraph" w:styleId="7">
    <w:name w:val="heading 7"/>
    <w:basedOn w:val="a1"/>
    <w:link w:val="70"/>
    <w:uiPriority w:val="99"/>
    <w:qFormat/>
    <w:rsid w:val="002D7E8F"/>
    <w:pPr>
      <w:numPr>
        <w:ilvl w:val="6"/>
        <w:numId w:val="1"/>
      </w:numPr>
      <w:overflowPunct w:val="0"/>
      <w:autoSpaceDE w:val="0"/>
      <w:autoSpaceDN w:val="0"/>
      <w:jc w:val="both"/>
      <w:outlineLvl w:val="6"/>
    </w:pPr>
    <w:rPr>
      <w:rFonts w:ascii="標楷體" w:eastAsia="標楷體" w:hAnsi="Arial" w:cs="Times New Roman"/>
      <w:bCs/>
      <w:kern w:val="32"/>
      <w:sz w:val="32"/>
      <w:szCs w:val="36"/>
    </w:rPr>
  </w:style>
  <w:style w:type="paragraph" w:styleId="8">
    <w:name w:val="heading 8"/>
    <w:basedOn w:val="a1"/>
    <w:link w:val="80"/>
    <w:uiPriority w:val="99"/>
    <w:qFormat/>
    <w:rsid w:val="002D7E8F"/>
    <w:pPr>
      <w:numPr>
        <w:ilvl w:val="7"/>
        <w:numId w:val="1"/>
      </w:numPr>
      <w:overflowPunct w:val="0"/>
      <w:autoSpaceDE w:val="0"/>
      <w:autoSpaceDN w:val="0"/>
      <w:jc w:val="both"/>
      <w:outlineLvl w:val="7"/>
    </w:pPr>
    <w:rPr>
      <w:rFonts w:ascii="標楷體" w:eastAsia="標楷體" w:hAnsi="Arial" w:cs="Times New Roman"/>
      <w:kern w:val="32"/>
      <w:sz w:val="32"/>
      <w:szCs w:val="36"/>
    </w:rPr>
  </w:style>
  <w:style w:type="paragraph" w:styleId="9">
    <w:name w:val="heading 9"/>
    <w:basedOn w:val="a1"/>
    <w:link w:val="90"/>
    <w:uiPriority w:val="9"/>
    <w:unhideWhenUsed/>
    <w:qFormat/>
    <w:rsid w:val="002D7E8F"/>
    <w:pPr>
      <w:numPr>
        <w:ilvl w:val="8"/>
        <w:numId w:val="1"/>
      </w:numPr>
      <w:overflowPunct w:val="0"/>
      <w:autoSpaceDE w:val="0"/>
      <w:autoSpaceDN w:val="0"/>
      <w:jc w:val="both"/>
      <w:outlineLvl w:val="8"/>
    </w:pPr>
    <w:rPr>
      <w:rFonts w:ascii="標楷體" w:eastAsia="標楷體" w:hAnsiTheme="majorHAnsi" w:cstheme="majorBidi"/>
      <w:kern w:val="32"/>
      <w:sz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2D7E8F"/>
    <w:rPr>
      <w:rFonts w:ascii="標楷體" w:eastAsia="標楷體" w:hAnsi="Arial" w:cs="Times New Roman"/>
      <w:bCs/>
      <w:kern w:val="32"/>
      <w:sz w:val="32"/>
      <w:szCs w:val="52"/>
    </w:rPr>
  </w:style>
  <w:style w:type="character" w:customStyle="1" w:styleId="20">
    <w:name w:val="標題 2 字元"/>
    <w:aliases w:val="標題110/111 字元1,節 字元1,節1 字元1"/>
    <w:basedOn w:val="a2"/>
    <w:link w:val="2"/>
    <w:rsid w:val="002D7E8F"/>
    <w:rPr>
      <w:rFonts w:ascii="標楷體" w:eastAsia="標楷體" w:hAnsi="Arial" w:cs="Times New Roman"/>
      <w:bCs/>
      <w:kern w:val="32"/>
      <w:sz w:val="32"/>
      <w:szCs w:val="48"/>
    </w:rPr>
  </w:style>
  <w:style w:type="character" w:customStyle="1" w:styleId="30">
    <w:name w:val="標題 3 字元"/>
    <w:basedOn w:val="a2"/>
    <w:link w:val="3"/>
    <w:rsid w:val="002D7E8F"/>
    <w:rPr>
      <w:rFonts w:ascii="標楷體" w:eastAsia="標楷體" w:hAnsi="Arial" w:cs="Times New Roman"/>
      <w:bCs/>
      <w:kern w:val="32"/>
      <w:sz w:val="32"/>
      <w:szCs w:val="36"/>
    </w:rPr>
  </w:style>
  <w:style w:type="character" w:customStyle="1" w:styleId="40">
    <w:name w:val="標題 4 字元"/>
    <w:basedOn w:val="a2"/>
    <w:link w:val="4"/>
    <w:rsid w:val="002D7E8F"/>
    <w:rPr>
      <w:rFonts w:ascii="標楷體" w:eastAsia="標楷體" w:hAnsi="Arial" w:cs="Times New Roman"/>
      <w:kern w:val="32"/>
      <w:sz w:val="32"/>
      <w:szCs w:val="36"/>
    </w:rPr>
  </w:style>
  <w:style w:type="character" w:customStyle="1" w:styleId="50">
    <w:name w:val="標題 5 字元"/>
    <w:basedOn w:val="a2"/>
    <w:link w:val="5"/>
    <w:rsid w:val="002D7E8F"/>
    <w:rPr>
      <w:rFonts w:ascii="標楷體" w:eastAsia="標楷體" w:hAnsi="Arial" w:cs="Times New Roman"/>
      <w:bCs/>
      <w:kern w:val="32"/>
      <w:sz w:val="32"/>
      <w:szCs w:val="36"/>
    </w:rPr>
  </w:style>
  <w:style w:type="character" w:customStyle="1" w:styleId="60">
    <w:name w:val="標題 6 字元"/>
    <w:basedOn w:val="a2"/>
    <w:link w:val="6"/>
    <w:rsid w:val="002D7E8F"/>
    <w:rPr>
      <w:rFonts w:ascii="標楷體" w:eastAsia="標楷體" w:hAnsi="Arial" w:cs="Times New Roman"/>
      <w:kern w:val="32"/>
      <w:sz w:val="32"/>
      <w:szCs w:val="36"/>
    </w:rPr>
  </w:style>
  <w:style w:type="character" w:customStyle="1" w:styleId="70">
    <w:name w:val="標題 7 字元"/>
    <w:basedOn w:val="a2"/>
    <w:link w:val="7"/>
    <w:rsid w:val="002D7E8F"/>
    <w:rPr>
      <w:rFonts w:ascii="標楷體" w:eastAsia="標楷體" w:hAnsi="Arial" w:cs="Times New Roman"/>
      <w:bCs/>
      <w:kern w:val="32"/>
      <w:sz w:val="32"/>
      <w:szCs w:val="36"/>
    </w:rPr>
  </w:style>
  <w:style w:type="character" w:customStyle="1" w:styleId="80">
    <w:name w:val="標題 8 字元"/>
    <w:basedOn w:val="a2"/>
    <w:link w:val="8"/>
    <w:rsid w:val="002D7E8F"/>
    <w:rPr>
      <w:rFonts w:ascii="標楷體" w:eastAsia="標楷體" w:hAnsi="Arial" w:cs="Times New Roman"/>
      <w:kern w:val="32"/>
      <w:sz w:val="32"/>
      <w:szCs w:val="36"/>
    </w:rPr>
  </w:style>
  <w:style w:type="character" w:customStyle="1" w:styleId="90">
    <w:name w:val="標題 9 字元"/>
    <w:basedOn w:val="a2"/>
    <w:link w:val="9"/>
    <w:uiPriority w:val="9"/>
    <w:rsid w:val="002D7E8F"/>
    <w:rPr>
      <w:rFonts w:ascii="標楷體" w:eastAsia="標楷體" w:hAnsiTheme="majorHAnsi" w:cstheme="majorBidi"/>
      <w:kern w:val="32"/>
      <w:sz w:val="32"/>
      <w:szCs w:val="36"/>
    </w:rPr>
  </w:style>
  <w:style w:type="paragraph" w:styleId="a5">
    <w:name w:val="Signature"/>
    <w:basedOn w:val="a1"/>
    <w:link w:val="a6"/>
    <w:semiHidden/>
    <w:rsid w:val="002D7E8F"/>
    <w:pPr>
      <w:overflowPunct w:val="0"/>
      <w:autoSpaceDE w:val="0"/>
      <w:autoSpaceDN w:val="0"/>
      <w:spacing w:before="720" w:after="720"/>
      <w:ind w:left="7371"/>
      <w:jc w:val="both"/>
    </w:pPr>
    <w:rPr>
      <w:rFonts w:ascii="標楷體" w:eastAsia="標楷體" w:hAnsi="Times New Roman" w:cs="Times New Roman"/>
      <w:b/>
      <w:snapToGrid w:val="0"/>
      <w:spacing w:val="10"/>
      <w:sz w:val="36"/>
      <w:szCs w:val="20"/>
    </w:rPr>
  </w:style>
  <w:style w:type="character" w:customStyle="1" w:styleId="a6">
    <w:name w:val="簽名 字元"/>
    <w:basedOn w:val="a2"/>
    <w:link w:val="a5"/>
    <w:semiHidden/>
    <w:rsid w:val="002D7E8F"/>
    <w:rPr>
      <w:rFonts w:ascii="標楷體" w:eastAsia="標楷體" w:hAnsi="Times New Roman" w:cs="Times New Roman"/>
      <w:b/>
      <w:snapToGrid w:val="0"/>
      <w:spacing w:val="10"/>
      <w:sz w:val="36"/>
      <w:szCs w:val="20"/>
    </w:rPr>
  </w:style>
  <w:style w:type="paragraph" w:customStyle="1" w:styleId="11">
    <w:name w:val="段落樣式1"/>
    <w:basedOn w:val="a1"/>
    <w:uiPriority w:val="99"/>
    <w:qFormat/>
    <w:rsid w:val="002D7E8F"/>
    <w:pPr>
      <w:tabs>
        <w:tab w:val="left" w:pos="567"/>
      </w:tabs>
      <w:overflowPunct w:val="0"/>
      <w:autoSpaceDE w:val="0"/>
      <w:autoSpaceDN w:val="0"/>
      <w:ind w:leftChars="200" w:left="200" w:firstLineChars="200" w:firstLine="200"/>
      <w:jc w:val="both"/>
    </w:pPr>
    <w:rPr>
      <w:rFonts w:ascii="標楷體" w:eastAsia="標楷體" w:hAnsi="Times New Roman" w:cs="Times New Roman"/>
      <w:kern w:val="32"/>
      <w:sz w:val="32"/>
      <w:szCs w:val="20"/>
    </w:rPr>
  </w:style>
  <w:style w:type="paragraph" w:styleId="a7">
    <w:name w:val="header"/>
    <w:basedOn w:val="a1"/>
    <w:link w:val="a8"/>
    <w:uiPriority w:val="99"/>
    <w:unhideWhenUsed/>
    <w:rsid w:val="002D7E8F"/>
    <w:pPr>
      <w:tabs>
        <w:tab w:val="center" w:pos="4153"/>
        <w:tab w:val="right" w:pos="8306"/>
      </w:tabs>
      <w:snapToGrid w:val="0"/>
    </w:pPr>
    <w:rPr>
      <w:sz w:val="20"/>
      <w:szCs w:val="20"/>
    </w:rPr>
  </w:style>
  <w:style w:type="character" w:customStyle="1" w:styleId="a8">
    <w:name w:val="頁首 字元"/>
    <w:basedOn w:val="a2"/>
    <w:link w:val="a7"/>
    <w:uiPriority w:val="99"/>
    <w:rsid w:val="002D7E8F"/>
    <w:rPr>
      <w:sz w:val="20"/>
      <w:szCs w:val="20"/>
    </w:rPr>
  </w:style>
  <w:style w:type="paragraph" w:styleId="a9">
    <w:name w:val="footer"/>
    <w:basedOn w:val="a1"/>
    <w:link w:val="aa"/>
    <w:uiPriority w:val="99"/>
    <w:unhideWhenUsed/>
    <w:rsid w:val="002D7E8F"/>
    <w:pPr>
      <w:tabs>
        <w:tab w:val="center" w:pos="4153"/>
        <w:tab w:val="right" w:pos="8306"/>
      </w:tabs>
      <w:snapToGrid w:val="0"/>
    </w:pPr>
    <w:rPr>
      <w:sz w:val="20"/>
      <w:szCs w:val="20"/>
    </w:rPr>
  </w:style>
  <w:style w:type="character" w:customStyle="1" w:styleId="aa">
    <w:name w:val="頁尾 字元"/>
    <w:basedOn w:val="a2"/>
    <w:link w:val="a9"/>
    <w:uiPriority w:val="99"/>
    <w:rsid w:val="002D7E8F"/>
    <w:rPr>
      <w:sz w:val="20"/>
      <w:szCs w:val="20"/>
    </w:rPr>
  </w:style>
  <w:style w:type="paragraph" w:styleId="ab">
    <w:name w:val="footnote text"/>
    <w:basedOn w:val="a1"/>
    <w:link w:val="ac"/>
    <w:uiPriority w:val="99"/>
    <w:semiHidden/>
    <w:unhideWhenUsed/>
    <w:rsid w:val="00405D97"/>
    <w:pPr>
      <w:snapToGrid w:val="0"/>
    </w:pPr>
    <w:rPr>
      <w:rFonts w:ascii="Times New Roman" w:eastAsia="標楷體" w:hAnsi="Times New Roman" w:cs="Times New Roman"/>
      <w:sz w:val="20"/>
      <w:szCs w:val="20"/>
    </w:rPr>
  </w:style>
  <w:style w:type="character" w:customStyle="1" w:styleId="ac">
    <w:name w:val="註腳文字 字元"/>
    <w:basedOn w:val="a2"/>
    <w:link w:val="ab"/>
    <w:uiPriority w:val="99"/>
    <w:semiHidden/>
    <w:rsid w:val="00405D97"/>
    <w:rPr>
      <w:rFonts w:ascii="Times New Roman" w:eastAsia="標楷體" w:hAnsi="Times New Roman" w:cs="Times New Roman"/>
      <w:sz w:val="20"/>
      <w:szCs w:val="20"/>
    </w:rPr>
  </w:style>
  <w:style w:type="paragraph" w:customStyle="1" w:styleId="a0">
    <w:name w:val="表標題"/>
    <w:uiPriority w:val="99"/>
    <w:semiHidden/>
    <w:qFormat/>
    <w:rsid w:val="00405D97"/>
    <w:pPr>
      <w:keepNext/>
      <w:widowControl w:val="0"/>
      <w:numPr>
        <w:numId w:val="3"/>
      </w:numPr>
      <w:kinsoku w:val="0"/>
      <w:overflowPunct w:val="0"/>
      <w:autoSpaceDE w:val="0"/>
      <w:autoSpaceDN w:val="0"/>
      <w:adjustRightInd w:val="0"/>
      <w:snapToGrid w:val="0"/>
      <w:spacing w:before="240" w:after="40" w:line="360" w:lineRule="exact"/>
      <w:jc w:val="both"/>
    </w:pPr>
    <w:rPr>
      <w:rFonts w:ascii="標楷體" w:eastAsia="標楷體" w:hAnsi="華康楷書體W5(P)" w:cs="Times New Roman"/>
      <w:bCs/>
      <w:spacing w:val="-10"/>
      <w:kern w:val="28"/>
      <w:sz w:val="28"/>
      <w:szCs w:val="28"/>
    </w:rPr>
  </w:style>
  <w:style w:type="paragraph" w:customStyle="1" w:styleId="a">
    <w:name w:val="圖標題"/>
    <w:basedOn w:val="a1"/>
    <w:uiPriority w:val="99"/>
    <w:semiHidden/>
    <w:qFormat/>
    <w:rsid w:val="00405D97"/>
    <w:pPr>
      <w:numPr>
        <w:numId w:val="4"/>
      </w:numPr>
      <w:overflowPunct w:val="0"/>
      <w:autoSpaceDE w:val="0"/>
      <w:autoSpaceDN w:val="0"/>
      <w:adjustRightInd w:val="0"/>
      <w:snapToGrid w:val="0"/>
      <w:spacing w:before="40" w:after="240" w:line="360" w:lineRule="exact"/>
      <w:jc w:val="center"/>
    </w:pPr>
    <w:rPr>
      <w:rFonts w:ascii="標楷體" w:eastAsia="標楷體" w:hAnsi="華康楷書體W5(P)" w:cs="Times New Roman"/>
      <w:bCs/>
      <w:spacing w:val="-10"/>
      <w:kern w:val="28"/>
      <w:sz w:val="28"/>
      <w:szCs w:val="28"/>
    </w:rPr>
  </w:style>
  <w:style w:type="character" w:styleId="ad">
    <w:name w:val="footnote reference"/>
    <w:uiPriority w:val="99"/>
    <w:semiHidden/>
    <w:unhideWhenUsed/>
    <w:rsid w:val="00405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3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2049</Words>
  <Characters>11681</Characters>
  <Application>Microsoft Office Word</Application>
  <DocSecurity>0</DocSecurity>
  <Lines>97</Lines>
  <Paragraphs>27</Paragraphs>
  <ScaleCrop>false</ScaleCrop>
  <Company/>
  <LinksUpToDate>false</LinksUpToDate>
  <CharactersWithSpaces>13703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蕭曉娟</dc:creator>
  <cp:keywords/>
  <dc:description/>
  <cp:lastModifiedBy>吳姿嫺</cp:lastModifiedBy>
  <cp:revision>3</cp:revision>
  <dcterms:created xsi:type="dcterms:W3CDTF">2020-07-15T07:45:00Z</dcterms:created>
  <dcterms:modified xsi:type="dcterms:W3CDTF">2020-07-15T07:49:00Z</dcterms:modified>
</cp:coreProperties>
</file>