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6"/>
      </w:pPr>
      <w:r w:rsidRPr="004D141F">
        <w:rPr>
          <w:rFonts w:hint="eastAsia"/>
        </w:rPr>
        <w:t>調查報告</w:t>
      </w:r>
    </w:p>
    <w:p w:rsidR="00E25849" w:rsidRPr="006A015A"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6A015A">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05836" w:rsidRPr="006A015A">
        <w:rPr>
          <w:rFonts w:hAnsi="標楷體" w:hint="eastAsia"/>
          <w:szCs w:val="32"/>
        </w:rPr>
        <w:t>據訴，為蕭賢綸被訴公共危險案件，臺灣高等法院98年度交上訴字第169號判決，率予撤銷原審有罪判決而改判無罪，詎臺灣高等檢察署檢察官未提起上訴致無罪定讞，疑涉集體包庇等情案。</w:t>
      </w:r>
    </w:p>
    <w:p w:rsidR="00E25849" w:rsidRPr="006A015A"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6A015A">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6A015A" w:rsidRDefault="00883688" w:rsidP="00A639F4">
      <w:pPr>
        <w:pStyle w:val="11"/>
        <w:ind w:left="680" w:firstLine="680"/>
      </w:pPr>
      <w:bookmarkStart w:id="49" w:name="_Toc524902730"/>
      <w:r w:rsidRPr="006A015A">
        <w:rPr>
          <w:rFonts w:hint="eastAsia"/>
        </w:rPr>
        <w:t>本案經調閱臺灣基隆地方檢察署（下稱基隆地檢署）、臺灣臺北地方檢察署(下稱臺北地檢署)、臺灣高等檢察署（下稱臺灣高檢署）、最高檢察署及司法院等機關卷證資料，並於民國(下同)108年10月4日舉辦諮詢會，邀請</w:t>
      </w:r>
      <w:r w:rsidRPr="006A015A">
        <w:rPr>
          <w:rFonts w:hAnsi="標楷體" w:hint="eastAsia"/>
          <w:kern w:val="0"/>
          <w:szCs w:val="32"/>
        </w:rPr>
        <w:t>學者專家，復於109年3月9日詢問司法院副秘書長葉麗霞及法務部政務次長陳明堂等人，</w:t>
      </w:r>
      <w:r w:rsidR="00FB501B" w:rsidRPr="006A015A">
        <w:rPr>
          <w:rFonts w:hint="eastAsia"/>
        </w:rPr>
        <w:t>已調查竣</w:t>
      </w:r>
      <w:r w:rsidR="00307A76" w:rsidRPr="006A015A">
        <w:rPr>
          <w:rFonts w:hint="eastAsia"/>
        </w:rPr>
        <w:t>事</w:t>
      </w:r>
      <w:r w:rsidR="00FB501B" w:rsidRPr="006A015A">
        <w:rPr>
          <w:rFonts w:hint="eastAsia"/>
        </w:rPr>
        <w:t>，</w:t>
      </w:r>
      <w:r w:rsidR="00307A76" w:rsidRPr="006A015A">
        <w:rPr>
          <w:rFonts w:hint="eastAsia"/>
        </w:rPr>
        <w:t>茲臚</w:t>
      </w:r>
      <w:r w:rsidR="00FB501B" w:rsidRPr="006A015A">
        <w:rPr>
          <w:rFonts w:hint="eastAsia"/>
        </w:rPr>
        <w:t>列調查意見如下：</w:t>
      </w:r>
    </w:p>
    <w:p w:rsidR="00073CB5" w:rsidRPr="006A015A" w:rsidRDefault="008A5ED6" w:rsidP="00F26587">
      <w:pPr>
        <w:pStyle w:val="2"/>
        <w:ind w:left="1020" w:hanging="680"/>
        <w:rPr>
          <w:b/>
        </w:rPr>
      </w:pPr>
      <w:r w:rsidRPr="006A015A">
        <w:rPr>
          <w:rFonts w:hint="eastAsia"/>
          <w:b/>
        </w:rPr>
        <w:t>最高法院前法官蕭仰歸之子蕭賢綸肇事逃逸案，</w:t>
      </w:r>
      <w:r w:rsidR="00883688" w:rsidRPr="006A015A">
        <w:rPr>
          <w:rFonts w:hint="eastAsia"/>
          <w:b/>
        </w:rPr>
        <w:t>臺灣高院</w:t>
      </w:r>
      <w:r w:rsidR="00883688" w:rsidRPr="006A015A">
        <w:rPr>
          <w:rFonts w:hAnsi="標楷體" w:hint="eastAsia"/>
          <w:b/>
          <w:szCs w:val="32"/>
        </w:rPr>
        <w:t>98年度交上訴字第169號判決</w:t>
      </w:r>
      <w:r w:rsidR="00883688" w:rsidRPr="006A015A">
        <w:rPr>
          <w:rFonts w:hint="eastAsia"/>
          <w:b/>
        </w:rPr>
        <w:t>無罪，惟臺灣高檢署檢察</w:t>
      </w:r>
      <w:r w:rsidRPr="006A015A">
        <w:rPr>
          <w:rFonts w:hint="eastAsia"/>
          <w:b/>
        </w:rPr>
        <w:t>官</w:t>
      </w:r>
      <w:r w:rsidR="00883688" w:rsidRPr="006A015A">
        <w:rPr>
          <w:rFonts w:hint="eastAsia"/>
          <w:b/>
        </w:rPr>
        <w:t>壽勤偉未予上訴，故而判決確定。</w:t>
      </w:r>
      <w:r w:rsidR="00BD5E8B" w:rsidRPr="006A015A">
        <w:rPr>
          <w:rFonts w:hint="eastAsia"/>
          <w:b/>
        </w:rPr>
        <w:t>嗣經檢察總長提起非常上訴，最高法院判決駁回非常上訴在案。</w:t>
      </w:r>
      <w:r w:rsidR="00247491" w:rsidRPr="006A015A">
        <w:rPr>
          <w:rFonts w:hint="eastAsia"/>
          <w:b/>
        </w:rPr>
        <w:t>另</w:t>
      </w:r>
      <w:r w:rsidR="00883688" w:rsidRPr="006A015A">
        <w:rPr>
          <w:rFonts w:hint="eastAsia"/>
          <w:b/>
        </w:rPr>
        <w:t>本院彈劾最高法院前法官蕭仰歸及臺灣高院前法官高明哲之關說行為，經公務員懲戒委員會</w:t>
      </w:r>
      <w:r w:rsidRPr="006A015A">
        <w:rPr>
          <w:rFonts w:hint="eastAsia"/>
          <w:b/>
        </w:rPr>
        <w:t>議</w:t>
      </w:r>
      <w:r w:rsidR="00883688" w:rsidRPr="006A015A">
        <w:rPr>
          <w:rFonts w:hint="eastAsia"/>
          <w:b/>
        </w:rPr>
        <w:t>決</w:t>
      </w:r>
      <w:r w:rsidR="00247491" w:rsidRPr="006A015A">
        <w:rPr>
          <w:rFonts w:hint="eastAsia"/>
          <w:b/>
        </w:rPr>
        <w:t>，蕭仰歸休職期間6月，高明哲降2級改敘</w:t>
      </w:r>
      <w:r w:rsidR="00BD5E8B" w:rsidRPr="006A015A">
        <w:rPr>
          <w:rFonts w:hint="eastAsia"/>
          <w:b/>
        </w:rPr>
        <w:t>，合先敘明</w:t>
      </w:r>
      <w:r w:rsidR="00247491" w:rsidRPr="006A015A">
        <w:rPr>
          <w:rFonts w:hint="eastAsia"/>
          <w:b/>
        </w:rPr>
        <w:t>。</w:t>
      </w:r>
    </w:p>
    <w:p w:rsidR="00502A4C" w:rsidRPr="006A015A" w:rsidRDefault="00502A4C" w:rsidP="00581D4C">
      <w:pPr>
        <w:pStyle w:val="3"/>
        <w:ind w:left="1360" w:hanging="680"/>
      </w:pPr>
      <w:r w:rsidRPr="006A015A">
        <w:rPr>
          <w:rFonts w:hAnsi="標楷體" w:hint="eastAsia"/>
          <w:szCs w:val="32"/>
        </w:rPr>
        <w:t>被告蕭賢綸被訴肇事逃逸之犯罪事實，</w:t>
      </w:r>
      <w:r w:rsidRPr="006A015A">
        <w:rPr>
          <w:rFonts w:hint="eastAsia"/>
        </w:rPr>
        <w:t>被告蕭賢綸於97年10月6日上午，駕駛車牌號碼9Ｗ－</w:t>
      </w:r>
      <w:r w:rsidR="008B50E7">
        <w:t>0000</w:t>
      </w:r>
      <w:r w:rsidRPr="006A015A">
        <w:rPr>
          <w:rFonts w:hint="eastAsia"/>
        </w:rPr>
        <w:t>號自用小客車，沿基隆市○○區○○路由東南往西北方向行駛，欲前往國立海洋大學上課，於同日上午7時55分許途經該路334巷口而超越在同車道右前方由</w:t>
      </w:r>
      <w:r w:rsidR="00CD2D79">
        <w:rPr>
          <w:rFonts w:hint="eastAsia"/>
        </w:rPr>
        <w:t>陳○秋</w:t>
      </w:r>
      <w:r w:rsidRPr="006A015A">
        <w:rPr>
          <w:rFonts w:hint="eastAsia"/>
        </w:rPr>
        <w:t>所騎乘車號AF5－</w:t>
      </w:r>
      <w:r w:rsidR="002841FA">
        <w:t>000</w:t>
      </w:r>
      <w:r w:rsidRPr="006A015A">
        <w:rPr>
          <w:rFonts w:hint="eastAsia"/>
        </w:rPr>
        <w:t>號之重型機車時，其所駕駛汽車之右後視鏡先與陳</w:t>
      </w:r>
      <w:r w:rsidR="00CD2D79">
        <w:rPr>
          <w:rFonts w:hAnsi="標楷體" w:hint="eastAsia"/>
        </w:rPr>
        <w:t>○</w:t>
      </w:r>
      <w:r w:rsidRPr="006A015A">
        <w:rPr>
          <w:rFonts w:hint="eastAsia"/>
        </w:rPr>
        <w:t>秋所騎乘機車之左手把發生擦撞，其作用力除使蕭賢綸所駕駛汽車之右</w:t>
      </w:r>
      <w:r w:rsidRPr="006A015A">
        <w:rPr>
          <w:rFonts w:hint="eastAsia"/>
        </w:rPr>
        <w:lastRenderedPageBreak/>
        <w:t>後視鏡折回外，並導致</w:t>
      </w:r>
      <w:r w:rsidR="00CD2D79">
        <w:rPr>
          <w:rFonts w:hint="eastAsia"/>
        </w:rPr>
        <w:t>陳○秋</w:t>
      </w:r>
      <w:r w:rsidRPr="006A015A">
        <w:rPr>
          <w:rFonts w:hint="eastAsia"/>
        </w:rPr>
        <w:t>人車重心不穩而速度放慢，其右側車尾部分再與</w:t>
      </w:r>
      <w:r w:rsidR="00CD2D79">
        <w:rPr>
          <w:rFonts w:hint="eastAsia"/>
        </w:rPr>
        <w:t>陳○秋</w:t>
      </w:r>
      <w:r w:rsidRPr="006A015A">
        <w:rPr>
          <w:rFonts w:hint="eastAsia"/>
        </w:rPr>
        <w:t>所騎乘機車左側車身部分擦撞，致</w:t>
      </w:r>
      <w:r w:rsidR="00CD2D79">
        <w:rPr>
          <w:rFonts w:hint="eastAsia"/>
        </w:rPr>
        <w:t>陳○秋</w:t>
      </w:r>
      <w:r w:rsidRPr="006A015A">
        <w:rPr>
          <w:rFonts w:hint="eastAsia"/>
        </w:rPr>
        <w:t>無法回穩而人車倒地，並受有急性腰部及頸挫傷、腦震盪等傷害，蕭賢綸於肇事後，明知</w:t>
      </w:r>
      <w:r w:rsidR="00CD2D79">
        <w:rPr>
          <w:rFonts w:hint="eastAsia"/>
        </w:rPr>
        <w:t>陳○秋</w:t>
      </w:r>
      <w:r w:rsidRPr="006A015A">
        <w:rPr>
          <w:rFonts w:hint="eastAsia"/>
        </w:rPr>
        <w:t>倒地受傷，竟未停車採取救護措施，而基於肇事逃逸之犯意，仍繼續駕車行進，至前方約60公尺過正榮街口之中正路靠右側路旁停車，並於車內觀察</w:t>
      </w:r>
      <w:r w:rsidR="00CD2D79">
        <w:rPr>
          <w:rFonts w:hint="eastAsia"/>
        </w:rPr>
        <w:t>陳○秋</w:t>
      </w:r>
      <w:r w:rsidRPr="006A015A">
        <w:rPr>
          <w:rFonts w:hint="eastAsia"/>
        </w:rPr>
        <w:t>倒地位置約3秒鐘後，仍未報警或下車採取任何必要措施，隨即再度起駛離去。</w:t>
      </w:r>
    </w:p>
    <w:p w:rsidR="00073CB5" w:rsidRPr="006A015A" w:rsidRDefault="00502A4C" w:rsidP="00581D4C">
      <w:pPr>
        <w:pStyle w:val="3"/>
        <w:ind w:left="1360" w:hanging="680"/>
      </w:pPr>
      <w:r w:rsidRPr="006A015A">
        <w:rPr>
          <w:rFonts w:hAnsi="標楷體" w:hint="eastAsia"/>
          <w:szCs w:val="32"/>
        </w:rPr>
        <w:t>被告蕭賢綸因</w:t>
      </w:r>
      <w:r w:rsidRPr="006A015A">
        <w:rPr>
          <w:rFonts w:hint="eastAsia"/>
        </w:rPr>
        <w:t>肇事</w:t>
      </w:r>
      <w:r w:rsidRPr="006A015A">
        <w:rPr>
          <w:rFonts w:hAnsi="標楷體" w:hint="eastAsia"/>
          <w:szCs w:val="32"/>
        </w:rPr>
        <w:t>逃逸案件，經檢察官提起公訴，臺灣基隆地方法院（下稱基隆地院）98年度交訴字第20號判決主文：「蕭賢綸駕駛動力交通工具肇事，致人受傷而逃逸，處有期徒刑6月，如易科罰金，以新臺幣1仟元折算1日，緩刑2年，並應於本判決確定之翌日起6個月內，依檢察官之命令，向公庫支付新臺幣（下同）3萬元。」被告蕭賢綸不服提起上訴，</w:t>
      </w:r>
      <w:r w:rsidRPr="006A015A">
        <w:rPr>
          <w:rFonts w:hint="eastAsia"/>
        </w:rPr>
        <w:t>臺灣高院</w:t>
      </w:r>
      <w:r w:rsidRPr="006A015A">
        <w:rPr>
          <w:rFonts w:hAnsi="標楷體" w:hint="eastAsia"/>
          <w:szCs w:val="32"/>
        </w:rPr>
        <w:t>98年度交上訴字第169號判決，撤銷原判決，改判蕭賢綸無罪。</w:t>
      </w:r>
    </w:p>
    <w:p w:rsidR="00502A4C" w:rsidRPr="006A015A" w:rsidRDefault="000A372B" w:rsidP="00581D4C">
      <w:pPr>
        <w:pStyle w:val="3"/>
        <w:ind w:left="1360" w:hanging="680"/>
      </w:pPr>
      <w:r w:rsidRPr="006A015A">
        <w:rPr>
          <w:rFonts w:hint="eastAsia"/>
        </w:rPr>
        <w:t>本案係臺灣高檢署檢察官吳茂松及壽勤偉共同蒞庭，壽勤偉檢察官於99年2月4日接獲臺灣高院98年度交上訴字第169號刑事判決，認第二審法院判決撤銷第一審法院判決之理由</w:t>
      </w:r>
      <w:r w:rsidR="00581D4C" w:rsidRPr="006A015A">
        <w:rPr>
          <w:rFonts w:hint="eastAsia"/>
        </w:rPr>
        <w:t>，</w:t>
      </w:r>
      <w:r w:rsidRPr="006A015A">
        <w:rPr>
          <w:rFonts w:hint="eastAsia"/>
        </w:rPr>
        <w:t>係基於事實認定之爭議，而非判決違背法令，因而未提出上訴。</w:t>
      </w:r>
    </w:p>
    <w:p w:rsidR="00581D4C" w:rsidRPr="006A015A" w:rsidRDefault="00581D4C" w:rsidP="00581D4C">
      <w:pPr>
        <w:pStyle w:val="4"/>
        <w:ind w:left="1701"/>
      </w:pPr>
      <w:r w:rsidRPr="006A015A">
        <w:rPr>
          <w:rFonts w:hint="eastAsia"/>
        </w:rPr>
        <w:t>證人</w:t>
      </w:r>
      <w:r w:rsidR="00CD2D79">
        <w:rPr>
          <w:rFonts w:hint="eastAsia"/>
        </w:rPr>
        <w:t>陳○秋</w:t>
      </w:r>
      <w:r w:rsidRPr="006A015A">
        <w:rPr>
          <w:rFonts w:hint="eastAsia"/>
        </w:rPr>
        <w:t>、</w:t>
      </w:r>
      <w:r w:rsidR="00CD2D79">
        <w:rPr>
          <w:rFonts w:hint="eastAsia"/>
        </w:rPr>
        <w:t>廖○翔</w:t>
      </w:r>
      <w:r w:rsidRPr="006A015A">
        <w:rPr>
          <w:rFonts w:hint="eastAsia"/>
        </w:rPr>
        <w:t>自警詢迄偵審中亦從未指證被告有「明知」駕車肇事仍不救護被害人</w:t>
      </w:r>
      <w:r w:rsidR="00CD2D79">
        <w:rPr>
          <w:rFonts w:hint="eastAsia"/>
        </w:rPr>
        <w:t>陳○秋</w:t>
      </w:r>
      <w:r w:rsidRPr="006A015A">
        <w:rPr>
          <w:rFonts w:hint="eastAsia"/>
        </w:rPr>
        <w:t>，而逕行逃離之事實，從而認原審以上開2證人證詞認被告蕭賢綸無「明知」駕車肇事仍不救護被害人</w:t>
      </w:r>
      <w:r w:rsidR="00CD2D79">
        <w:rPr>
          <w:rFonts w:hint="eastAsia"/>
        </w:rPr>
        <w:t>陳○秋</w:t>
      </w:r>
      <w:r w:rsidRPr="006A015A">
        <w:rPr>
          <w:rFonts w:hint="eastAsia"/>
        </w:rPr>
        <w:t>，而逕行逃離之事實，其推論尚屬合理，亦難認係判決違背法令，</w:t>
      </w:r>
      <w:r w:rsidR="008A2DA3" w:rsidRPr="006A015A">
        <w:rPr>
          <w:rFonts w:hint="eastAsia"/>
        </w:rPr>
        <w:t>又臺灣高院承審合議庭法官採信證人之證詞，係屬其自由心證裁量</w:t>
      </w:r>
      <w:r w:rsidR="008A2DA3" w:rsidRPr="006A015A">
        <w:rPr>
          <w:rFonts w:hint="eastAsia"/>
        </w:rPr>
        <w:lastRenderedPageBreak/>
        <w:t>權之行使，無從作為第三審上訴之理由。</w:t>
      </w:r>
    </w:p>
    <w:p w:rsidR="00581D4C" w:rsidRPr="006A015A" w:rsidRDefault="00581D4C" w:rsidP="00581D4C">
      <w:pPr>
        <w:pStyle w:val="4"/>
        <w:ind w:left="1701"/>
      </w:pPr>
      <w:r w:rsidRPr="006A015A">
        <w:rPr>
          <w:rFonts w:hint="eastAsia"/>
        </w:rPr>
        <w:t>是認本案係為車輛是否有擦撞事實之爭議，由於係事實認定之爭議，即難認有違背法令情事。</w:t>
      </w:r>
    </w:p>
    <w:p w:rsidR="007D2C52" w:rsidRPr="006A015A" w:rsidRDefault="007D2C52" w:rsidP="007D2C52">
      <w:pPr>
        <w:pStyle w:val="3"/>
        <w:ind w:left="1360" w:hanging="680"/>
      </w:pPr>
      <w:r w:rsidRPr="006A015A">
        <w:rPr>
          <w:rFonts w:hint="eastAsia"/>
        </w:rPr>
        <w:t>本案嗣經檢察總長</w:t>
      </w:r>
      <w:r w:rsidR="005023B8" w:rsidRPr="006A015A">
        <w:rPr>
          <w:rFonts w:hAnsi="標楷體" w:cs="新細明體" w:hint="eastAsia"/>
          <w:kern w:val="0"/>
          <w:szCs w:val="32"/>
        </w:rPr>
        <w:t>於100年4月22日</w:t>
      </w:r>
      <w:r w:rsidRPr="006A015A">
        <w:rPr>
          <w:rFonts w:hint="eastAsia"/>
        </w:rPr>
        <w:t>提起非常上訴，以臺灣高院審認被告蕭賢綸如已明知肇事起意逃逸，自應駕車加速離開，無停車觀察之必要，忽視被告未必故意之心態，逕認被告未明知肇事，即不論其肇事逃逸罪責，其採證認事顯與證據法則有悖，原判決撤銷第一審有罪判決，遽為被告無駕車肇事逃逸犯行，有應調查之證據未為調查、採證認事與卷內資料未合及違背經驗、論理法則之違背法令。</w:t>
      </w:r>
      <w:r w:rsidR="008B0CFB" w:rsidRPr="006A015A">
        <w:rPr>
          <w:rFonts w:hint="eastAsia"/>
        </w:rPr>
        <w:t>最高法院</w:t>
      </w:r>
      <w:r w:rsidR="00196650" w:rsidRPr="006A015A">
        <w:rPr>
          <w:rFonts w:hint="eastAsia"/>
        </w:rPr>
        <w:t>於100年7月5日</w:t>
      </w:r>
      <w:r w:rsidR="008B0CFB" w:rsidRPr="006A015A">
        <w:rPr>
          <w:rFonts w:hint="eastAsia"/>
        </w:rPr>
        <w:t>以「審認非不利於被告之原確定判決，就個案之採證、認事是否違背經驗法則及論理法則，並未涉及法律見解之統一，欠缺原則上之重要性或爭議，亦無提起非常上訴之必要。」為由駁回非常上訴。</w:t>
      </w:r>
    </w:p>
    <w:p w:rsidR="00351A2B" w:rsidRPr="006A015A" w:rsidRDefault="00351A2B" w:rsidP="008B0CFB">
      <w:pPr>
        <w:pStyle w:val="3"/>
        <w:ind w:left="1360" w:hanging="680"/>
      </w:pPr>
      <w:r w:rsidRPr="006A015A">
        <w:rPr>
          <w:rFonts w:hAnsi="標楷體" w:hint="eastAsia"/>
          <w:szCs w:val="32"/>
        </w:rPr>
        <w:t>本院前案調查</w:t>
      </w:r>
      <w:r w:rsidRPr="006A015A">
        <w:rPr>
          <w:rFonts w:hint="eastAsia"/>
        </w:rPr>
        <w:t>：</w:t>
      </w:r>
    </w:p>
    <w:p w:rsidR="00351A2B" w:rsidRPr="006A015A" w:rsidRDefault="00351A2B" w:rsidP="00351A2B">
      <w:pPr>
        <w:pStyle w:val="4"/>
        <w:ind w:left="1701"/>
      </w:pPr>
      <w:r w:rsidRPr="006A015A">
        <w:rPr>
          <w:rFonts w:hint="eastAsia"/>
        </w:rPr>
        <w:t>蕭仰歸之關說行為：</w:t>
      </w:r>
    </w:p>
    <w:p w:rsidR="00351A2B" w:rsidRPr="006A015A" w:rsidRDefault="00351A2B" w:rsidP="00351A2B">
      <w:pPr>
        <w:pStyle w:val="5"/>
        <w:ind w:left="2042" w:hanging="851"/>
      </w:pPr>
      <w:r w:rsidRPr="006A015A">
        <w:rPr>
          <w:rFonts w:hint="eastAsia"/>
        </w:rPr>
        <w:t>蕭仰歸於蕭賢綸涉嫌肇事逃逸案件一審審理期間，曾向該案審判長鄭景文為關說。</w:t>
      </w:r>
    </w:p>
    <w:p w:rsidR="00351A2B" w:rsidRPr="006A015A" w:rsidRDefault="00351A2B" w:rsidP="00351A2B">
      <w:pPr>
        <w:pStyle w:val="5"/>
        <w:ind w:left="2042" w:hanging="851"/>
      </w:pPr>
      <w:r w:rsidRPr="006A015A">
        <w:rPr>
          <w:rFonts w:hint="eastAsia"/>
        </w:rPr>
        <w:t>蕭仰歸於上開案件二審審理期間，曾透過</w:t>
      </w:r>
      <w:r w:rsidR="008A5ED6" w:rsidRPr="006A015A">
        <w:rPr>
          <w:rFonts w:hint="eastAsia"/>
        </w:rPr>
        <w:t>法官</w:t>
      </w:r>
      <w:r w:rsidRPr="006A015A">
        <w:rPr>
          <w:rFonts w:hint="eastAsia"/>
        </w:rPr>
        <w:t>崔玲琦向該案受命法官高玉舜關說。</w:t>
      </w:r>
    </w:p>
    <w:p w:rsidR="00351A2B" w:rsidRPr="006A015A" w:rsidRDefault="00351A2B" w:rsidP="00351A2B">
      <w:pPr>
        <w:pStyle w:val="5"/>
        <w:ind w:left="2042" w:hanging="851"/>
      </w:pPr>
      <w:r w:rsidRPr="006A015A">
        <w:rPr>
          <w:rFonts w:hint="eastAsia"/>
        </w:rPr>
        <w:t>蕭仰歸於上開案件二審審理期間，曾向該案審判長高明哲為關說。</w:t>
      </w:r>
    </w:p>
    <w:p w:rsidR="00351A2B" w:rsidRPr="006A015A" w:rsidRDefault="00351A2B" w:rsidP="00351A2B">
      <w:pPr>
        <w:pStyle w:val="4"/>
        <w:ind w:left="1701"/>
      </w:pPr>
      <w:r w:rsidRPr="006A015A">
        <w:rPr>
          <w:rFonts w:hint="eastAsia"/>
        </w:rPr>
        <w:t>高明哲接受關說並為人關說行為：</w:t>
      </w:r>
    </w:p>
    <w:p w:rsidR="00351A2B" w:rsidRPr="006A015A" w:rsidRDefault="00351A2B" w:rsidP="00351A2B">
      <w:pPr>
        <w:pStyle w:val="5"/>
        <w:ind w:left="2042" w:hanging="851"/>
      </w:pPr>
      <w:r w:rsidRPr="006A015A">
        <w:rPr>
          <w:rFonts w:hint="eastAsia"/>
        </w:rPr>
        <w:t>高明哲於二審審理期間，確曾二次與被告之父蕭仰歸餐敘並接受關說。</w:t>
      </w:r>
    </w:p>
    <w:p w:rsidR="00351A2B" w:rsidRPr="006A015A" w:rsidRDefault="00351A2B" w:rsidP="00351A2B">
      <w:pPr>
        <w:pStyle w:val="5"/>
        <w:ind w:left="2042" w:hanging="851"/>
      </w:pPr>
      <w:r w:rsidRPr="006A015A">
        <w:rPr>
          <w:rFonts w:hint="eastAsia"/>
        </w:rPr>
        <w:t>高明哲為蕭賢綸肇事逃逸案，曾向受命法官高玉舜為關說。</w:t>
      </w:r>
    </w:p>
    <w:p w:rsidR="00351A2B" w:rsidRPr="006A015A" w:rsidRDefault="00351A2B" w:rsidP="00351A2B">
      <w:pPr>
        <w:pStyle w:val="4"/>
        <w:ind w:left="1701"/>
      </w:pPr>
      <w:r w:rsidRPr="006A015A">
        <w:rPr>
          <w:rFonts w:hint="eastAsia"/>
        </w:rPr>
        <w:t>蕭仰歸、高明哲2人經本院彈劾後，移送公務員懲</w:t>
      </w:r>
      <w:r w:rsidRPr="006A015A">
        <w:rPr>
          <w:rFonts w:hint="eastAsia"/>
        </w:rPr>
        <w:lastRenderedPageBreak/>
        <w:t>戒委員會審議，該會</w:t>
      </w:r>
      <w:r w:rsidR="00196650" w:rsidRPr="006A015A">
        <w:rPr>
          <w:rFonts w:hint="eastAsia"/>
        </w:rPr>
        <w:t>於100年1月28日</w:t>
      </w:r>
      <w:r w:rsidRPr="006A015A">
        <w:rPr>
          <w:rFonts w:hint="eastAsia"/>
        </w:rPr>
        <w:t>100年度鑑字第11895號議決：「蕭仰歸休職，期間6月。」、「高明哲降2級改敘。」</w:t>
      </w:r>
    </w:p>
    <w:p w:rsidR="00820658" w:rsidRPr="006A015A" w:rsidRDefault="008B0CFB" w:rsidP="00820658">
      <w:pPr>
        <w:pStyle w:val="3"/>
        <w:ind w:left="1360" w:hanging="680"/>
      </w:pPr>
      <w:r w:rsidRPr="006A015A">
        <w:rPr>
          <w:rFonts w:hint="eastAsia"/>
        </w:rPr>
        <w:t>綜上，本案臺灣高院98年度交上訴字第169號判決被告蕭賢綸肇事逃逸無罪，惟臺灣高檢署檢察</w:t>
      </w:r>
      <w:r w:rsidR="009462CD" w:rsidRPr="006A015A">
        <w:rPr>
          <w:rFonts w:hint="eastAsia"/>
        </w:rPr>
        <w:t>官</w:t>
      </w:r>
      <w:r w:rsidRPr="006A015A">
        <w:rPr>
          <w:rFonts w:hint="eastAsia"/>
        </w:rPr>
        <w:t>壽勤偉認為第二審法院判決撤銷第一審法院判決之理由，係基於事實認定之爭議，而非判決違背法令，因而未提出上訴，故而判決確定。嗣經檢察總長認為原判決有應調查之證據未為調查、採證認事與卷內資料未合及違背經驗、論理法則之違背法令，提起非常上訴，</w:t>
      </w:r>
      <w:r w:rsidR="009462CD" w:rsidRPr="006A015A">
        <w:rPr>
          <w:rFonts w:hint="eastAsia"/>
        </w:rPr>
        <w:t>惟</w:t>
      </w:r>
      <w:r w:rsidRPr="006A015A">
        <w:rPr>
          <w:rFonts w:hint="eastAsia"/>
        </w:rPr>
        <w:t>最高法院最審認，原確定判決非不利於被告，就個案之採證、認事是否違背經驗法則及論理法則，並未涉及法律見解之統一，欠缺原則上之重要性或爭議，亦無提起非常上訴之必要，駁回非常上訴。另本院彈劾蕭仰歸及高明哲之關說行為，經公務員懲戒委員會</w:t>
      </w:r>
      <w:r w:rsidR="008A5ED6" w:rsidRPr="006A015A">
        <w:rPr>
          <w:rFonts w:hint="eastAsia"/>
        </w:rPr>
        <w:t>議</w:t>
      </w:r>
      <w:r w:rsidRPr="006A015A">
        <w:rPr>
          <w:rFonts w:hint="eastAsia"/>
        </w:rPr>
        <w:t>決，蕭仰歸休職期間6月，高明哲降2級改敘，合先敘明。</w:t>
      </w:r>
      <w:r w:rsidR="00820658" w:rsidRPr="006A015A">
        <w:rPr>
          <w:rFonts w:hint="eastAsia"/>
        </w:rPr>
        <w:t xml:space="preserve"> </w:t>
      </w:r>
    </w:p>
    <w:p w:rsidR="00EB6673" w:rsidRPr="006A015A" w:rsidRDefault="0006494B" w:rsidP="00F26587">
      <w:pPr>
        <w:pStyle w:val="2"/>
        <w:ind w:left="1020" w:hanging="680"/>
        <w:rPr>
          <w:b/>
        </w:rPr>
      </w:pPr>
      <w:r w:rsidRPr="006A015A">
        <w:rPr>
          <w:rFonts w:hint="eastAsia"/>
          <w:b/>
        </w:rPr>
        <w:t>於100年1月28日公務員懲戒委員會100年度鑑字第11895號議決，高明哲之關說行為，降2級改敘後，臺灣高檢署檢察官依刑事訴訟法第420條第1項第5款及第422條第1項第1款規定，</w:t>
      </w:r>
      <w:r w:rsidR="00ED34DD" w:rsidRPr="006A015A">
        <w:rPr>
          <w:rFonts w:hint="eastAsia"/>
          <w:b/>
        </w:rPr>
        <w:t>得聲請再審。惟該署先於108年4月30日函復本院，未聲請再審之理由，復遲於108年5月13日函復本院，更易為聲請再審，並檢附該署檢察官108年度再字第1號再審聲請書，對被告蕭賢綸聲請再審，</w:t>
      </w:r>
      <w:r w:rsidR="00240342" w:rsidRPr="006A015A">
        <w:rPr>
          <w:rFonts w:hint="eastAsia"/>
          <w:b/>
        </w:rPr>
        <w:t>本院</w:t>
      </w:r>
      <w:r w:rsidR="009462CD" w:rsidRPr="006A015A">
        <w:rPr>
          <w:rFonts w:hint="eastAsia"/>
          <w:b/>
        </w:rPr>
        <w:t>調查</w:t>
      </w:r>
      <w:r w:rsidR="00240342" w:rsidRPr="006A015A">
        <w:rPr>
          <w:rFonts w:hint="eastAsia"/>
          <w:b/>
        </w:rPr>
        <w:t>後，</w:t>
      </w:r>
      <w:r w:rsidR="00E07F37" w:rsidRPr="006A015A">
        <w:rPr>
          <w:rFonts w:hint="eastAsia"/>
          <w:b/>
        </w:rPr>
        <w:t>該署檢察官</w:t>
      </w:r>
      <w:r w:rsidR="006B64A0" w:rsidRPr="006A015A">
        <w:rPr>
          <w:rFonts w:hint="eastAsia"/>
          <w:b/>
        </w:rPr>
        <w:t>壽勤偉</w:t>
      </w:r>
      <w:r w:rsidR="009462CD" w:rsidRPr="006A015A">
        <w:rPr>
          <w:rFonts w:hint="eastAsia"/>
          <w:b/>
        </w:rPr>
        <w:t>始</w:t>
      </w:r>
      <w:r w:rsidR="00E07F37" w:rsidRPr="006A015A">
        <w:rPr>
          <w:rFonts w:hint="eastAsia"/>
          <w:b/>
        </w:rPr>
        <w:t>於9年後</w:t>
      </w:r>
      <w:r w:rsidR="009462CD" w:rsidRPr="006A015A">
        <w:rPr>
          <w:rFonts w:hint="eastAsia"/>
          <w:b/>
        </w:rPr>
        <w:t>，</w:t>
      </w:r>
      <w:r w:rsidR="00E07F37" w:rsidRPr="006A015A">
        <w:rPr>
          <w:rFonts w:hint="eastAsia"/>
          <w:b/>
        </w:rPr>
        <w:t>依上開規定聲請再審，核有不當。</w:t>
      </w:r>
      <w:r w:rsidR="001E3653" w:rsidRPr="006A015A">
        <w:rPr>
          <w:rFonts w:hint="eastAsia"/>
          <w:b/>
        </w:rPr>
        <w:t>另臺灣高院108年度交聲再字第11號刑事裁定，本件開始再審（108年12月23日）。蕭賢綸提起抗告，經最高法院109年度台抗字第257號刑事裁定（109年2月26日</w:t>
      </w:r>
      <w:r w:rsidR="001E3653" w:rsidRPr="006A015A">
        <w:rPr>
          <w:rFonts w:hint="eastAsia"/>
          <w:b/>
          <w:szCs w:val="36"/>
        </w:rPr>
        <w:t>），抗告駁回。</w:t>
      </w:r>
      <w:r w:rsidR="000D004B" w:rsidRPr="006A015A">
        <w:rPr>
          <w:rFonts w:hint="eastAsia"/>
          <w:b/>
          <w:szCs w:val="36"/>
        </w:rPr>
        <w:t>嗣蕭賢綸於109年5月26日撤回上訴，本案一審判決確</w:t>
      </w:r>
      <w:r w:rsidR="000D004B" w:rsidRPr="006A015A">
        <w:rPr>
          <w:rFonts w:hint="eastAsia"/>
          <w:b/>
          <w:szCs w:val="36"/>
        </w:rPr>
        <w:lastRenderedPageBreak/>
        <w:t>定，</w:t>
      </w:r>
      <w:r w:rsidR="000D004B" w:rsidRPr="006A015A">
        <w:rPr>
          <w:rFonts w:hAnsi="標楷體" w:hint="eastAsia"/>
          <w:b/>
          <w:szCs w:val="32"/>
        </w:rPr>
        <w:t>處有期徒刑6月，如易科罰金，以1仟元折算1日，緩刑2年，並應於本判決確定之翌日起6個月內，依檢察官之命令，向公庫支付3萬元。</w:t>
      </w:r>
    </w:p>
    <w:p w:rsidR="00196650" w:rsidRPr="006A015A" w:rsidRDefault="00196650" w:rsidP="00196650">
      <w:pPr>
        <w:pStyle w:val="3"/>
        <w:ind w:left="1360" w:hanging="680"/>
      </w:pPr>
      <w:r w:rsidRPr="006A015A">
        <w:rPr>
          <w:rFonts w:hint="eastAsia"/>
        </w:rPr>
        <w:t>依刑事訴訟法第420條第1項第5款及第422條第1項第1款規定，</w:t>
      </w:r>
      <w:r w:rsidR="00A150F3" w:rsidRPr="006A015A">
        <w:rPr>
          <w:rFonts w:hint="eastAsia"/>
        </w:rPr>
        <w:t>無罪之判決確定後，有第420條第5款之情形者，參與原判決之法官，因該案件違法失職已受懲戒處分，足以影響原判決者，為受判決人之不利益，得聲請再審。</w:t>
      </w:r>
    </w:p>
    <w:p w:rsidR="00196650" w:rsidRPr="006A015A" w:rsidRDefault="00196650" w:rsidP="00196650">
      <w:pPr>
        <w:pStyle w:val="3"/>
        <w:ind w:left="1360" w:hanging="680"/>
      </w:pPr>
      <w:r w:rsidRPr="006A015A">
        <w:rPr>
          <w:rFonts w:hint="eastAsia"/>
        </w:rPr>
        <w:t>法務部108年4月30日法檢字第10800558770號函復本院，臺灣高檢署未</w:t>
      </w:r>
      <w:r w:rsidR="004E17DA" w:rsidRPr="006A015A">
        <w:rPr>
          <w:rFonts w:hint="eastAsia"/>
        </w:rPr>
        <w:t>聲請</w:t>
      </w:r>
      <w:r w:rsidRPr="006A015A">
        <w:rPr>
          <w:rFonts w:hint="eastAsia"/>
        </w:rPr>
        <w:t>再審之理由：</w:t>
      </w:r>
    </w:p>
    <w:p w:rsidR="00774C8C" w:rsidRPr="006A015A" w:rsidRDefault="00774C8C" w:rsidP="00196650">
      <w:pPr>
        <w:pStyle w:val="4"/>
        <w:ind w:left="1701"/>
      </w:pPr>
      <w:r w:rsidRPr="006A015A">
        <w:rPr>
          <w:rFonts w:hAnsi="標楷體" w:cs="新細明體" w:hint="eastAsia"/>
          <w:kern w:val="0"/>
          <w:szCs w:val="32"/>
        </w:rPr>
        <w:t>依上揭公務員懲戒委員會議決書之認定，本案審判長高明哲與林洲富係贊成判無罪，形成2票對1票，而高明哲復向受命法官高玉舜關說要為拼無罪判決，則是希望形成3票對0票，然判決評議係採多數決，無論2票比1票或3票對0票，對判決結果皆無影響</w:t>
      </w:r>
      <w:r w:rsidR="00CD5F2C" w:rsidRPr="006A015A">
        <w:rPr>
          <w:rFonts w:hAnsi="標楷體" w:cs="新細明體" w:hint="eastAsia"/>
          <w:kern w:val="0"/>
          <w:szCs w:val="32"/>
        </w:rPr>
        <w:t>，</w:t>
      </w:r>
      <w:r w:rsidRPr="006A015A">
        <w:rPr>
          <w:rFonts w:hAnsi="標楷體" w:cs="新細明體" w:hint="eastAsia"/>
          <w:kern w:val="0"/>
          <w:szCs w:val="32"/>
        </w:rPr>
        <w:t>核與刑事訴訟法第42</w:t>
      </w:r>
      <w:r w:rsidR="008A3DB4" w:rsidRPr="006A015A">
        <w:rPr>
          <w:rFonts w:hAnsi="標楷體" w:cs="新細明體"/>
          <w:kern w:val="0"/>
          <w:szCs w:val="32"/>
        </w:rPr>
        <w:t>0</w:t>
      </w:r>
      <w:r w:rsidRPr="006A015A">
        <w:rPr>
          <w:rFonts w:hAnsi="標楷體" w:cs="新細明體" w:hint="eastAsia"/>
          <w:kern w:val="0"/>
          <w:szCs w:val="32"/>
        </w:rPr>
        <w:t>條第1項第5款後段要件不合</w:t>
      </w:r>
      <w:r w:rsidR="00CD5F2C" w:rsidRPr="006A015A">
        <w:rPr>
          <w:rFonts w:hAnsi="標楷體" w:cs="新細明體" w:hint="eastAsia"/>
          <w:kern w:val="0"/>
          <w:szCs w:val="32"/>
        </w:rPr>
        <w:t>，</w:t>
      </w:r>
      <w:r w:rsidRPr="006A015A">
        <w:rPr>
          <w:rFonts w:hAnsi="標楷體" w:cs="新細明體" w:hint="eastAsia"/>
          <w:kern w:val="0"/>
          <w:szCs w:val="32"/>
        </w:rPr>
        <w:t>是該署則認高明哲之上揭懲戒處分並不足以影響原判決，故未聲請再審。</w:t>
      </w:r>
    </w:p>
    <w:p w:rsidR="00CD5F2C" w:rsidRPr="006A015A" w:rsidRDefault="005023B8" w:rsidP="00196650">
      <w:pPr>
        <w:pStyle w:val="4"/>
        <w:ind w:left="1701"/>
      </w:pPr>
      <w:r w:rsidRPr="006A015A">
        <w:rPr>
          <w:rFonts w:hAnsi="標楷體" w:cs="新細明體" w:hint="eastAsia"/>
          <w:kern w:val="0"/>
          <w:szCs w:val="32"/>
        </w:rPr>
        <w:t>公務員懲戒委員會100年度鑑字第11895號議決書係於100年1月28日議決，最高檢察署係於100年4月22日提起非常上訴，經最高法院於100年6月30日判決駁回非常上訴，最高檢察署未指示</w:t>
      </w:r>
      <w:r w:rsidRPr="006A015A">
        <w:rPr>
          <w:rFonts w:hint="eastAsia"/>
        </w:rPr>
        <w:t>臺灣高檢署</w:t>
      </w:r>
      <w:r w:rsidR="004E17DA" w:rsidRPr="006A015A">
        <w:rPr>
          <w:rFonts w:hint="eastAsia"/>
        </w:rPr>
        <w:t>聲請</w:t>
      </w:r>
      <w:r w:rsidRPr="006A015A">
        <w:rPr>
          <w:rFonts w:hAnsi="標楷體" w:cs="新細明體" w:hint="eastAsia"/>
          <w:kern w:val="0"/>
          <w:szCs w:val="32"/>
        </w:rPr>
        <w:t>再審</w:t>
      </w:r>
      <w:r w:rsidR="004A0C47" w:rsidRPr="006A015A">
        <w:rPr>
          <w:rFonts w:hAnsi="標楷體" w:cs="新細明體" w:hint="eastAsia"/>
          <w:kern w:val="0"/>
          <w:szCs w:val="32"/>
        </w:rPr>
        <w:t>，</w:t>
      </w:r>
      <w:r w:rsidRPr="006A015A">
        <w:rPr>
          <w:rFonts w:hAnsi="標楷體" w:cs="新細明體" w:hint="eastAsia"/>
          <w:kern w:val="0"/>
          <w:szCs w:val="32"/>
        </w:rPr>
        <w:t>基於檢察一體原則，</w:t>
      </w:r>
      <w:r w:rsidRPr="006A015A">
        <w:rPr>
          <w:rFonts w:hint="eastAsia"/>
        </w:rPr>
        <w:t>臺灣高檢署</w:t>
      </w:r>
      <w:r w:rsidRPr="006A015A">
        <w:rPr>
          <w:rFonts w:hAnsi="標楷體" w:cs="新細明體" w:hint="eastAsia"/>
          <w:kern w:val="0"/>
          <w:szCs w:val="32"/>
        </w:rPr>
        <w:t>認最高檢察署於公務員懲戒委員會於100年1月28日議決後，已針對本案提起非常上訴，而依前述</w:t>
      </w:r>
      <w:r w:rsidR="004A0C47" w:rsidRPr="006A015A">
        <w:rPr>
          <w:rFonts w:hAnsi="標楷體" w:cs="新細明體" w:hint="eastAsia"/>
          <w:kern w:val="0"/>
          <w:szCs w:val="32"/>
        </w:rPr>
        <w:t>亦</w:t>
      </w:r>
      <w:r w:rsidRPr="006A015A">
        <w:rPr>
          <w:rFonts w:hAnsi="標楷體" w:cs="新細明體" w:hint="eastAsia"/>
          <w:kern w:val="0"/>
          <w:szCs w:val="32"/>
        </w:rPr>
        <w:t>不符合</w:t>
      </w:r>
      <w:r w:rsidR="004E17DA" w:rsidRPr="006A015A">
        <w:rPr>
          <w:rFonts w:hint="eastAsia"/>
        </w:rPr>
        <w:t>聲請</w:t>
      </w:r>
      <w:r w:rsidRPr="006A015A">
        <w:rPr>
          <w:rFonts w:hAnsi="標楷體" w:cs="新細明體" w:hint="eastAsia"/>
          <w:kern w:val="0"/>
          <w:szCs w:val="32"/>
        </w:rPr>
        <w:t>再審要件，故未聲請再審。</w:t>
      </w:r>
    </w:p>
    <w:p w:rsidR="00196650" w:rsidRPr="006A015A" w:rsidRDefault="004A0C47" w:rsidP="00196650">
      <w:pPr>
        <w:pStyle w:val="4"/>
        <w:ind w:left="1701"/>
      </w:pPr>
      <w:r w:rsidRPr="006A015A">
        <w:rPr>
          <w:rFonts w:hint="eastAsia"/>
        </w:rPr>
        <w:t>是則，臺灣高檢署</w:t>
      </w:r>
      <w:r w:rsidR="00774C8C" w:rsidRPr="006A015A">
        <w:rPr>
          <w:rFonts w:hint="eastAsia"/>
        </w:rPr>
        <w:t>認為高明哲之懲戒處分並不足以影響原判決，故未聲請再審</w:t>
      </w:r>
      <w:r w:rsidRPr="006A015A">
        <w:rPr>
          <w:rFonts w:hint="eastAsia"/>
        </w:rPr>
        <w:t>。</w:t>
      </w:r>
    </w:p>
    <w:p w:rsidR="004A0C47" w:rsidRPr="006A015A" w:rsidRDefault="00732A63" w:rsidP="004A0C47">
      <w:pPr>
        <w:pStyle w:val="3"/>
        <w:ind w:left="1360" w:hanging="680"/>
      </w:pPr>
      <w:r w:rsidRPr="006A015A">
        <w:rPr>
          <w:rFonts w:hint="eastAsia"/>
        </w:rPr>
        <w:t>嗣法務部108年5月13日法檢字第10800568270號函，檢附臺灣高檢署</w:t>
      </w:r>
      <w:r w:rsidRPr="006A015A">
        <w:rPr>
          <w:rFonts w:hAnsi="標楷體" w:hint="eastAsia"/>
          <w:szCs w:val="32"/>
        </w:rPr>
        <w:t>檢察官108年度再字第1號再審聲請</w:t>
      </w:r>
      <w:r w:rsidRPr="006A015A">
        <w:rPr>
          <w:rFonts w:hAnsi="標楷體" w:hint="eastAsia"/>
          <w:szCs w:val="32"/>
        </w:rPr>
        <w:lastRenderedPageBreak/>
        <w:t>書，對被告蕭賢綸</w:t>
      </w:r>
      <w:r w:rsidR="004E17DA" w:rsidRPr="006A015A">
        <w:rPr>
          <w:rFonts w:hint="eastAsia"/>
        </w:rPr>
        <w:t>聲請</w:t>
      </w:r>
      <w:r w:rsidRPr="006A015A">
        <w:rPr>
          <w:rFonts w:hAnsi="標楷體" w:hint="eastAsia"/>
          <w:szCs w:val="32"/>
        </w:rPr>
        <w:t>再審：</w:t>
      </w:r>
    </w:p>
    <w:p w:rsidR="00732A63" w:rsidRPr="006A015A" w:rsidRDefault="00732A63" w:rsidP="00732A63">
      <w:pPr>
        <w:pStyle w:val="4"/>
        <w:ind w:left="1701"/>
      </w:pPr>
      <w:r w:rsidRPr="006A015A">
        <w:rPr>
          <w:rFonts w:hAnsi="標楷體" w:cs="新細明體" w:hint="eastAsia"/>
          <w:kern w:val="0"/>
          <w:szCs w:val="32"/>
        </w:rPr>
        <w:t>依刑事訴訟法第425條規定：「為受判決人之不利益聲請再審，於判決確定後，經過刑法第80條第1項期間二分之一者，不得為之。」查被告蕭賢綸係97年10月6日犯肇事逃逃罪，經</w:t>
      </w:r>
      <w:r w:rsidRPr="006A015A">
        <w:rPr>
          <w:rFonts w:hint="eastAsia"/>
        </w:rPr>
        <w:t>臺灣高院</w:t>
      </w:r>
      <w:r w:rsidRPr="006A015A">
        <w:rPr>
          <w:rFonts w:hAnsi="標楷體" w:cs="新細明體" w:hint="eastAsia"/>
          <w:kern w:val="0"/>
          <w:szCs w:val="32"/>
        </w:rPr>
        <w:t>99年1月19日判決無罪確定。依刑法第185條之4肇事逃逸罪規定之刑度為1年以上7年以下，依同法第80條第1項2款追訴權時效規定為犯最重本刑為3年以上10年未滿有期徒刑之罪者，為20年。是本案被告蕭賢綸肇事逃逸罪判決係在99年1月19日確定，如為其不利益聲請再審之再審期間，應於109年1月19日前提出聲請，本案係於再審期間內提出再審。</w:t>
      </w:r>
    </w:p>
    <w:p w:rsidR="00732A63" w:rsidRPr="006A015A" w:rsidRDefault="00732A63" w:rsidP="00732A63">
      <w:pPr>
        <w:pStyle w:val="4"/>
        <w:ind w:left="1701"/>
      </w:pPr>
      <w:r w:rsidRPr="006A015A">
        <w:rPr>
          <w:rFonts w:hint="eastAsia"/>
          <w:szCs w:val="32"/>
        </w:rPr>
        <w:t>查臺灣高院合議庭係採3人合議制，依上揭公務員懲戒委員會議決書之認定該案審判長高明哲確有接受蕭仰歸關說並為其向受命法官高玉舜關說要為蕭仰歸之子蕭賢綸拼無罪判決遭懲戒降2級改敘，則依該院審理庭判決評議係採3人合議，審判長高明哲之關說行為且</w:t>
      </w:r>
      <w:r w:rsidR="008A3DB4" w:rsidRPr="006A015A">
        <w:rPr>
          <w:rFonts w:hint="eastAsia"/>
          <w:szCs w:val="32"/>
        </w:rPr>
        <w:t>己</w:t>
      </w:r>
      <w:r w:rsidRPr="006A015A">
        <w:rPr>
          <w:rFonts w:hint="eastAsia"/>
          <w:szCs w:val="32"/>
        </w:rPr>
        <w:t>身遭關說其為判決之心證已受污染，顯然影響其自身對該判決意思作成而對該判決結果致生影響。雖上揭議決書末段引用臺北地檢署99年度他字第8185號案件偵查結果認臺灣高院此判決並無枉法裁判之故意云云。然查臺灣高院合議庭係採3人合議制，由於審判長高明哲之判決意思決定既已遭污染，即形成2人為判決之情形，應認業對該判決有影響，合於刑事訴訟法第420條第1項第5款</w:t>
      </w:r>
      <w:r w:rsidR="007170BE" w:rsidRPr="006A015A">
        <w:rPr>
          <w:rFonts w:hint="eastAsia"/>
          <w:szCs w:val="32"/>
        </w:rPr>
        <w:t>及第42</w:t>
      </w:r>
      <w:r w:rsidR="007170BE" w:rsidRPr="006A015A">
        <w:rPr>
          <w:szCs w:val="32"/>
        </w:rPr>
        <w:t>2</w:t>
      </w:r>
      <w:r w:rsidR="007170BE" w:rsidRPr="006A015A">
        <w:rPr>
          <w:rFonts w:hint="eastAsia"/>
          <w:szCs w:val="32"/>
        </w:rPr>
        <w:t>條第1項第</w:t>
      </w:r>
      <w:r w:rsidR="007170BE" w:rsidRPr="006A015A">
        <w:rPr>
          <w:szCs w:val="32"/>
        </w:rPr>
        <w:t>1</w:t>
      </w:r>
      <w:r w:rsidR="007170BE" w:rsidRPr="006A015A">
        <w:rPr>
          <w:rFonts w:hint="eastAsia"/>
          <w:szCs w:val="32"/>
        </w:rPr>
        <w:t>款規定之</w:t>
      </w:r>
      <w:r w:rsidRPr="006A015A">
        <w:rPr>
          <w:rFonts w:hint="eastAsia"/>
          <w:szCs w:val="32"/>
        </w:rPr>
        <w:t>情事，足認有</w:t>
      </w:r>
      <w:r w:rsidRPr="006A015A">
        <w:rPr>
          <w:rFonts w:hAnsi="標楷體" w:cs="新細明體" w:hint="eastAsia"/>
          <w:kern w:val="0"/>
          <w:szCs w:val="32"/>
        </w:rPr>
        <w:t>聲請再審之理由</w:t>
      </w:r>
      <w:r w:rsidRPr="006A015A">
        <w:rPr>
          <w:rFonts w:hint="eastAsia"/>
          <w:szCs w:val="32"/>
        </w:rPr>
        <w:t>。</w:t>
      </w:r>
    </w:p>
    <w:p w:rsidR="00C77785" w:rsidRPr="006A015A" w:rsidRDefault="00C77785" w:rsidP="00475202">
      <w:pPr>
        <w:pStyle w:val="3"/>
        <w:ind w:left="1360" w:hanging="680"/>
      </w:pPr>
      <w:r w:rsidRPr="006A015A">
        <w:rPr>
          <w:rFonts w:hint="eastAsia"/>
        </w:rPr>
        <w:t>本院諮詢學者專家意見：</w:t>
      </w:r>
    </w:p>
    <w:p w:rsidR="00732A63" w:rsidRPr="006A015A" w:rsidRDefault="00C77785" w:rsidP="00C77785">
      <w:pPr>
        <w:pStyle w:val="4"/>
        <w:ind w:left="1701"/>
      </w:pPr>
      <w:r w:rsidRPr="006A015A">
        <w:rPr>
          <w:rFonts w:hint="eastAsia"/>
        </w:rPr>
        <w:lastRenderedPageBreak/>
        <w:t>據高玉舜的說法，「林洲富在評議時，未決定本案是否無罪」。而林洲富的說法，「在評議時，就是2票無罪比1票有罪了。」惟查，係高明哲寫的有罪判決及高玉舜寫的無罪判決，同時2份判決，給林洲富選簽後，又查評議簿的內容不是手寫的，而是打字貼上去的，可推知評議時，尚未寫評議簿，且林洲富仍未決定是否無罪或駁回。</w:t>
      </w:r>
    </w:p>
    <w:p w:rsidR="00C77785" w:rsidRPr="006A015A" w:rsidRDefault="00C77785" w:rsidP="00C77785">
      <w:pPr>
        <w:pStyle w:val="4"/>
        <w:ind w:left="1701"/>
      </w:pPr>
      <w:r w:rsidRPr="006A015A">
        <w:rPr>
          <w:rFonts w:hint="eastAsia"/>
        </w:rPr>
        <w:t>高明哲被蕭仰歸關說後之判決，是被污染的法庭，</w:t>
      </w:r>
      <w:r w:rsidR="00B42212" w:rsidRPr="006A015A">
        <w:rPr>
          <w:rFonts w:hint="eastAsia"/>
        </w:rPr>
        <w:t>得</w:t>
      </w:r>
      <w:r w:rsidR="004E17DA" w:rsidRPr="006A015A">
        <w:rPr>
          <w:rFonts w:hint="eastAsia"/>
        </w:rPr>
        <w:t>聲請</w:t>
      </w:r>
      <w:r w:rsidRPr="006A015A">
        <w:rPr>
          <w:rFonts w:hint="eastAsia"/>
        </w:rPr>
        <w:t>再審。又</w:t>
      </w:r>
      <w:r w:rsidRPr="006A015A">
        <w:rPr>
          <w:rFonts w:hAnsi="標楷體" w:hint="eastAsia"/>
          <w:kern w:val="0"/>
          <w:szCs w:val="32"/>
        </w:rPr>
        <w:t>公務員懲戒委員會已認定</w:t>
      </w:r>
      <w:r w:rsidRPr="006A015A">
        <w:rPr>
          <w:rFonts w:hAnsi="標楷體" w:hint="eastAsia"/>
          <w:szCs w:val="32"/>
        </w:rPr>
        <w:t>蕭仰歸</w:t>
      </w:r>
      <w:r w:rsidRPr="006A015A">
        <w:rPr>
          <w:rFonts w:hAnsi="標楷體" w:hint="eastAsia"/>
          <w:kern w:val="0"/>
          <w:szCs w:val="32"/>
        </w:rPr>
        <w:t>關說高明哲，形式上已經影響原判決，不需要關說和原判決之間，要具有因果關係。</w:t>
      </w:r>
    </w:p>
    <w:p w:rsidR="00A92E5A" w:rsidRPr="006A015A" w:rsidRDefault="00B42212" w:rsidP="00C77785">
      <w:pPr>
        <w:pStyle w:val="4"/>
        <w:ind w:left="1701"/>
      </w:pPr>
      <w:r w:rsidRPr="006A015A">
        <w:rPr>
          <w:rFonts w:hint="eastAsia"/>
        </w:rPr>
        <w:t>是則，依刑事訴訟法第420條第1項第5款及第422條第1項第1款規定，</w:t>
      </w:r>
      <w:r w:rsidR="006E5974" w:rsidRPr="006A015A">
        <w:rPr>
          <w:rFonts w:hint="eastAsia"/>
        </w:rPr>
        <w:t>高明哲之關說違失行為，已受懲戒處分，足以影響原第二審判決，臺灣高檢署檢察官為受判決人蕭賢綸之不利益，得聲請再審。</w:t>
      </w:r>
    </w:p>
    <w:p w:rsidR="000D004B" w:rsidRPr="006A015A" w:rsidRDefault="00B57C9A" w:rsidP="000D004B">
      <w:pPr>
        <w:pStyle w:val="3"/>
        <w:ind w:left="1360" w:hanging="680"/>
      </w:pPr>
      <w:r w:rsidRPr="006A015A">
        <w:rPr>
          <w:rFonts w:hint="eastAsia"/>
        </w:rPr>
        <w:t>臺灣高院108年度交聲再字第11號刑事裁定，本件開始再審，蕭賢綸提起抗告，經</w:t>
      </w:r>
      <w:r w:rsidRPr="006A015A">
        <w:rPr>
          <w:rFonts w:hint="eastAsia"/>
          <w:szCs w:val="48"/>
        </w:rPr>
        <w:t>最高法院109年度台抗字第257號刑事裁定</w:t>
      </w:r>
      <w:r w:rsidRPr="006A015A">
        <w:rPr>
          <w:rFonts w:hint="eastAsia"/>
        </w:rPr>
        <w:t>，抗告駁回。嗣蕭賢綸於109年5月26日撤回上訴：</w:t>
      </w:r>
    </w:p>
    <w:p w:rsidR="00B57C9A" w:rsidRPr="006A015A" w:rsidRDefault="00B57C9A" w:rsidP="00B57C9A">
      <w:pPr>
        <w:pStyle w:val="4"/>
        <w:ind w:left="1701"/>
      </w:pPr>
      <w:r w:rsidRPr="006A015A">
        <w:rPr>
          <w:rFonts w:hint="eastAsia"/>
        </w:rPr>
        <w:t>臺灣高院108年度交聲再字第11號刑事裁定，本件開始再審（108年12月23日）：</w:t>
      </w:r>
    </w:p>
    <w:p w:rsidR="00B57C9A" w:rsidRPr="006A015A" w:rsidRDefault="003D769D" w:rsidP="003D769D">
      <w:pPr>
        <w:pStyle w:val="5"/>
        <w:ind w:left="2042" w:hanging="851"/>
      </w:pPr>
      <w:r w:rsidRPr="006A015A">
        <w:rPr>
          <w:rFonts w:hint="eastAsia"/>
        </w:rPr>
        <w:t>按刑事訴訟法第422條第1款、第420條第1項第5款規定，其中「因該案件違法失職已受懲戒處分，足以影響原判決者」，</w:t>
      </w:r>
      <w:r w:rsidRPr="006A015A">
        <w:rPr>
          <w:rFonts w:hAnsi="標楷體" w:cs="細明體" w:hint="eastAsia"/>
          <w:kern w:val="0"/>
          <w:szCs w:val="32"/>
        </w:rPr>
        <w:t>「足以影響」該受懲戒處分之違法、失職於客觀上足以影響原確定判決結果即可，而不必達到已證明確實影響原確定判決結果之程度。</w:t>
      </w:r>
    </w:p>
    <w:p w:rsidR="003D769D" w:rsidRPr="006A015A" w:rsidRDefault="003D769D" w:rsidP="003D769D">
      <w:pPr>
        <w:pStyle w:val="5"/>
        <w:ind w:left="2042" w:hanging="851"/>
      </w:pPr>
      <w:r w:rsidRPr="006A015A">
        <w:rPr>
          <w:rFonts w:hAnsi="標楷體" w:cs="細明體" w:hint="eastAsia"/>
          <w:kern w:val="0"/>
          <w:szCs w:val="32"/>
        </w:rPr>
        <w:t>前審判長高明哲因被認定接受蕭仰歸為其子即受判決人肇事逃逸案關說並為人關說，</w:t>
      </w:r>
      <w:r w:rsidRPr="006A015A">
        <w:rPr>
          <w:rFonts w:hAnsi="標楷體" w:cs="標楷體" w:hint="eastAsia"/>
          <w:kern w:val="0"/>
          <w:szCs w:val="32"/>
        </w:rPr>
        <w:t>經公</w:t>
      </w:r>
      <w:r w:rsidRPr="006A015A">
        <w:rPr>
          <w:rFonts w:hAnsi="標楷體" w:cs="標楷體" w:hint="eastAsia"/>
          <w:kern w:val="0"/>
          <w:szCs w:val="32"/>
        </w:rPr>
        <w:lastRenderedPageBreak/>
        <w:t>務員懲戒委員</w:t>
      </w:r>
      <w:r w:rsidRPr="006A015A">
        <w:rPr>
          <w:rFonts w:hAnsi="標楷體" w:cs="細明體" w:hint="eastAsia"/>
          <w:kern w:val="0"/>
          <w:szCs w:val="32"/>
        </w:rPr>
        <w:t>會100年1月28日100年度鑑字第11895號議決高明哲降2級改敘之事實，有該會100年1月28日以100年度鑑字第11895號議決書在卷可考，則已符合前開法條所定「參與原判決之法官因該案件違法失職已受懲戒處分」之要件。又原確定無罪判決固採3人合議制之法院組織，惟該案合議庭審判長高明哲既確有接受蕭仰歸關說並為其向另一法官高玉舜關說要為蕭仰歸之子即受判決人拼無罪判決之受懲戒處分之違法、失職行為，審判長高明哲接受關說並為人關說之行為，應已可認在未評議前其心證已為卷證以外之不當關說所污染，則於客觀上足認其受懲戒處分之違法、失職行為足以影響上開無罪確定判決之結果。</w:t>
      </w:r>
    </w:p>
    <w:p w:rsidR="00B57C9A" w:rsidRPr="006A015A" w:rsidRDefault="00B57C9A" w:rsidP="00B57C9A">
      <w:pPr>
        <w:pStyle w:val="4"/>
        <w:ind w:left="1701"/>
      </w:pPr>
      <w:r w:rsidRPr="006A015A">
        <w:rPr>
          <w:rFonts w:hint="eastAsia"/>
          <w:szCs w:val="48"/>
        </w:rPr>
        <w:t>最高法院109年度台抗字第257號刑事裁定</w:t>
      </w:r>
      <w:r w:rsidRPr="006A015A">
        <w:rPr>
          <w:rFonts w:hint="eastAsia"/>
        </w:rPr>
        <w:t>（109年2月26日），抗告駁回</w:t>
      </w:r>
      <w:r w:rsidR="003D769D" w:rsidRPr="006A015A">
        <w:rPr>
          <w:rFonts w:hint="eastAsia"/>
        </w:rPr>
        <w:t>：</w:t>
      </w:r>
    </w:p>
    <w:p w:rsidR="003D769D" w:rsidRPr="006A015A" w:rsidRDefault="003D769D" w:rsidP="003D769D">
      <w:pPr>
        <w:pStyle w:val="42"/>
        <w:ind w:left="1701" w:firstLine="680"/>
      </w:pPr>
      <w:r w:rsidRPr="006A015A">
        <w:rPr>
          <w:rFonts w:hAnsi="標楷體" w:cs="標楷體" w:hint="eastAsia"/>
          <w:kern w:val="0"/>
          <w:szCs w:val="32"/>
        </w:rPr>
        <w:t>查公務員懲戒委員</w:t>
      </w:r>
      <w:r w:rsidRPr="006A015A">
        <w:rPr>
          <w:rFonts w:hAnsi="標楷體" w:cs="細明體" w:hint="eastAsia"/>
          <w:kern w:val="0"/>
          <w:szCs w:val="32"/>
        </w:rPr>
        <w:t>會</w:t>
      </w:r>
      <w:r w:rsidRPr="006A015A">
        <w:rPr>
          <w:rFonts w:hint="eastAsia"/>
        </w:rPr>
        <w:t>既認定原確定判決合議庭審判長高明哲有受蕭仰歸關說，並於評議前為蕭仰歸向受命法官高玉舜關說改判抗告人無罪，高明哲於評議時陳述之意見，當</w:t>
      </w:r>
      <w:r w:rsidR="009635EF" w:rsidRPr="006A015A">
        <w:rPr>
          <w:rFonts w:hint="eastAsia"/>
        </w:rPr>
        <w:t>時</w:t>
      </w:r>
      <w:r w:rsidRPr="006A015A">
        <w:rPr>
          <w:rFonts w:hint="eastAsia"/>
        </w:rPr>
        <w:t>已受關說污染無誤。又該案係以2（高明哲、林洲富）比1（高玉舜）評議結果，改判抗告人無罪。高明哲之意見，自足以決定抗告人有罪或無罪之結果。高明哲構成懲戒原因之違法失職情節，得合理相信已足以動搖原確定判決之結果。</w:t>
      </w:r>
    </w:p>
    <w:p w:rsidR="00B57C9A" w:rsidRPr="006A015A" w:rsidRDefault="00B57C9A" w:rsidP="00B57C9A">
      <w:pPr>
        <w:pStyle w:val="4"/>
        <w:ind w:left="1701"/>
      </w:pPr>
      <w:r w:rsidRPr="006A015A">
        <w:rPr>
          <w:rFonts w:hint="eastAsia"/>
        </w:rPr>
        <w:t>蕭賢綸於109年5月26日撤回上訴</w:t>
      </w:r>
      <w:r w:rsidR="003D769D" w:rsidRPr="006A015A">
        <w:rPr>
          <w:rFonts w:hint="eastAsia"/>
        </w:rPr>
        <w:t>：</w:t>
      </w:r>
    </w:p>
    <w:p w:rsidR="003D769D" w:rsidRPr="006A015A" w:rsidRDefault="00872B78" w:rsidP="003D769D">
      <w:pPr>
        <w:pStyle w:val="42"/>
        <w:ind w:left="1701" w:firstLine="680"/>
        <w:rPr>
          <w:rFonts w:hAnsi="標楷體" w:cs="標楷體"/>
          <w:kern w:val="0"/>
          <w:szCs w:val="32"/>
        </w:rPr>
      </w:pPr>
      <w:r w:rsidRPr="006A015A">
        <w:rPr>
          <w:rFonts w:hint="eastAsia"/>
        </w:rPr>
        <w:t>據報載</w:t>
      </w:r>
      <w:r w:rsidRPr="006A015A">
        <w:rPr>
          <w:rStyle w:val="aff3"/>
        </w:rPr>
        <w:footnoteReference w:id="1"/>
      </w:r>
      <w:r w:rsidRPr="006A015A">
        <w:rPr>
          <w:rFonts w:hAnsi="標楷體" w:cs="標楷體" w:hint="eastAsia"/>
          <w:kern w:val="0"/>
          <w:szCs w:val="32"/>
        </w:rPr>
        <w:t>，</w:t>
      </w:r>
      <w:r w:rsidR="00C53C53" w:rsidRPr="006A015A">
        <w:rPr>
          <w:rFonts w:hAnsi="標楷體" w:cs="標楷體" w:hint="eastAsia"/>
          <w:kern w:val="0"/>
          <w:szCs w:val="32"/>
        </w:rPr>
        <w:t>臺灣高檢署1</w:t>
      </w:r>
      <w:r w:rsidR="00C53C53" w:rsidRPr="006A015A">
        <w:rPr>
          <w:rFonts w:hAnsi="標楷體" w:cs="標楷體"/>
          <w:kern w:val="0"/>
          <w:szCs w:val="32"/>
        </w:rPr>
        <w:t>08</w:t>
      </w:r>
      <w:r w:rsidR="00C53C53" w:rsidRPr="006A015A">
        <w:rPr>
          <w:rFonts w:hAnsi="標楷體" w:cs="標楷體" w:hint="eastAsia"/>
          <w:kern w:val="0"/>
          <w:szCs w:val="32"/>
        </w:rPr>
        <w:t>年聲請再審獲准，蕭賢綸提起抗告，但最高法院裁定駁回，確定重啟</w:t>
      </w:r>
      <w:r w:rsidR="00C53C53" w:rsidRPr="006A015A">
        <w:rPr>
          <w:rFonts w:hAnsi="標楷體" w:cs="標楷體" w:hint="eastAsia"/>
          <w:kern w:val="0"/>
          <w:szCs w:val="32"/>
        </w:rPr>
        <w:lastRenderedPageBreak/>
        <w:t>再審，但蕭賢綸於</w:t>
      </w:r>
      <w:r w:rsidR="00C53C53" w:rsidRPr="006A015A">
        <w:rPr>
          <w:rFonts w:hint="eastAsia"/>
          <w:szCs w:val="36"/>
        </w:rPr>
        <w:t>109年5月</w:t>
      </w:r>
      <w:r w:rsidR="00C53C53" w:rsidRPr="006A015A">
        <w:rPr>
          <w:rFonts w:hAnsi="標楷體" w:cs="標楷體" w:hint="eastAsia"/>
          <w:kern w:val="0"/>
          <w:szCs w:val="32"/>
        </w:rPr>
        <w:t>26日撤回上訴。</w:t>
      </w:r>
    </w:p>
    <w:p w:rsidR="00C53C53" w:rsidRPr="006A015A" w:rsidRDefault="00C53C53" w:rsidP="00C53C53">
      <w:pPr>
        <w:pStyle w:val="4"/>
        <w:ind w:left="1701"/>
      </w:pPr>
      <w:r w:rsidRPr="006A015A">
        <w:rPr>
          <w:rFonts w:hint="eastAsia"/>
        </w:rPr>
        <w:t>是則，蕭賢綸於109年5月26日撤回上訴後，本案一審判決確定，</w:t>
      </w:r>
      <w:r w:rsidRPr="006A015A">
        <w:rPr>
          <w:rFonts w:hAnsi="標楷體" w:hint="eastAsia"/>
          <w:szCs w:val="32"/>
        </w:rPr>
        <w:t>處有期徒刑6月，如易科罰金，以1仟元折算1日，緩刑2年，並應於本判決確定之翌日起6個月內，依檢察官之命令，向公庫支付3萬元。</w:t>
      </w:r>
    </w:p>
    <w:p w:rsidR="00164596" w:rsidRPr="006A015A" w:rsidRDefault="00E1053F" w:rsidP="00164596">
      <w:pPr>
        <w:pStyle w:val="3"/>
        <w:ind w:left="1360" w:hanging="680"/>
      </w:pPr>
      <w:r w:rsidRPr="006A015A">
        <w:rPr>
          <w:rFonts w:hint="eastAsia"/>
        </w:rPr>
        <w:t>綜上，於100年1月28日公務員懲戒委員會100年度鑑字第11895號議決，高明哲之關說行為，降2級改敘後，臺灣高檢署檢察官依刑事訴訟法第420條第1項第5款及第422條第1項第1款規定，無罪之判決確定後，有第420條第5款之情形者，參與原判決之法官，因該案件違法失職已受懲戒處分，足以影響原判決者，為受判決人之不利益，得聲請再審。惟該署先於108年4月30日函復本院，認為對高明哲之懲戒處分，並不足以影響原判決，且基於檢察一體原則，最高檢察署未指示臺灣高檢署聲請再審，故未聲請再審，該署復於108年5月13日函復本院，更易為聲請再審，並檢附該署檢察官108年度再字第1號再審聲請書，認為審判長高明哲之判決意思決定，既已遭關說行為污染，即形成2人為判決之情形，應對該判決有影響，合於刑事訴訟法第420條第1項第5款</w:t>
      </w:r>
      <w:r w:rsidR="007170BE" w:rsidRPr="006A015A">
        <w:rPr>
          <w:rFonts w:hint="eastAsia"/>
          <w:szCs w:val="32"/>
        </w:rPr>
        <w:t>及第422條第1項第1款規定之</w:t>
      </w:r>
      <w:r w:rsidRPr="006A015A">
        <w:rPr>
          <w:rFonts w:hint="eastAsia"/>
        </w:rPr>
        <w:t>情事，足認有聲請再審理由，而對被告蕭賢綸聲請再審，</w:t>
      </w:r>
      <w:r w:rsidR="00240342" w:rsidRPr="006A015A">
        <w:rPr>
          <w:rFonts w:hint="eastAsia"/>
        </w:rPr>
        <w:t>本院</w:t>
      </w:r>
      <w:r w:rsidR="007170BE" w:rsidRPr="006A015A">
        <w:rPr>
          <w:rFonts w:hint="eastAsia"/>
        </w:rPr>
        <w:t>調查</w:t>
      </w:r>
      <w:r w:rsidR="00240342" w:rsidRPr="006A015A">
        <w:rPr>
          <w:rFonts w:hint="eastAsia"/>
        </w:rPr>
        <w:t>後，</w:t>
      </w:r>
      <w:r w:rsidRPr="006A015A">
        <w:rPr>
          <w:rFonts w:hint="eastAsia"/>
        </w:rPr>
        <w:t>該署檢察官遲於9年後</w:t>
      </w:r>
      <w:r w:rsidR="007170BE" w:rsidRPr="006A015A">
        <w:rPr>
          <w:rFonts w:hint="eastAsia"/>
        </w:rPr>
        <w:t>，</w:t>
      </w:r>
      <w:r w:rsidRPr="006A015A">
        <w:rPr>
          <w:rFonts w:hint="eastAsia"/>
        </w:rPr>
        <w:t>依上開規定聲請再審，核有不當。</w:t>
      </w:r>
      <w:r w:rsidR="00C53C53" w:rsidRPr="006A015A">
        <w:rPr>
          <w:rFonts w:hint="eastAsia"/>
        </w:rPr>
        <w:t>另臺灣高院108年度交聲再字第11號刑事裁定，本件開始再審。蕭賢綸提起抗告，經</w:t>
      </w:r>
      <w:r w:rsidR="00C53C53" w:rsidRPr="006A015A">
        <w:rPr>
          <w:rFonts w:hint="eastAsia"/>
          <w:szCs w:val="48"/>
        </w:rPr>
        <w:t>最高法院109年度台抗字第257號刑事裁定</w:t>
      </w:r>
      <w:r w:rsidR="00C53C53" w:rsidRPr="006A015A">
        <w:rPr>
          <w:rFonts w:hint="eastAsia"/>
        </w:rPr>
        <w:t>，抗告駁回。嗣蕭賢綸於109年5月26日撤回上訴，本案一審判決確定</w:t>
      </w:r>
      <w:r w:rsidR="00C53C53" w:rsidRPr="006A015A">
        <w:rPr>
          <w:rFonts w:hAnsi="標楷體" w:hint="eastAsia"/>
          <w:szCs w:val="32"/>
        </w:rPr>
        <w:t>。</w:t>
      </w:r>
    </w:p>
    <w:p w:rsidR="00CC6CA5" w:rsidRPr="006A015A" w:rsidRDefault="00CC6CA5" w:rsidP="00CC6CA5">
      <w:pPr>
        <w:pStyle w:val="2"/>
        <w:ind w:left="1020" w:hanging="680"/>
        <w:rPr>
          <w:b/>
        </w:rPr>
      </w:pPr>
      <w:r w:rsidRPr="006A015A">
        <w:rPr>
          <w:rFonts w:hint="eastAsia"/>
          <w:b/>
        </w:rPr>
        <w:t>最高法院前法官蕭仰歸和臺灣高院前審判長高明哲2人及2家，有深厚故舊情誼，且被告蕭賢綸自幼與高明</w:t>
      </w:r>
      <w:r w:rsidRPr="006A015A">
        <w:rPr>
          <w:rFonts w:hint="eastAsia"/>
          <w:b/>
        </w:rPr>
        <w:lastRenderedPageBreak/>
        <w:t>哲熟識，雖不符刑事訴訟法第17條各款應自行迴避不得執行職務之事由，及第18條各款當事人聲請法官迴避之事由。惟司法院係刑事訴訟法之主管機關，針對此法律漏洞，應予研議修法，而在未修正刑事訴訟法相關規定以前，法官與被告有故舊情誼且熟識，兩人之關係應予透明化、揭露，並自行迴避。</w:t>
      </w:r>
    </w:p>
    <w:p w:rsidR="00CC6CA5" w:rsidRPr="006A015A" w:rsidRDefault="00CC6CA5" w:rsidP="00CC6CA5">
      <w:pPr>
        <w:pStyle w:val="3"/>
        <w:ind w:left="1360" w:hanging="680"/>
      </w:pPr>
      <w:r w:rsidRPr="006A015A">
        <w:rPr>
          <w:rFonts w:hint="eastAsia"/>
        </w:rPr>
        <w:t>刑事訴訟法第17條規定：「法官於該管案件有下列情形之一者，應自行迴避，不得執行職務：一、法官為被害人者。二、法官現為或曾為被告或被害人之配偶、八親等內之血親、五親等內之姻親或家長、家屬者。三、法官與被告或被害人訂有婚約者。四、法官現為或曾為被告或被害人之法定代理人者。五、法官曾為被告之代理人、辯護人、輔佐人或曾為自訴人、附帶民事訴訟當事人之代理人、輔佐人者。六、法官曾為告訴人、告發人、證人或鑑定人者。七、法官曾執行檢察官或司法警察官之職務者。八、法官曾參與前審之裁判者。」同法第18條規定：「當事人遇有下列情形之一者，得聲請法官迴避：一、法官有前條情形而不自行迴避者。二、法官有前條以外情形，足認其執行職務有偏頗之虞者。」</w:t>
      </w:r>
    </w:p>
    <w:p w:rsidR="00CC6CA5" w:rsidRPr="006A015A" w:rsidRDefault="00CC6CA5" w:rsidP="00CC6CA5">
      <w:pPr>
        <w:pStyle w:val="3"/>
        <w:ind w:left="1360" w:hanging="680"/>
      </w:pPr>
      <w:r w:rsidRPr="006A015A">
        <w:rPr>
          <w:rFonts w:hint="eastAsia"/>
        </w:rPr>
        <w:t>蕭仰歸和高明哲2人及2家，有深厚故舊情誼，且被告蕭賢綸與高明哲自幼熟識：</w:t>
      </w:r>
    </w:p>
    <w:p w:rsidR="00CC6CA5" w:rsidRPr="006A015A" w:rsidRDefault="00CC6CA5" w:rsidP="00CC6CA5">
      <w:pPr>
        <w:pStyle w:val="4"/>
        <w:ind w:left="1701"/>
      </w:pPr>
      <w:r w:rsidRPr="006A015A">
        <w:rPr>
          <w:rFonts w:hint="eastAsia"/>
          <w:szCs w:val="32"/>
        </w:rPr>
        <w:t>臺灣高院於99年8月12日99年度第5次法官自律委員會會議紀錄載：</w:t>
      </w:r>
    </w:p>
    <w:p w:rsidR="00CC6CA5" w:rsidRPr="006A015A" w:rsidRDefault="00CC6CA5" w:rsidP="00CC6CA5">
      <w:pPr>
        <w:pStyle w:val="5"/>
        <w:ind w:left="2042" w:hanging="851"/>
      </w:pPr>
      <w:r w:rsidRPr="006A015A">
        <w:rPr>
          <w:rFonts w:hint="eastAsia"/>
        </w:rPr>
        <w:t>法官高玉舜稱：「評議後到判決確定前這段時間，審判長私下都會找我，聊到他與蕭法官兩家都有往來，小孩子常常玩在一起，說在他最失意的時候，蕭法官曾幫忙他，所以這個人情他不能忘記，也不能不還。」又高玉舜書面資料載：「蕭仰歸法官在伊最落魄的時候，施以援</w:t>
      </w:r>
      <w:r w:rsidRPr="006A015A">
        <w:rPr>
          <w:rFonts w:hint="eastAsia"/>
        </w:rPr>
        <w:lastRenderedPageBreak/>
        <w:t>手，這份恩情不能不還。審判長說他與蕭仰歸法官交情深厚，彼此的家人亦熟識，被告小時候也常和伊的女兒玩在一起，他是看著被告長大的。」</w:t>
      </w:r>
    </w:p>
    <w:p w:rsidR="00CC6CA5" w:rsidRPr="006A015A" w:rsidRDefault="00CC6CA5" w:rsidP="00CC6CA5">
      <w:pPr>
        <w:pStyle w:val="5"/>
        <w:ind w:left="2042" w:hanging="851"/>
      </w:pPr>
      <w:r w:rsidRPr="006A015A">
        <w:rPr>
          <w:rFonts w:hint="eastAsia"/>
        </w:rPr>
        <w:t>高明哲稱：「因為他叫蕭賢綸，名字很特別，蕭仰歸跟我是同學，我們家庭常有來往，我家裡還有他小時候的照片。」又高明哲書面聲明載： 「蕭仰歸與我是大學同學，我們有同學交誼。」</w:t>
      </w:r>
    </w:p>
    <w:p w:rsidR="00CC6CA5" w:rsidRPr="006A015A" w:rsidRDefault="00CC6CA5" w:rsidP="00CC6CA5">
      <w:pPr>
        <w:pStyle w:val="4"/>
        <w:ind w:left="1701"/>
      </w:pPr>
      <w:r w:rsidRPr="006A015A">
        <w:rPr>
          <w:rFonts w:hint="eastAsia"/>
        </w:rPr>
        <w:t xml:space="preserve">本院於99年9月14日詢問高明哲筆錄載：「問：何時認識蕭仰歸？答：蕭法官是我大學同班同學，還滿熟的。」、「問：何時知道蕭賢綸是蕭仰歸之子？答：在他小時候我就認識了，他跟我女兒是同年。」又高明哲之答辯報告載：「被告蕭賢綸之父蕭仰歸法官與我是大學同學，訓練所前後期，已交往30餘年，蕭賢綸與我女兒同年，年輕時家庭常聚在一起，全家一同出遊過。」 </w:t>
      </w:r>
    </w:p>
    <w:p w:rsidR="00CC6CA5" w:rsidRPr="006A015A" w:rsidRDefault="00CC6CA5" w:rsidP="00CC6CA5">
      <w:pPr>
        <w:pStyle w:val="4"/>
        <w:ind w:left="1701"/>
      </w:pPr>
      <w:r w:rsidRPr="006A015A">
        <w:rPr>
          <w:rFonts w:hint="eastAsia"/>
        </w:rPr>
        <w:t>本院於99年9月15日詢問蕭仰歸筆錄載：「問：你與高明哲認識多久了？答：63年臺大同班同學，後來一直有接觸，因為都在司法界。」、「問：高明哲在受理這個案子之前，是否認識蕭賢綸？答：認識。我們有時候會帶小孩子參加同學會，所以會碰到。」又蕭仰歸之答辯報告載：「高明哲審判長與答辯人係大學同班同學，自63年同班求學迄今，已相識36年，早年一同立志報考法官、檢察官，其19期結業後分發至臺灣臺南地方法院服務，答辯人20期結業後，則分發至臺灣板橋地方法院任職，嗣於臺灣板橋地方法院、臺灣臺北地方法院及臺灣高院任職期間，更是3度同事，二家家庭成員早年就相互熟識，時有往來，且不時於同學餐敘或大學同學返臺聚會場合見面。」</w:t>
      </w:r>
    </w:p>
    <w:p w:rsidR="00CC6CA5" w:rsidRPr="006A015A" w:rsidRDefault="00CC6CA5" w:rsidP="00CC6CA5">
      <w:pPr>
        <w:pStyle w:val="3"/>
        <w:ind w:left="1360" w:hanging="680"/>
      </w:pPr>
      <w:r w:rsidRPr="006A015A">
        <w:rPr>
          <w:rFonts w:hint="eastAsia"/>
        </w:rPr>
        <w:lastRenderedPageBreak/>
        <w:t>審判長高明哲與被告蕭賢綸之父蕭仰歸係大學同班同學，且係3度在同一法院任職，又審判長高明哲與被告蕭賢綸自幼熟識，高明哲之女與被告蕭賢綸自幼就玩在一起，且高蕭兩家經常一同出遊。審判長高明哲與被告蕭賢綸之上開情誼，雖不符合刑事訴訟法第17條法官自行迴避之規定，審判長高明哲依法不需迴避，又審判長高明哲與蕭仰歸、蕭賢綸之關係，審判長高明哲要報恩還人情之情懷，「足認審判長高明哲執行職務有偏頗之虞」然而審判長高明哲與被告蕭賢綸係同一利益關係，被告蕭賢綸自不會依刑事訴訟法第18條規定，聲請審判長高明哲迴避。</w:t>
      </w:r>
    </w:p>
    <w:p w:rsidR="00CC6CA5" w:rsidRPr="006A015A" w:rsidRDefault="00CC6CA5" w:rsidP="00CC6CA5">
      <w:pPr>
        <w:pStyle w:val="3"/>
        <w:ind w:left="1360" w:hanging="680"/>
      </w:pPr>
      <w:r w:rsidRPr="006A015A">
        <w:rPr>
          <w:rFonts w:hint="eastAsia"/>
        </w:rPr>
        <w:t>審判長高明哲與被告蕭賢綸、最高法院前法官蕭仰歸之故舊情誼，無法適用刑事訴訟法第17條法官自行迴避之規定及刑事訴訟法第18條當事人聲請迴避之規定。又據本院之諮詢學者專家意見，有關法官與被告有故舊情誼應予透明化、揭露及自行迴避；</w:t>
      </w:r>
      <w:r w:rsidRPr="006A015A">
        <w:rPr>
          <w:rFonts w:hAnsi="標楷體" w:hint="eastAsia"/>
          <w:kern w:val="0"/>
          <w:szCs w:val="32"/>
        </w:rPr>
        <w:t>在美國立法例，像高明哲及蕭仰歸的關係及情誼，應予透明化及揭露。揭露，非法定事由及規定，要另簽自行迴避。揭露，是自行迴避的前題，</w:t>
      </w:r>
      <w:r w:rsidRPr="006A015A">
        <w:rPr>
          <w:rFonts w:hint="eastAsia"/>
        </w:rPr>
        <w:t>涉及立法及司法</w:t>
      </w:r>
      <w:r w:rsidRPr="006A015A">
        <w:rPr>
          <w:rFonts w:hAnsi="標楷體" w:hint="eastAsia"/>
          <w:kern w:val="0"/>
          <w:szCs w:val="32"/>
        </w:rPr>
        <w:t>lobby</w:t>
      </w:r>
      <w:r w:rsidRPr="006A015A">
        <w:rPr>
          <w:rStyle w:val="aff3"/>
          <w:rFonts w:hAnsi="標楷體"/>
          <w:kern w:val="0"/>
          <w:szCs w:val="32"/>
        </w:rPr>
        <w:footnoteReference w:id="2"/>
      </w:r>
      <w:r w:rsidRPr="006A015A">
        <w:rPr>
          <w:rFonts w:hAnsi="標楷體" w:hint="eastAsia"/>
          <w:kern w:val="0"/>
          <w:szCs w:val="32"/>
        </w:rPr>
        <w:t>問題。</w:t>
      </w:r>
      <w:r w:rsidRPr="006A015A">
        <w:rPr>
          <w:rFonts w:hint="eastAsia"/>
        </w:rPr>
        <w:t>司法院係刑事訴訟法之主管機關，針對此法律漏洞，應予研議修法，而在未修正刑事訴訟法以前，法官與被告有故舊情誼且熟識，兩人之關係應予透明化、揭露，並自行迴避。</w:t>
      </w:r>
    </w:p>
    <w:p w:rsidR="00CC6CA5" w:rsidRPr="006A015A" w:rsidRDefault="00CC6CA5" w:rsidP="00CC6CA5">
      <w:pPr>
        <w:pStyle w:val="3"/>
        <w:ind w:left="1360" w:hanging="680"/>
        <w:rPr>
          <w:rFonts w:ascii="新細明體" w:eastAsia="新細明體" w:hAnsi="新細明體" w:cs="新細明體"/>
          <w:kern w:val="0"/>
          <w:sz w:val="24"/>
          <w:szCs w:val="24"/>
        </w:rPr>
      </w:pPr>
      <w:r w:rsidRPr="006A015A">
        <w:rPr>
          <w:rFonts w:hint="eastAsia"/>
        </w:rPr>
        <w:t>綜上，最高法院前法官蕭仰歸和臺灣高院前審判長高明哲2人係大學同班同學，且3度同一法院之同事，又2家家人經常一起出遊，均有深厚故舊情誼，且審判長高明哲一心要報恩還人情，又與被告蕭賢綸自</w:t>
      </w:r>
      <w:r w:rsidRPr="006A015A">
        <w:rPr>
          <w:rFonts w:hint="eastAsia"/>
        </w:rPr>
        <w:lastRenderedPageBreak/>
        <w:t>幼熟識，審判長高明哲雖不符刑事訴訟法第17條各款應自行迴避不得執行職務之事由，又被告蕭賢綸與審判長高明哲係同一利益關係，被告蕭賢綸自不會依刑事訴訟法第18條各款聲請審判長高明哲迴避。司法院係刑事訴訟法之主管機關，針對上開情事之法律漏洞，應予研議修法，而在未修正刑事訴訟法相關規定以前，法官與被告有故舊情誼且自幼熟識，兩人之關係應予透明化、揭露，並自行迴避。</w:t>
      </w:r>
      <w:r w:rsidRPr="006A015A">
        <w:rPr>
          <w:rFonts w:ascii="新細明體" w:eastAsia="新細明體" w:hAnsi="新細明體" w:cs="新細明體" w:hint="eastAsia"/>
          <w:kern w:val="0"/>
          <w:sz w:val="24"/>
          <w:szCs w:val="24"/>
        </w:rPr>
        <w:t xml:space="preserve"> </w:t>
      </w:r>
    </w:p>
    <w:p w:rsidR="00593BDD" w:rsidRPr="006A015A" w:rsidRDefault="00712F56" w:rsidP="00F26587">
      <w:pPr>
        <w:pStyle w:val="2"/>
        <w:ind w:left="1020" w:hanging="680"/>
        <w:rPr>
          <w:b/>
        </w:rPr>
      </w:pPr>
      <w:r w:rsidRPr="006A015A">
        <w:rPr>
          <w:rFonts w:hint="eastAsia"/>
          <w:b/>
        </w:rPr>
        <w:t>本案</w:t>
      </w:r>
      <w:r w:rsidR="00855BBB" w:rsidRPr="006A015A">
        <w:rPr>
          <w:rFonts w:hint="eastAsia"/>
          <w:b/>
        </w:rPr>
        <w:t>係</w:t>
      </w:r>
      <w:r w:rsidRPr="006A015A">
        <w:rPr>
          <w:rFonts w:hint="eastAsia"/>
          <w:b/>
        </w:rPr>
        <w:t>因肇事逃逸的蕭賢綸，恐有緩刑前科，於將來</w:t>
      </w:r>
      <w:r w:rsidR="00ED54F3" w:rsidRPr="006A015A">
        <w:rPr>
          <w:rFonts w:hint="eastAsia"/>
          <w:b/>
        </w:rPr>
        <w:t>法</w:t>
      </w:r>
      <w:r w:rsidRPr="006A015A">
        <w:rPr>
          <w:rFonts w:hint="eastAsia"/>
          <w:b/>
        </w:rPr>
        <w:t>官</w:t>
      </w:r>
      <w:r w:rsidR="00ED54F3" w:rsidRPr="006A015A">
        <w:rPr>
          <w:rFonts w:hint="eastAsia"/>
          <w:b/>
        </w:rPr>
        <w:t>、檢察官</w:t>
      </w:r>
      <w:r w:rsidRPr="006A015A">
        <w:rPr>
          <w:rFonts w:hint="eastAsia"/>
          <w:b/>
        </w:rPr>
        <w:t>口試時被刷掉，</w:t>
      </w:r>
      <w:r w:rsidR="0033334A" w:rsidRPr="006A015A">
        <w:rPr>
          <w:rFonts w:hint="eastAsia"/>
          <w:b/>
        </w:rPr>
        <w:t>故</w:t>
      </w:r>
      <w:r w:rsidRPr="006A015A">
        <w:rPr>
          <w:rFonts w:hint="eastAsia"/>
          <w:b/>
        </w:rPr>
        <w:t>渠父</w:t>
      </w:r>
      <w:r w:rsidR="0033334A" w:rsidRPr="006A015A">
        <w:rPr>
          <w:rFonts w:hint="eastAsia"/>
          <w:b/>
        </w:rPr>
        <w:t>最高法院前法官</w:t>
      </w:r>
      <w:r w:rsidRPr="006A015A">
        <w:rPr>
          <w:rFonts w:hint="eastAsia"/>
          <w:b/>
        </w:rPr>
        <w:t>蕭仰歸即關說一審審判長鄭景文、</w:t>
      </w:r>
      <w:r w:rsidR="00907B72" w:rsidRPr="006A015A">
        <w:rPr>
          <w:rFonts w:hint="eastAsia"/>
          <w:b/>
        </w:rPr>
        <w:t>二審審判長高明哲及法官崔玲琦等人，目的就是要拼無罪判決</w:t>
      </w:r>
      <w:r w:rsidR="0033334A" w:rsidRPr="006A015A">
        <w:rPr>
          <w:rFonts w:hint="eastAsia"/>
          <w:b/>
        </w:rPr>
        <w:t>，高明哲與蕭仰歸係同學且私交深厚</w:t>
      </w:r>
      <w:r w:rsidR="007D4321" w:rsidRPr="006A015A">
        <w:rPr>
          <w:rFonts w:hint="eastAsia"/>
          <w:b/>
        </w:rPr>
        <w:t>，</w:t>
      </w:r>
      <w:r w:rsidR="002E343E" w:rsidRPr="006A015A">
        <w:rPr>
          <w:rFonts w:hint="eastAsia"/>
          <w:b/>
        </w:rPr>
        <w:t>高明哲遂接受關說，並關說受命法官高玉舜，</w:t>
      </w:r>
      <w:r w:rsidR="00124773" w:rsidRPr="006A015A">
        <w:rPr>
          <w:rFonts w:hint="eastAsia"/>
          <w:b/>
        </w:rPr>
        <w:t>於評議時，高明哲之心證已遭關說污染，致渠</w:t>
      </w:r>
      <w:r w:rsidR="00B64AE8" w:rsidRPr="006A015A">
        <w:rPr>
          <w:rFonts w:hint="eastAsia"/>
          <w:b/>
        </w:rPr>
        <w:t>製作之</w:t>
      </w:r>
      <w:r w:rsidR="00124773" w:rsidRPr="006A015A">
        <w:rPr>
          <w:rFonts w:hint="eastAsia"/>
          <w:b/>
        </w:rPr>
        <w:t>臺灣高院98年度交上訴字第169號判決，違反經驗法則及論理法則，</w:t>
      </w:r>
      <w:r w:rsidR="00B64AE8" w:rsidRPr="006A015A">
        <w:rPr>
          <w:rFonts w:hint="eastAsia"/>
          <w:b/>
        </w:rPr>
        <w:t>經檢察總長提起非常上訴，復經最高法院判決駁回</w:t>
      </w:r>
      <w:r w:rsidR="0004646C" w:rsidRPr="006A015A">
        <w:rPr>
          <w:rFonts w:hint="eastAsia"/>
          <w:b/>
        </w:rPr>
        <w:t>。</w:t>
      </w:r>
      <w:r w:rsidR="00B64AE8" w:rsidRPr="006A015A">
        <w:rPr>
          <w:rFonts w:hint="eastAsia"/>
          <w:b/>
        </w:rPr>
        <w:t>另臺北地檢署</w:t>
      </w:r>
      <w:r w:rsidR="00A911F4" w:rsidRPr="006A015A">
        <w:rPr>
          <w:rFonts w:hint="eastAsia"/>
          <w:b/>
        </w:rPr>
        <w:t>認為高明哲無枉法裁判之情形而簽結，</w:t>
      </w:r>
      <w:r w:rsidR="002D26BC" w:rsidRPr="006A015A">
        <w:rPr>
          <w:rFonts w:hint="eastAsia"/>
          <w:b/>
        </w:rPr>
        <w:t>惟查鄭景文、崔玲琦及高玉舜等證人之證述</w:t>
      </w:r>
      <w:r w:rsidR="00BD67C8" w:rsidRPr="006A015A">
        <w:rPr>
          <w:rFonts w:hint="eastAsia"/>
          <w:b/>
        </w:rPr>
        <w:t>，高明哲之心證</w:t>
      </w:r>
      <w:r w:rsidR="0004646C" w:rsidRPr="006A015A">
        <w:rPr>
          <w:rFonts w:hint="eastAsia"/>
          <w:b/>
        </w:rPr>
        <w:t>確</w:t>
      </w:r>
      <w:r w:rsidR="00BD67C8" w:rsidRPr="006A015A">
        <w:rPr>
          <w:rFonts w:hint="eastAsia"/>
          <w:b/>
        </w:rPr>
        <w:t>已遭關說污染</w:t>
      </w:r>
      <w:r w:rsidR="002D26BC" w:rsidRPr="006A015A">
        <w:rPr>
          <w:rFonts w:hint="eastAsia"/>
          <w:b/>
        </w:rPr>
        <w:t>，及最高法院109年度台抗字第257號刑事裁定</w:t>
      </w:r>
      <w:r w:rsidR="0004646C" w:rsidRPr="006A015A">
        <w:rPr>
          <w:rFonts w:hint="eastAsia"/>
          <w:b/>
        </w:rPr>
        <w:t>認為</w:t>
      </w:r>
      <w:r w:rsidR="002D26BC" w:rsidRPr="006A015A">
        <w:rPr>
          <w:rFonts w:hint="eastAsia"/>
          <w:b/>
        </w:rPr>
        <w:t>，高明哲於評議時陳述之意見，當</w:t>
      </w:r>
      <w:r w:rsidR="0004646C" w:rsidRPr="006A015A">
        <w:rPr>
          <w:rFonts w:hint="eastAsia"/>
          <w:b/>
        </w:rPr>
        <w:t>時</w:t>
      </w:r>
      <w:r w:rsidR="002D26BC" w:rsidRPr="006A015A">
        <w:rPr>
          <w:rFonts w:hint="eastAsia"/>
          <w:b/>
        </w:rPr>
        <w:t>已受關說污染無誤</w:t>
      </w:r>
      <w:r w:rsidR="00BD67C8" w:rsidRPr="006A015A">
        <w:rPr>
          <w:rFonts w:hint="eastAsia"/>
          <w:b/>
        </w:rPr>
        <w:t>，渠</w:t>
      </w:r>
      <w:r w:rsidR="0069444A" w:rsidRPr="006A015A">
        <w:rPr>
          <w:rFonts w:hint="eastAsia"/>
          <w:b/>
        </w:rPr>
        <w:t>明知法律而故為出入，</w:t>
      </w:r>
      <w:r w:rsidR="00BD67C8" w:rsidRPr="006A015A">
        <w:rPr>
          <w:rFonts w:hint="eastAsia"/>
          <w:b/>
        </w:rPr>
        <w:t>已涉及違反刑法第124條枉法裁判罪之虞。</w:t>
      </w:r>
      <w:r w:rsidR="00A911F4" w:rsidRPr="006A015A">
        <w:rPr>
          <w:b/>
        </w:rPr>
        <w:t xml:space="preserve"> </w:t>
      </w:r>
    </w:p>
    <w:p w:rsidR="003D1797" w:rsidRPr="006A015A" w:rsidRDefault="003D1797" w:rsidP="003D1797">
      <w:pPr>
        <w:pStyle w:val="3"/>
        <w:ind w:left="1360" w:hanging="680"/>
        <w:rPr>
          <w:rFonts w:hAnsi="標楷體"/>
          <w:szCs w:val="32"/>
        </w:rPr>
      </w:pPr>
      <w:r w:rsidRPr="006A015A">
        <w:rPr>
          <w:rFonts w:hint="eastAsia"/>
        </w:rPr>
        <w:t>依刑法第124條規定：「有審判職務之公務員或仲裁人，為枉法之裁判或仲裁者，處1年以上7年以下有期徒刑。」復依</w:t>
      </w:r>
      <w:r w:rsidRPr="006A015A">
        <w:t>最高法院29年度上字第1474號判例</w:t>
      </w:r>
      <w:r w:rsidRPr="006A015A">
        <w:rPr>
          <w:rFonts w:hint="eastAsia"/>
        </w:rPr>
        <w:t>：「刑法第1</w:t>
      </w:r>
      <w:r w:rsidRPr="006A015A">
        <w:t>24</w:t>
      </w:r>
      <w:r w:rsidRPr="006A015A">
        <w:rPr>
          <w:rFonts w:hint="eastAsia"/>
        </w:rPr>
        <w:t>條所謂枉法之裁判，係指故意不依法律之規定而為裁判，即指明知法律而故為出入者而言。」、</w:t>
      </w:r>
      <w:r w:rsidRPr="006A015A">
        <w:t>最高法院54年度台上字第246號判例</w:t>
      </w:r>
      <w:r w:rsidRPr="006A015A">
        <w:rPr>
          <w:rFonts w:hint="eastAsia"/>
        </w:rPr>
        <w:t>：「刑法第1</w:t>
      </w:r>
      <w:r w:rsidRPr="006A015A">
        <w:t>24</w:t>
      </w:r>
      <w:r w:rsidRPr="006A015A">
        <w:rPr>
          <w:rFonts w:hint="eastAsia"/>
        </w:rPr>
        <w:t>條之枉法裁判罪，係侵害國家法益之罪，縱裁</w:t>
      </w:r>
      <w:r w:rsidRPr="006A015A">
        <w:rPr>
          <w:rFonts w:hint="eastAsia"/>
        </w:rPr>
        <w:lastRenderedPageBreak/>
        <w:t>判結果於個人權益不無影響，但該罪既為維護司法權之正當行使而設，是其直接受害者究為國家，並非個人，個人即非因犯罪而同時被害者，自不得提起自訴。」、</w:t>
      </w:r>
      <w:r w:rsidRPr="006A015A">
        <w:t>最高法院106年度台上字第1942號判決</w:t>
      </w:r>
      <w:r w:rsidRPr="006A015A">
        <w:rPr>
          <w:rFonts w:hint="eastAsia"/>
        </w:rPr>
        <w:t>：「刑法第124條之枉法裁判罪，係指有權裁判者故意不依法律之規定而為裁判，其枉法裁判之結果，未必專對當事人之一方有利或不利，難謂自訴人或被告之一方定為直接被害人。進而言之，該罪係處罰有審判職務之公務員為枉法之裁判，致司法喪失威信，乃侵害國家法益之罪，縱裁判結果，於個人之權益不無影響，但該罪既為維護司法權之正當行使而設，是其直接受害者，究為國家，並非個人，個人即非因犯罪而同時被害者，自不得提起自訴，已屬實務及學說上穩定之一貫見解。」</w:t>
      </w:r>
    </w:p>
    <w:p w:rsidR="009928F1" w:rsidRPr="006A015A" w:rsidRDefault="00E41BF9" w:rsidP="003D1797">
      <w:pPr>
        <w:pStyle w:val="3"/>
        <w:ind w:left="1360" w:hanging="680"/>
        <w:rPr>
          <w:rFonts w:hAnsi="標楷體"/>
          <w:szCs w:val="32"/>
        </w:rPr>
      </w:pPr>
      <w:r w:rsidRPr="006A015A">
        <w:rPr>
          <w:rFonts w:hint="eastAsia"/>
        </w:rPr>
        <w:t>臺北地檢署99年度他字第8185號案簽結之簽（99年9月2日），認為</w:t>
      </w:r>
      <w:r w:rsidRPr="006A015A">
        <w:rPr>
          <w:rFonts w:hAnsi="標楷體" w:hint="eastAsia"/>
          <w:kern w:val="0"/>
          <w:szCs w:val="32"/>
        </w:rPr>
        <w:t>無枉法裁判之情形：</w:t>
      </w:r>
    </w:p>
    <w:p w:rsidR="00E41BF9" w:rsidRPr="006A015A" w:rsidRDefault="00E41BF9" w:rsidP="00E41BF9">
      <w:pPr>
        <w:pStyle w:val="4"/>
        <w:ind w:left="1701"/>
      </w:pPr>
      <w:r w:rsidRPr="006A015A">
        <w:rPr>
          <w:rFonts w:hAnsi="標楷體" w:hint="eastAsia"/>
          <w:kern w:val="0"/>
          <w:szCs w:val="32"/>
        </w:rPr>
        <w:t>縱認高明哲受蕭仰歸之關說，惟無證據證明該無罪判決係因關說所致。</w:t>
      </w:r>
    </w:p>
    <w:p w:rsidR="00E41BF9" w:rsidRPr="006A015A" w:rsidRDefault="00E41BF9" w:rsidP="00E41BF9">
      <w:pPr>
        <w:pStyle w:val="4"/>
        <w:ind w:left="1701"/>
      </w:pPr>
      <w:r w:rsidRPr="006A015A">
        <w:rPr>
          <w:rFonts w:hAnsi="標楷體" w:hint="eastAsia"/>
          <w:kern w:val="0"/>
          <w:szCs w:val="32"/>
        </w:rPr>
        <w:t>高明哲所製作之無罪判決，已在理由欄詳敘形成無罪心證之理由，即對卷內證據為評價後，而無法形成有罪之確信，而撤銷原判決，改判無罪。縱該無罪判決有違背經驗法則或論理法則之處，係該判決有無刑事訴訟法第378條之判決不適用法則或適用法則不當之違背法令情形，而得據為上訴第3審之理由，尚無其無罪理由有違背經驗法則或論理法則之情形，尚無以對法官自由心證裁量權行使之結果，為相異之評價，而據論有枉法裁判之情。</w:t>
      </w:r>
    </w:p>
    <w:p w:rsidR="00DC344F" w:rsidRPr="006A015A" w:rsidRDefault="00DC3283" w:rsidP="00AD0A30">
      <w:pPr>
        <w:pStyle w:val="3"/>
        <w:ind w:left="1360" w:hanging="680"/>
        <w:rPr>
          <w:szCs w:val="32"/>
        </w:rPr>
      </w:pPr>
      <w:r w:rsidRPr="006A015A">
        <w:rPr>
          <w:rFonts w:hint="eastAsia"/>
          <w:szCs w:val="32"/>
        </w:rPr>
        <w:t>惟</w:t>
      </w:r>
      <w:r w:rsidR="00AD0A30" w:rsidRPr="006A015A">
        <w:rPr>
          <w:rFonts w:hint="eastAsia"/>
          <w:szCs w:val="32"/>
        </w:rPr>
        <w:t>查高明哲之心證已受關說之污染</w:t>
      </w:r>
      <w:r w:rsidR="006337AE" w:rsidRPr="006A015A">
        <w:rPr>
          <w:rFonts w:hint="eastAsia"/>
          <w:szCs w:val="32"/>
        </w:rPr>
        <w:t>，</w:t>
      </w:r>
      <w:r w:rsidR="0035436D" w:rsidRPr="006A015A">
        <w:rPr>
          <w:rFonts w:hint="eastAsia"/>
          <w:szCs w:val="32"/>
        </w:rPr>
        <w:t>致本案</w:t>
      </w:r>
      <w:r w:rsidR="00ED6490" w:rsidRPr="006A015A">
        <w:rPr>
          <w:rFonts w:hint="eastAsia"/>
          <w:szCs w:val="32"/>
        </w:rPr>
        <w:t>無罪</w:t>
      </w:r>
      <w:r w:rsidRPr="006A015A">
        <w:rPr>
          <w:rFonts w:hint="eastAsia"/>
          <w:szCs w:val="32"/>
        </w:rPr>
        <w:t>判決有違經驗法則及論理法則</w:t>
      </w:r>
      <w:r w:rsidR="0035436D" w:rsidRPr="006A015A">
        <w:rPr>
          <w:rFonts w:hint="eastAsia"/>
          <w:szCs w:val="32"/>
        </w:rPr>
        <w:t>，渠</w:t>
      </w:r>
      <w:r w:rsidR="00AD0A30" w:rsidRPr="006A015A">
        <w:rPr>
          <w:rFonts w:hint="eastAsia"/>
          <w:szCs w:val="32"/>
        </w:rPr>
        <w:t>有枉法裁判之</w:t>
      </w:r>
      <w:r w:rsidR="00152E26" w:rsidRPr="006A015A">
        <w:rPr>
          <w:rFonts w:hint="eastAsia"/>
          <w:szCs w:val="32"/>
          <w:lang w:eastAsia="zh-HK"/>
        </w:rPr>
        <w:t>虞</w:t>
      </w:r>
      <w:r w:rsidR="0035436D" w:rsidRPr="006A015A">
        <w:rPr>
          <w:rFonts w:hint="eastAsia"/>
          <w:szCs w:val="32"/>
        </w:rPr>
        <w:t>，</w:t>
      </w:r>
      <w:r w:rsidR="0035436D" w:rsidRPr="006A015A">
        <w:rPr>
          <w:rFonts w:hint="eastAsia"/>
          <w:szCs w:val="32"/>
        </w:rPr>
        <w:lastRenderedPageBreak/>
        <w:t>昭然可見</w:t>
      </w:r>
      <w:r w:rsidR="006C77FD" w:rsidRPr="006A015A">
        <w:rPr>
          <w:rFonts w:hint="eastAsia"/>
          <w:szCs w:val="32"/>
        </w:rPr>
        <w:t>：</w:t>
      </w:r>
    </w:p>
    <w:p w:rsidR="008D65C0" w:rsidRPr="006A015A" w:rsidRDefault="009B12BC" w:rsidP="008D65C0">
      <w:pPr>
        <w:pStyle w:val="4"/>
        <w:ind w:left="1701"/>
      </w:pPr>
      <w:r w:rsidRPr="006A015A">
        <w:rPr>
          <w:rFonts w:hint="eastAsia"/>
          <w:szCs w:val="32"/>
        </w:rPr>
        <w:t>高明哲辯稱，</w:t>
      </w:r>
      <w:r w:rsidR="00FD6F20" w:rsidRPr="006A015A">
        <w:rPr>
          <w:rFonts w:hint="eastAsia"/>
          <w:szCs w:val="32"/>
        </w:rPr>
        <w:t>蕭仰歸未關說</w:t>
      </w:r>
      <w:r w:rsidRPr="006A015A">
        <w:rPr>
          <w:rFonts w:hint="eastAsia"/>
          <w:szCs w:val="32"/>
        </w:rPr>
        <w:t>渠</w:t>
      </w:r>
      <w:r w:rsidR="00FD6F20" w:rsidRPr="006A015A">
        <w:rPr>
          <w:rFonts w:hint="eastAsia"/>
          <w:szCs w:val="32"/>
        </w:rPr>
        <w:t>，且</w:t>
      </w:r>
      <w:r w:rsidRPr="006A015A">
        <w:rPr>
          <w:rFonts w:hint="eastAsia"/>
          <w:szCs w:val="32"/>
        </w:rPr>
        <w:t>心證</w:t>
      </w:r>
      <w:r w:rsidR="00FD6F20" w:rsidRPr="006A015A">
        <w:rPr>
          <w:rFonts w:hint="eastAsia"/>
          <w:szCs w:val="32"/>
        </w:rPr>
        <w:t>未</w:t>
      </w:r>
      <w:r w:rsidRPr="006A015A">
        <w:rPr>
          <w:rFonts w:hint="eastAsia"/>
          <w:szCs w:val="32"/>
        </w:rPr>
        <w:t>污染：</w:t>
      </w:r>
    </w:p>
    <w:p w:rsidR="008E6964" w:rsidRPr="006A015A" w:rsidRDefault="00FD6F20" w:rsidP="008E6964">
      <w:pPr>
        <w:pStyle w:val="5"/>
        <w:ind w:left="2042" w:hanging="851"/>
      </w:pPr>
      <w:r w:rsidRPr="006A015A">
        <w:rPr>
          <w:rFonts w:hint="eastAsia"/>
          <w:szCs w:val="32"/>
        </w:rPr>
        <w:t>查</w:t>
      </w:r>
      <w:r w:rsidR="008E6964" w:rsidRPr="006A015A">
        <w:rPr>
          <w:rFonts w:hint="eastAsia"/>
          <w:szCs w:val="32"/>
        </w:rPr>
        <w:t>臺灣高院於99年8月12日99年度第5次法官自律委員會會議紀錄載</w:t>
      </w:r>
      <w:r w:rsidR="004A0495" w:rsidRPr="006A015A">
        <w:rPr>
          <w:rFonts w:hint="eastAsia"/>
          <w:szCs w:val="32"/>
        </w:rPr>
        <w:t>，</w:t>
      </w:r>
      <w:r w:rsidR="008E6964" w:rsidRPr="006A015A">
        <w:rPr>
          <w:rFonts w:hint="eastAsia"/>
          <w:szCs w:val="32"/>
        </w:rPr>
        <w:t>「問：在你收到案子、閱卷、言詞辯論的中間</w:t>
      </w:r>
      <w:r w:rsidRPr="006A015A">
        <w:rPr>
          <w:rFonts w:hint="eastAsia"/>
          <w:szCs w:val="32"/>
        </w:rPr>
        <w:t>，蕭仰歸有沒有跟你提及這件事情？答：沒有跟我提及，但在我收到這案子之前，我們知道有這個案子，……」、「問：你當審判長，</w:t>
      </w:r>
      <w:r w:rsidR="00ED6490" w:rsidRPr="006A015A">
        <w:rPr>
          <w:rFonts w:hint="eastAsia"/>
          <w:szCs w:val="32"/>
        </w:rPr>
        <w:t>受</w:t>
      </w:r>
      <w:r w:rsidRPr="006A015A">
        <w:rPr>
          <w:rFonts w:hint="eastAsia"/>
          <w:szCs w:val="32"/>
        </w:rPr>
        <w:t>命法官的判決你親筆寫過幾件？答：我當審判長只有1年，只有這1件，…。」</w:t>
      </w:r>
    </w:p>
    <w:p w:rsidR="00047E32" w:rsidRPr="006A015A" w:rsidRDefault="009A7EDD" w:rsidP="008E6964">
      <w:pPr>
        <w:pStyle w:val="5"/>
        <w:ind w:left="2042" w:hanging="851"/>
      </w:pPr>
      <w:r w:rsidRPr="006A015A">
        <w:rPr>
          <w:rFonts w:hint="eastAsia"/>
        </w:rPr>
        <w:t>臺北地檢署</w:t>
      </w:r>
      <w:r w:rsidR="00B453A4" w:rsidRPr="006A015A">
        <w:rPr>
          <w:rFonts w:hint="eastAsia"/>
        </w:rPr>
        <w:t>99年8月1</w:t>
      </w:r>
      <w:r w:rsidR="00B453A4" w:rsidRPr="006A015A">
        <w:t>7</w:t>
      </w:r>
      <w:r w:rsidR="00B453A4" w:rsidRPr="006A015A">
        <w:rPr>
          <w:rFonts w:hint="eastAsia"/>
        </w:rPr>
        <w:t>日訊問高明哲筆錄載</w:t>
      </w:r>
      <w:r w:rsidR="004A0495" w:rsidRPr="006A015A">
        <w:rPr>
          <w:rFonts w:hint="eastAsia"/>
        </w:rPr>
        <w:t>，</w:t>
      </w:r>
      <w:r w:rsidR="00B453A4" w:rsidRPr="006A015A">
        <w:rPr>
          <w:rFonts w:hint="eastAsia"/>
        </w:rPr>
        <w:t xml:space="preserve"> 「</w:t>
      </w:r>
      <w:r w:rsidR="00B453A4" w:rsidRPr="006A015A">
        <w:rPr>
          <w:rFonts w:hint="eastAsia"/>
          <w:szCs w:val="32"/>
        </w:rPr>
        <w:t>蕭仰歸有因為</w:t>
      </w:r>
      <w:r w:rsidR="00B453A4" w:rsidRPr="006A015A">
        <w:rPr>
          <w:rFonts w:hint="eastAsia"/>
        </w:rPr>
        <w:t>蕭賢綸這個案子找過你？答：沒有。」、「問：你不是因為蕭賢綸的父親是</w:t>
      </w:r>
      <w:r w:rsidR="00B453A4" w:rsidRPr="006A015A">
        <w:rPr>
          <w:rFonts w:hint="eastAsia"/>
          <w:szCs w:val="32"/>
        </w:rPr>
        <w:t>蕭仰歸而形成無罪心證？答：不是，我因為家庭成員健康之因素，經常認為自己當法官是不是酷吏，所以最近1年以來，我嚴格遵守無罪推定、罪疑唯輕、利益歸於被告的法則，並參酌修復式正義的精神採證從寛。」</w:t>
      </w:r>
      <w:r w:rsidR="00683D29" w:rsidRPr="006A015A">
        <w:rPr>
          <w:rFonts w:hint="eastAsia"/>
          <w:szCs w:val="32"/>
        </w:rPr>
        <w:t>、「問：這個案子有無人跟你關說過要判無罪</w:t>
      </w:r>
      <w:r w:rsidR="00A15463" w:rsidRPr="006A015A">
        <w:rPr>
          <w:rFonts w:hint="eastAsia"/>
          <w:szCs w:val="32"/>
        </w:rPr>
        <w:t>？</w:t>
      </w:r>
      <w:r w:rsidR="00683D29" w:rsidRPr="006A015A">
        <w:rPr>
          <w:rFonts w:hint="eastAsia"/>
          <w:szCs w:val="32"/>
        </w:rPr>
        <w:t>答：</w:t>
      </w:r>
      <w:r w:rsidR="00A15463" w:rsidRPr="006A015A">
        <w:rPr>
          <w:rFonts w:hint="eastAsia"/>
          <w:szCs w:val="32"/>
        </w:rPr>
        <w:t>沒有。</w:t>
      </w:r>
      <w:r w:rsidR="00683D29" w:rsidRPr="006A015A">
        <w:rPr>
          <w:rFonts w:hint="eastAsia"/>
          <w:szCs w:val="32"/>
        </w:rPr>
        <w:t>」</w:t>
      </w:r>
      <w:r w:rsidR="00A15463" w:rsidRPr="006A015A">
        <w:rPr>
          <w:rFonts w:hint="eastAsia"/>
          <w:szCs w:val="32"/>
        </w:rPr>
        <w:t>、「問：蕭仰歸本人或有無透過其他人向你關說本案？答：沒有。」</w:t>
      </w:r>
    </w:p>
    <w:p w:rsidR="00525633" w:rsidRPr="006A015A" w:rsidRDefault="00874FCB" w:rsidP="008E6964">
      <w:pPr>
        <w:pStyle w:val="5"/>
        <w:ind w:left="2042" w:hanging="851"/>
      </w:pPr>
      <w:r w:rsidRPr="006A015A">
        <w:rPr>
          <w:rFonts w:hint="eastAsia"/>
        </w:rPr>
        <w:t>本院99年9月</w:t>
      </w:r>
      <w:r w:rsidRPr="006A015A">
        <w:t>14</w:t>
      </w:r>
      <w:r w:rsidRPr="006A015A">
        <w:rPr>
          <w:rFonts w:hint="eastAsia"/>
        </w:rPr>
        <w:t>日詢問</w:t>
      </w:r>
      <w:r w:rsidRPr="006A015A">
        <w:rPr>
          <w:rFonts w:hint="eastAsia"/>
          <w:szCs w:val="32"/>
        </w:rPr>
        <w:t>高明哲</w:t>
      </w:r>
      <w:r w:rsidRPr="006A015A">
        <w:rPr>
          <w:rFonts w:hint="eastAsia"/>
        </w:rPr>
        <w:t>之筆錄載</w:t>
      </w:r>
      <w:r w:rsidR="004A0495" w:rsidRPr="006A015A">
        <w:rPr>
          <w:rFonts w:hint="eastAsia"/>
        </w:rPr>
        <w:t>，</w:t>
      </w:r>
      <w:r w:rsidRPr="006A015A">
        <w:rPr>
          <w:rFonts w:hint="eastAsia"/>
        </w:rPr>
        <w:t>「問：在該案審理時間</w:t>
      </w:r>
      <w:r w:rsidR="009B434C" w:rsidRPr="006A015A">
        <w:rPr>
          <w:rFonts w:hint="eastAsia"/>
        </w:rPr>
        <w:t>，</w:t>
      </w:r>
      <w:r w:rsidR="009B434C" w:rsidRPr="006A015A">
        <w:rPr>
          <w:rFonts w:hint="eastAsia"/>
          <w:szCs w:val="32"/>
        </w:rPr>
        <w:t>蕭仰歸是否曾與你碰面或通訊？答：沒有（重複4次），因為我們是同學見面是沒有，如果說有通訊，我想應該也是沒有，但沒有為了這個事情而通訊，印象中也沒有為了此事而通訊。」、「問：我問的很清楚，我再講清楚一點，在該案件受理期間，你跟蕭仰歸有</w:t>
      </w:r>
      <w:r w:rsidR="0073028A" w:rsidRPr="006A015A">
        <w:rPr>
          <w:rFonts w:hint="eastAsia"/>
          <w:szCs w:val="32"/>
        </w:rPr>
        <w:t>沒</w:t>
      </w:r>
      <w:r w:rsidR="009B434C" w:rsidRPr="006A015A">
        <w:rPr>
          <w:rFonts w:hint="eastAsia"/>
          <w:szCs w:val="32"/>
        </w:rPr>
        <w:t>有見面過或者用其他方式通訊？答：沒有。」、「問：9</w:t>
      </w:r>
      <w:r w:rsidR="009B434C" w:rsidRPr="006A015A">
        <w:rPr>
          <w:szCs w:val="32"/>
        </w:rPr>
        <w:t>8</w:t>
      </w:r>
      <w:r w:rsidR="009B434C" w:rsidRPr="006A015A">
        <w:rPr>
          <w:rFonts w:hint="eastAsia"/>
          <w:szCs w:val="32"/>
        </w:rPr>
        <w:t>年12月3日、9日晚上，你與蕭</w:t>
      </w:r>
      <w:r w:rsidR="009B434C" w:rsidRPr="006A015A">
        <w:rPr>
          <w:rFonts w:hint="eastAsia"/>
          <w:szCs w:val="32"/>
        </w:rPr>
        <w:lastRenderedPageBreak/>
        <w:t>仰歸、</w:t>
      </w:r>
      <w:r w:rsidR="00C912EF">
        <w:rPr>
          <w:rFonts w:hint="eastAsia"/>
          <w:szCs w:val="32"/>
        </w:rPr>
        <w:t>李○發</w:t>
      </w:r>
      <w:r w:rsidR="009B434C" w:rsidRPr="006A015A">
        <w:rPr>
          <w:rFonts w:hint="eastAsia"/>
          <w:szCs w:val="32"/>
        </w:rPr>
        <w:t>等人是否於臨沂街馥園餐廳用餐？答：日期不記得，但與</w:t>
      </w:r>
      <w:r w:rsidR="00C912EF">
        <w:rPr>
          <w:rFonts w:hint="eastAsia"/>
          <w:szCs w:val="32"/>
        </w:rPr>
        <w:t>李○發</w:t>
      </w:r>
      <w:r w:rsidR="009B434C" w:rsidRPr="006A015A">
        <w:rPr>
          <w:rFonts w:hint="eastAsia"/>
          <w:szCs w:val="32"/>
        </w:rPr>
        <w:t>聚餐過，應該有2次。」、「問：那2次蕭仰歸是否有參加？答：有。</w:t>
      </w:r>
      <w:r w:rsidR="00210868" w:rsidRPr="006A015A">
        <w:rPr>
          <w:rFonts w:hint="eastAsia"/>
          <w:szCs w:val="32"/>
        </w:rPr>
        <w:t>」</w:t>
      </w:r>
    </w:p>
    <w:p w:rsidR="00210868" w:rsidRPr="006A015A" w:rsidRDefault="00632E9D" w:rsidP="008E6964">
      <w:pPr>
        <w:pStyle w:val="5"/>
        <w:ind w:left="2042" w:hanging="851"/>
      </w:pPr>
      <w:r w:rsidRPr="006A015A">
        <w:rPr>
          <w:rFonts w:hint="eastAsia"/>
        </w:rPr>
        <w:t>本院99年9月</w:t>
      </w:r>
      <w:r w:rsidRPr="006A015A">
        <w:t>15</w:t>
      </w:r>
      <w:r w:rsidRPr="006A015A">
        <w:rPr>
          <w:rFonts w:hint="eastAsia"/>
        </w:rPr>
        <w:t>日詢問</w:t>
      </w:r>
      <w:r w:rsidRPr="006A015A">
        <w:rPr>
          <w:rFonts w:hint="eastAsia"/>
          <w:szCs w:val="32"/>
        </w:rPr>
        <w:t>蕭仰歸</w:t>
      </w:r>
      <w:r w:rsidRPr="006A015A">
        <w:rPr>
          <w:rFonts w:hint="eastAsia"/>
        </w:rPr>
        <w:t>之筆錄載</w:t>
      </w:r>
      <w:r w:rsidR="004A0495" w:rsidRPr="006A015A">
        <w:rPr>
          <w:rFonts w:hint="eastAsia"/>
        </w:rPr>
        <w:t>，</w:t>
      </w:r>
      <w:r w:rsidRPr="006A015A">
        <w:rPr>
          <w:rFonts w:hint="eastAsia"/>
        </w:rPr>
        <w:t>「問：在臺灣高院辦理蕭賢綸肇事逃逸案，你有沒有找過高明哲？答：沒有，也沒有在法院外其他地方碰過頭。印象中沒有，因為時間很久了。」惟</w:t>
      </w:r>
      <w:r w:rsidRPr="006A015A">
        <w:rPr>
          <w:rFonts w:hint="eastAsia"/>
          <w:szCs w:val="32"/>
        </w:rPr>
        <w:t>蕭仰歸於99年9月24日之答辯書載，12月3日之餐敘，高明哲應曾與會，12月</w:t>
      </w:r>
      <w:r w:rsidRPr="006A015A">
        <w:rPr>
          <w:szCs w:val="32"/>
        </w:rPr>
        <w:t>9</w:t>
      </w:r>
      <w:r w:rsidRPr="006A015A">
        <w:rPr>
          <w:rFonts w:hint="eastAsia"/>
          <w:szCs w:val="32"/>
        </w:rPr>
        <w:t>日之餐敘，印象中高審判長當日亦曾受邀參加。</w:t>
      </w:r>
    </w:p>
    <w:p w:rsidR="009B12BC" w:rsidRPr="006A015A" w:rsidRDefault="00DC3283" w:rsidP="008D65C0">
      <w:pPr>
        <w:pStyle w:val="4"/>
        <w:ind w:left="1701"/>
      </w:pPr>
      <w:r w:rsidRPr="006A015A">
        <w:rPr>
          <w:rFonts w:hint="eastAsia"/>
          <w:szCs w:val="32"/>
        </w:rPr>
        <w:t>然</w:t>
      </w:r>
      <w:r w:rsidR="009B12BC" w:rsidRPr="006A015A">
        <w:rPr>
          <w:rFonts w:hint="eastAsia"/>
          <w:szCs w:val="32"/>
        </w:rPr>
        <w:t>查</w:t>
      </w:r>
      <w:r w:rsidR="001F474A" w:rsidRPr="006A015A">
        <w:rPr>
          <w:rFonts w:hint="eastAsia"/>
          <w:szCs w:val="32"/>
        </w:rPr>
        <w:t>實則</w:t>
      </w:r>
      <w:r w:rsidR="00B52095" w:rsidRPr="006A015A">
        <w:rPr>
          <w:rFonts w:hint="eastAsia"/>
          <w:szCs w:val="32"/>
        </w:rPr>
        <w:t>蕭仰歸關說一審審判長鄭景文，而鄭景文拒絕關說，</w:t>
      </w:r>
      <w:r w:rsidR="00F55181" w:rsidRPr="006A015A">
        <w:rPr>
          <w:rFonts w:hint="eastAsia"/>
          <w:szCs w:val="32"/>
        </w:rPr>
        <w:t>蕭仰歸又關說</w:t>
      </w:r>
      <w:r w:rsidR="002434ED" w:rsidRPr="006A015A">
        <w:rPr>
          <w:rFonts w:hint="eastAsia"/>
          <w:szCs w:val="32"/>
        </w:rPr>
        <w:t>法官</w:t>
      </w:r>
      <w:r w:rsidR="00F55181" w:rsidRPr="006A015A">
        <w:rPr>
          <w:rFonts w:hint="eastAsia"/>
          <w:szCs w:val="32"/>
        </w:rPr>
        <w:t>崔</w:t>
      </w:r>
      <w:r w:rsidR="002434ED" w:rsidRPr="006A015A">
        <w:rPr>
          <w:rFonts w:hint="eastAsia"/>
          <w:szCs w:val="32"/>
        </w:rPr>
        <w:t>玲琦，而崔玲琦拒絕傳話及關說，</w:t>
      </w:r>
      <w:r w:rsidR="00B52095" w:rsidRPr="006A015A">
        <w:rPr>
          <w:rFonts w:hint="eastAsia"/>
          <w:szCs w:val="32"/>
        </w:rPr>
        <w:t>蕭仰歸又關說二審審判長</w:t>
      </w:r>
      <w:r w:rsidRPr="006A015A">
        <w:rPr>
          <w:rFonts w:hint="eastAsia"/>
          <w:szCs w:val="32"/>
        </w:rPr>
        <w:t>高明哲</w:t>
      </w:r>
      <w:r w:rsidR="00B52095" w:rsidRPr="006A015A">
        <w:rPr>
          <w:rFonts w:hint="eastAsia"/>
          <w:szCs w:val="32"/>
        </w:rPr>
        <w:t>，而高明哲</w:t>
      </w:r>
      <w:r w:rsidRPr="006A015A">
        <w:rPr>
          <w:rFonts w:hint="eastAsia"/>
          <w:szCs w:val="32"/>
        </w:rPr>
        <w:t>接受</w:t>
      </w:r>
      <w:r w:rsidR="00B52095" w:rsidRPr="006A015A">
        <w:rPr>
          <w:rFonts w:hint="eastAsia"/>
          <w:szCs w:val="32"/>
        </w:rPr>
        <w:t>關說</w:t>
      </w:r>
      <w:r w:rsidRPr="006A015A">
        <w:rPr>
          <w:rFonts w:hint="eastAsia"/>
          <w:szCs w:val="32"/>
        </w:rPr>
        <w:t>，且</w:t>
      </w:r>
      <w:r w:rsidR="002C0110" w:rsidRPr="006A015A">
        <w:rPr>
          <w:rFonts w:hint="eastAsia"/>
          <w:szCs w:val="32"/>
        </w:rPr>
        <w:t>高明哲</w:t>
      </w:r>
      <w:r w:rsidRPr="006A015A">
        <w:rPr>
          <w:rFonts w:hint="eastAsia"/>
          <w:szCs w:val="32"/>
        </w:rPr>
        <w:t>關說受命法官高玉舜，</w:t>
      </w:r>
      <w:r w:rsidR="00B52095" w:rsidRPr="006A015A">
        <w:rPr>
          <w:rFonts w:hint="eastAsia"/>
          <w:szCs w:val="32"/>
        </w:rPr>
        <w:t>又高明哲</w:t>
      </w:r>
      <w:r w:rsidRPr="006A015A">
        <w:rPr>
          <w:rFonts w:hint="eastAsia"/>
          <w:szCs w:val="32"/>
        </w:rPr>
        <w:t>刻意隱瞞</w:t>
      </w:r>
      <w:r w:rsidR="00C60484" w:rsidRPr="006A015A">
        <w:rPr>
          <w:rFonts w:hint="eastAsia"/>
          <w:szCs w:val="32"/>
        </w:rPr>
        <w:t>審理中</w:t>
      </w:r>
      <w:r w:rsidRPr="006A015A">
        <w:rPr>
          <w:rFonts w:hint="eastAsia"/>
          <w:szCs w:val="32"/>
        </w:rPr>
        <w:t>與蕭仰歸聚餐2次</w:t>
      </w:r>
      <w:r w:rsidR="0035436D" w:rsidRPr="006A015A">
        <w:rPr>
          <w:rFonts w:hint="eastAsia"/>
          <w:szCs w:val="32"/>
        </w:rPr>
        <w:t>等</w:t>
      </w:r>
      <w:r w:rsidRPr="006A015A">
        <w:rPr>
          <w:rFonts w:hint="eastAsia"/>
          <w:szCs w:val="32"/>
        </w:rPr>
        <w:t>事</w:t>
      </w:r>
      <w:r w:rsidR="0035436D" w:rsidRPr="006A015A">
        <w:rPr>
          <w:rFonts w:hint="eastAsia"/>
          <w:szCs w:val="32"/>
        </w:rPr>
        <w:t>證</w:t>
      </w:r>
      <w:r w:rsidRPr="006A015A">
        <w:rPr>
          <w:rFonts w:hint="eastAsia"/>
          <w:szCs w:val="32"/>
        </w:rPr>
        <w:t>，</w:t>
      </w:r>
      <w:r w:rsidR="001F474A" w:rsidRPr="006A015A">
        <w:rPr>
          <w:rFonts w:hint="eastAsia"/>
          <w:szCs w:val="32"/>
        </w:rPr>
        <w:t>可證</w:t>
      </w:r>
      <w:r w:rsidRPr="006A015A">
        <w:rPr>
          <w:rFonts w:hint="eastAsia"/>
          <w:szCs w:val="32"/>
        </w:rPr>
        <w:t>渠心證</w:t>
      </w:r>
      <w:r w:rsidR="004A0495" w:rsidRPr="006A015A">
        <w:rPr>
          <w:rFonts w:hint="eastAsia"/>
          <w:szCs w:val="32"/>
        </w:rPr>
        <w:t>確</w:t>
      </w:r>
      <w:r w:rsidRPr="006A015A">
        <w:rPr>
          <w:rFonts w:hint="eastAsia"/>
          <w:szCs w:val="32"/>
        </w:rPr>
        <w:t>已</w:t>
      </w:r>
      <w:r w:rsidR="00C60484" w:rsidRPr="006A015A">
        <w:rPr>
          <w:rFonts w:hint="eastAsia"/>
          <w:szCs w:val="32"/>
        </w:rPr>
        <w:t>遭</w:t>
      </w:r>
      <w:r w:rsidRPr="006A015A">
        <w:rPr>
          <w:rFonts w:hint="eastAsia"/>
          <w:szCs w:val="32"/>
        </w:rPr>
        <w:t>受關說之污染</w:t>
      </w:r>
      <w:r w:rsidR="003C2AEA" w:rsidRPr="006A015A">
        <w:rPr>
          <w:rFonts w:hint="eastAsia"/>
          <w:szCs w:val="32"/>
        </w:rPr>
        <w:t>，導致本案判決違</w:t>
      </w:r>
      <w:r w:rsidR="001566FE" w:rsidRPr="006A015A">
        <w:rPr>
          <w:rFonts w:hint="eastAsia"/>
          <w:szCs w:val="32"/>
        </w:rPr>
        <w:t>反</w:t>
      </w:r>
      <w:r w:rsidR="003C2AEA" w:rsidRPr="006A015A">
        <w:rPr>
          <w:rFonts w:hint="eastAsia"/>
          <w:szCs w:val="32"/>
        </w:rPr>
        <w:t>經驗法則及論理法則</w:t>
      </w:r>
      <w:r w:rsidR="001566FE" w:rsidRPr="006A015A">
        <w:rPr>
          <w:rFonts w:hint="eastAsia"/>
          <w:szCs w:val="32"/>
        </w:rPr>
        <w:t>，渠有枉法裁判之</w:t>
      </w:r>
      <w:r w:rsidR="001566FE" w:rsidRPr="006A015A">
        <w:rPr>
          <w:rFonts w:hint="eastAsia"/>
          <w:szCs w:val="32"/>
          <w:lang w:eastAsia="zh-HK"/>
        </w:rPr>
        <w:t>虞</w:t>
      </w:r>
      <w:r w:rsidR="001566FE" w:rsidRPr="006A015A">
        <w:rPr>
          <w:rFonts w:ascii="Arial" w:cs="Arial" w:hint="eastAsia"/>
          <w:shd w:val="clear" w:color="auto" w:fill="FFFFFF"/>
        </w:rPr>
        <w:t>，</w:t>
      </w:r>
      <w:r w:rsidR="001566FE" w:rsidRPr="006A015A">
        <w:rPr>
          <w:rFonts w:ascii="Arial" w:cs="Arial"/>
          <w:shd w:val="clear" w:color="auto" w:fill="FFFFFF"/>
        </w:rPr>
        <w:t>昭然若揭</w:t>
      </w:r>
      <w:r w:rsidRPr="006A015A">
        <w:rPr>
          <w:rFonts w:hint="eastAsia"/>
          <w:szCs w:val="32"/>
        </w:rPr>
        <w:t>：</w:t>
      </w:r>
    </w:p>
    <w:p w:rsidR="005D49D0" w:rsidRPr="006A015A" w:rsidRDefault="005D49D0" w:rsidP="0067032C">
      <w:pPr>
        <w:pStyle w:val="5"/>
        <w:ind w:left="2042" w:hanging="851"/>
      </w:pPr>
      <w:r w:rsidRPr="006A015A">
        <w:rPr>
          <w:rFonts w:hint="eastAsia"/>
          <w:szCs w:val="32"/>
        </w:rPr>
        <w:t>蕭仰歸關說鄭景文</w:t>
      </w:r>
      <w:r w:rsidR="00557AB4" w:rsidRPr="006A015A">
        <w:rPr>
          <w:rFonts w:hint="eastAsia"/>
          <w:szCs w:val="32"/>
        </w:rPr>
        <w:t>，鄭景文拒絕關說</w:t>
      </w:r>
      <w:r w:rsidRPr="006A015A">
        <w:rPr>
          <w:rFonts w:hint="eastAsia"/>
          <w:szCs w:val="32"/>
        </w:rPr>
        <w:t>：</w:t>
      </w:r>
    </w:p>
    <w:p w:rsidR="00616AD3" w:rsidRPr="006A015A" w:rsidRDefault="00616AD3" w:rsidP="00616AD3">
      <w:pPr>
        <w:pStyle w:val="52"/>
        <w:ind w:left="2041" w:firstLine="680"/>
      </w:pPr>
      <w:r w:rsidRPr="006A015A">
        <w:rPr>
          <w:rFonts w:hint="eastAsia"/>
        </w:rPr>
        <w:t>本院99年9月8日詢問鄭景文之筆錄載</w:t>
      </w:r>
      <w:r w:rsidR="004A0495" w:rsidRPr="006A015A">
        <w:rPr>
          <w:rFonts w:hint="eastAsia"/>
        </w:rPr>
        <w:t>，</w:t>
      </w:r>
      <w:r w:rsidRPr="006A015A">
        <w:rPr>
          <w:rFonts w:hint="eastAsia"/>
        </w:rPr>
        <w:t>「問：審理98年度交訴字第20號蕭賢綸公共危險罪案時，有無與</w:t>
      </w:r>
      <w:r w:rsidRPr="006A015A">
        <w:rPr>
          <w:rFonts w:hint="eastAsia"/>
          <w:szCs w:val="32"/>
        </w:rPr>
        <w:t>蕭仰歸接觸過？答：在收案之後，結案之前，他打電話給法院總機轉到我辦公室，他自己開車來找我，……，檢察官告訴蕭賢綸表示若認罪即可緩起訴，惟其子將來要考法官</w:t>
      </w:r>
      <w:r w:rsidR="00ED54F3" w:rsidRPr="006A015A">
        <w:rPr>
          <w:rFonts w:hint="eastAsia"/>
          <w:szCs w:val="32"/>
        </w:rPr>
        <w:t>、檢察官</w:t>
      </w:r>
      <w:r w:rsidRPr="006A015A">
        <w:rPr>
          <w:rFonts w:hint="eastAsia"/>
          <w:szCs w:val="32"/>
        </w:rPr>
        <w:t>，恐因認罪有肇事逃逸緩起訴或緩刑之前科致將來參加</w:t>
      </w:r>
      <w:r w:rsidR="00ED54F3" w:rsidRPr="006A015A">
        <w:rPr>
          <w:rFonts w:hint="eastAsia"/>
          <w:szCs w:val="32"/>
        </w:rPr>
        <w:t>法官、檢察官</w:t>
      </w:r>
      <w:r w:rsidRPr="006A015A">
        <w:rPr>
          <w:rFonts w:hint="eastAsia"/>
          <w:szCs w:val="32"/>
        </w:rPr>
        <w:t>口試會被刷掉。至此方知蕭賢綸是蕭仰歸之子，他來找我約是在受命法官履勘前後，他說這個案</w:t>
      </w:r>
      <w:r w:rsidRPr="006A015A">
        <w:rPr>
          <w:rFonts w:hint="eastAsia"/>
          <w:szCs w:val="32"/>
        </w:rPr>
        <w:lastRenderedPageBreak/>
        <w:t>子不要緩刑，準備要拼無罪，但我有跟他說此案司法界自有公評，這樣講沒有用，蕭仰歸即表示若合議庭認為有罪的話也沒有關係，說完即告辭。」</w:t>
      </w:r>
    </w:p>
    <w:p w:rsidR="005D49D0" w:rsidRPr="006A015A" w:rsidRDefault="005D49D0" w:rsidP="0067032C">
      <w:pPr>
        <w:pStyle w:val="5"/>
        <w:ind w:left="2042" w:hanging="851"/>
      </w:pPr>
      <w:r w:rsidRPr="006A015A">
        <w:rPr>
          <w:rFonts w:hint="eastAsia"/>
          <w:szCs w:val="32"/>
        </w:rPr>
        <w:t>蕭仰歸關說高明哲，</w:t>
      </w:r>
      <w:r w:rsidR="008116C3" w:rsidRPr="006A015A">
        <w:rPr>
          <w:rFonts w:hint="eastAsia"/>
          <w:szCs w:val="32"/>
        </w:rPr>
        <w:t>而</w:t>
      </w:r>
      <w:r w:rsidRPr="006A015A">
        <w:rPr>
          <w:rFonts w:hint="eastAsia"/>
          <w:szCs w:val="32"/>
        </w:rPr>
        <w:t>高明哲接受關說，且高明哲</w:t>
      </w:r>
      <w:r w:rsidR="008116C3" w:rsidRPr="006A015A">
        <w:rPr>
          <w:rFonts w:hint="eastAsia"/>
          <w:szCs w:val="32"/>
        </w:rPr>
        <w:t>又</w:t>
      </w:r>
      <w:r w:rsidRPr="006A015A">
        <w:rPr>
          <w:rFonts w:hint="eastAsia"/>
          <w:szCs w:val="32"/>
        </w:rPr>
        <w:t>關說高玉舜：</w:t>
      </w:r>
    </w:p>
    <w:p w:rsidR="00972415" w:rsidRPr="006A015A" w:rsidRDefault="00972415" w:rsidP="005D49D0">
      <w:pPr>
        <w:pStyle w:val="6"/>
        <w:ind w:left="2382" w:hanging="851"/>
      </w:pPr>
      <w:r w:rsidRPr="006A015A">
        <w:rPr>
          <w:rFonts w:hint="eastAsia"/>
        </w:rPr>
        <w:t>高玉舜之證述：</w:t>
      </w:r>
    </w:p>
    <w:p w:rsidR="00263E37" w:rsidRPr="006A015A" w:rsidRDefault="008F3FF7" w:rsidP="00972415">
      <w:pPr>
        <w:pStyle w:val="7"/>
      </w:pPr>
      <w:r w:rsidRPr="006A015A">
        <w:rPr>
          <w:rFonts w:hint="eastAsia"/>
        </w:rPr>
        <w:t>上開法官自律委員會會議所附高玉舜之書面資料載</w:t>
      </w:r>
      <w:r w:rsidR="004A0495" w:rsidRPr="006A015A">
        <w:rPr>
          <w:rFonts w:hint="eastAsia"/>
        </w:rPr>
        <w:t>，</w:t>
      </w:r>
      <w:r w:rsidRPr="006A015A">
        <w:rPr>
          <w:rFonts w:hint="eastAsia"/>
        </w:rPr>
        <w:t>「開</w:t>
      </w:r>
      <w:r w:rsidR="005B4B81" w:rsidRPr="006A015A">
        <w:rPr>
          <w:rFonts w:hint="eastAsia"/>
        </w:rPr>
        <w:t>完</w:t>
      </w:r>
      <w:r w:rsidRPr="006A015A">
        <w:rPr>
          <w:rFonts w:hint="eastAsia"/>
        </w:rPr>
        <w:t>審理庭後，合議庭3位法官一同至我辦公室內評議，我先表示意見，認本件事證明確，應</w:t>
      </w:r>
      <w:r w:rsidR="005B4B81" w:rsidRPr="006A015A">
        <w:rPr>
          <w:rFonts w:hint="eastAsia"/>
        </w:rPr>
        <w:t>維</w:t>
      </w:r>
      <w:r w:rsidRPr="006A015A">
        <w:rPr>
          <w:rFonts w:hint="eastAsia"/>
        </w:rPr>
        <w:t>持原審判決。但審判長先稱：被告是蕭仰歸法官之子，蕭仰歸法官有找他。我認為一審判決寫的很仔細，還有合議庭勘驗筆錄及現場履勘，改判無罪很困難。但審判長又說，他與蕭仰歸法官的交情很好，被告在車禍發生後也和被害人達成和解，以後要考</w:t>
      </w:r>
      <w:r w:rsidR="00ED54F3" w:rsidRPr="006A015A">
        <w:rPr>
          <w:rFonts w:hint="eastAsia"/>
          <w:szCs w:val="32"/>
        </w:rPr>
        <w:t>法官、檢察官</w:t>
      </w:r>
      <w:r w:rsidRPr="006A015A">
        <w:rPr>
          <w:rFonts w:hint="eastAsia"/>
        </w:rPr>
        <w:t>，</w:t>
      </w:r>
      <w:r w:rsidR="00C60938" w:rsidRPr="006A015A">
        <w:rPr>
          <w:rFonts w:hint="eastAsia"/>
        </w:rPr>
        <w:t>給年輕人一個機會等語，還多次向我及林洲富說：</w:t>
      </w:r>
      <w:r w:rsidR="00C60938" w:rsidRPr="006A015A">
        <w:rPr>
          <w:rFonts w:hAnsi="標楷體" w:hint="eastAsia"/>
        </w:rPr>
        <w:t>『</w:t>
      </w:r>
      <w:r w:rsidR="005B4B81" w:rsidRPr="006A015A">
        <w:rPr>
          <w:rFonts w:hAnsi="標楷體" w:hint="eastAsia"/>
        </w:rPr>
        <w:t>好啦！給他一個機會</w:t>
      </w:r>
      <w:r w:rsidR="00C60938" w:rsidRPr="006A015A">
        <w:rPr>
          <w:rFonts w:hAnsi="標楷體" w:hint="eastAsia"/>
        </w:rPr>
        <w:t>』</w:t>
      </w:r>
      <w:r w:rsidR="005B4B81" w:rsidRPr="006A015A">
        <w:rPr>
          <w:rFonts w:hAnsi="標楷體" w:hint="eastAsia"/>
        </w:rPr>
        <w:t>、『審理這件案件，我們又沒有拿錢，內心坦盪』，但我一直表示，一審法官會等著看我們二審的判決。在評議過程中，林洲富法官始終未表示同意何人意見。</w:t>
      </w:r>
      <w:r w:rsidR="00431FF7" w:rsidRPr="006A015A">
        <w:rPr>
          <w:rFonts w:hAnsi="標楷體" w:hint="eastAsia"/>
        </w:rPr>
        <w:t>……我覺得一審判決主文中緩刑所附之捐款部分可以撤銷，……但審判長即稱：</w:t>
      </w:r>
      <w:r w:rsidR="00431FF7" w:rsidRPr="006A015A">
        <w:rPr>
          <w:rFonts w:hAnsi="標楷體" w:hint="eastAsia"/>
          <w:szCs w:val="32"/>
        </w:rPr>
        <w:t>『他要的不是這個啦！他要的是無罪判決</w:t>
      </w:r>
      <w:r w:rsidR="0065107D" w:rsidRPr="006A015A">
        <w:rPr>
          <w:rFonts w:hAnsi="標楷體" w:hint="eastAsia"/>
          <w:szCs w:val="32"/>
        </w:rPr>
        <w:t>！</w:t>
      </w:r>
      <w:r w:rsidR="00431FF7" w:rsidRPr="006A015A">
        <w:rPr>
          <w:rFonts w:hAnsi="標楷體" w:hint="eastAsia"/>
          <w:szCs w:val="32"/>
        </w:rPr>
        <w:t>』</w:t>
      </w:r>
      <w:r w:rsidR="005B4B81" w:rsidRPr="006A015A">
        <w:rPr>
          <w:rFonts w:hAnsi="標楷體" w:hint="eastAsia"/>
        </w:rPr>
        <w:t>」</w:t>
      </w:r>
      <w:r w:rsidR="0067032C" w:rsidRPr="006A015A">
        <w:rPr>
          <w:rFonts w:hAnsi="標楷體" w:hint="eastAsia"/>
        </w:rPr>
        <w:t>、「99年8月9日星期一約下午5、6點，審判長找我去他辦公室，……，他一邊以滑</w:t>
      </w:r>
      <w:r w:rsidR="0067032C" w:rsidRPr="006A015A">
        <w:rPr>
          <w:rFonts w:hAnsi="標楷體" w:hint="eastAsia"/>
          <w:szCs w:val="32"/>
        </w:rPr>
        <w:t>鼠</w:t>
      </w:r>
      <w:r w:rsidR="00D00354" w:rsidRPr="006A015A">
        <w:rPr>
          <w:rFonts w:hAnsi="標楷體" w:hint="eastAsia"/>
          <w:szCs w:val="32"/>
        </w:rPr>
        <w:t>點選法官論壇上的評論，一邊搖著頭說：『我這關可能過不去』，我說：『有那麼嚴</w:t>
      </w:r>
      <w:r w:rsidR="00D00354" w:rsidRPr="006A015A">
        <w:rPr>
          <w:rFonts w:hAnsi="標楷體" w:hint="eastAsia"/>
          <w:szCs w:val="32"/>
        </w:rPr>
        <w:lastRenderedPageBreak/>
        <w:t>重嗎？』，他表示有，且憂愁地說：『可能有枉法裁判的問題』……。」</w:t>
      </w:r>
    </w:p>
    <w:p w:rsidR="00972415" w:rsidRPr="006A015A" w:rsidRDefault="001B646C" w:rsidP="00972415">
      <w:pPr>
        <w:pStyle w:val="7"/>
      </w:pPr>
      <w:r w:rsidRPr="006A015A">
        <w:rPr>
          <w:rFonts w:hint="eastAsia"/>
        </w:rPr>
        <w:t>本院99年9月13日詢問法官高玉舜之筆錄載</w:t>
      </w:r>
      <w:r w:rsidR="004A0495" w:rsidRPr="006A015A">
        <w:rPr>
          <w:rFonts w:hint="eastAsia"/>
        </w:rPr>
        <w:t>，</w:t>
      </w:r>
      <w:r w:rsidRPr="006A015A">
        <w:rPr>
          <w:rFonts w:hint="eastAsia"/>
        </w:rPr>
        <w:t>「問：何時知道蕭賢綸是</w:t>
      </w:r>
      <w:r w:rsidRPr="006A015A">
        <w:rPr>
          <w:rFonts w:hint="eastAsia"/>
          <w:szCs w:val="32"/>
        </w:rPr>
        <w:t>蕭仰歸之子？答：開審理庭當天（99年1月5日），我們</w:t>
      </w:r>
      <w:r w:rsidR="008116C3" w:rsidRPr="006A015A">
        <w:rPr>
          <w:rFonts w:hint="eastAsia"/>
          <w:szCs w:val="32"/>
        </w:rPr>
        <w:t>走</w:t>
      </w:r>
      <w:r w:rsidRPr="006A015A">
        <w:rPr>
          <w:rFonts w:hint="eastAsia"/>
          <w:szCs w:val="32"/>
        </w:rPr>
        <w:t>法庭密道去開庭時，高明哲告訴我，被告</w:t>
      </w:r>
      <w:r w:rsidRPr="006A015A">
        <w:rPr>
          <w:rFonts w:hint="eastAsia"/>
        </w:rPr>
        <w:t>蕭賢綸是</w:t>
      </w:r>
      <w:r w:rsidRPr="006A015A">
        <w:rPr>
          <w:rFonts w:hint="eastAsia"/>
          <w:szCs w:val="32"/>
        </w:rPr>
        <w:t>蕭仰歸之子，我當時才知道。」、「問：當時還有講什麼？答：他說他很倒楣接到這個案子，我當時第一個反應是撤銷改判很難，沒有空間。我看到一審查的非常仔細，甚至比一般案件更仔細，例如有到現場履勘，至車內聽後照鏡反折聲響，所以我初步看案卷的結果，應該會朝有罪的方向進行。」</w:t>
      </w:r>
      <w:r w:rsidR="00FA299B" w:rsidRPr="006A015A">
        <w:rPr>
          <w:rFonts w:hint="eastAsia"/>
          <w:szCs w:val="32"/>
        </w:rPr>
        <w:t>、「問：評議經過？答：我表示心證是有罪。高明哲表示</w:t>
      </w:r>
      <w:r w:rsidR="00FA299B" w:rsidRPr="006A015A">
        <w:rPr>
          <w:rFonts w:hint="eastAsia"/>
        </w:rPr>
        <w:t>蕭賢綸是</w:t>
      </w:r>
      <w:r w:rsidR="00FA299B" w:rsidRPr="006A015A">
        <w:rPr>
          <w:rFonts w:hint="eastAsia"/>
          <w:szCs w:val="32"/>
        </w:rPr>
        <w:t>蕭仰歸之子，希望可以判無罪，但我認為這個案子一審查的很</w:t>
      </w:r>
      <w:r w:rsidR="008116C3" w:rsidRPr="006A015A">
        <w:rPr>
          <w:rFonts w:hint="eastAsia"/>
          <w:szCs w:val="32"/>
        </w:rPr>
        <w:t>清</w:t>
      </w:r>
      <w:r w:rsidR="00FA299B" w:rsidRPr="006A015A">
        <w:rPr>
          <w:rFonts w:hint="eastAsia"/>
          <w:szCs w:val="32"/>
        </w:rPr>
        <w:t>楚，我寫不出無罪判決。」、「問：林洲富當時有何表示？答：他都沒有表示任何意見。」、「問：評議當時有無達成決議？答：沒有，</w:t>
      </w:r>
      <w:r w:rsidR="00D21436" w:rsidRPr="006A015A">
        <w:rPr>
          <w:rFonts w:hint="eastAsia"/>
          <w:szCs w:val="32"/>
        </w:rPr>
        <w:t>我的意見和審判長不同，審判長表示要給年輕人一個機會，希望改判無罪。」</w:t>
      </w:r>
    </w:p>
    <w:p w:rsidR="00225E44" w:rsidRPr="006A015A" w:rsidRDefault="00984C31" w:rsidP="005D49D0">
      <w:pPr>
        <w:pStyle w:val="6"/>
        <w:ind w:left="2382" w:hanging="851"/>
      </w:pPr>
      <w:r w:rsidRPr="006A015A">
        <w:rPr>
          <w:rFonts w:hint="eastAsia"/>
        </w:rPr>
        <w:t>本院99年9月</w:t>
      </w:r>
      <w:r w:rsidRPr="006A015A">
        <w:t>13</w:t>
      </w:r>
      <w:r w:rsidRPr="006A015A">
        <w:rPr>
          <w:rFonts w:hint="eastAsia"/>
        </w:rPr>
        <w:t>日詢問法官崔玲琦之筆錄載</w:t>
      </w:r>
      <w:r w:rsidR="004A0495" w:rsidRPr="006A015A">
        <w:rPr>
          <w:rFonts w:hint="eastAsia"/>
        </w:rPr>
        <w:t>，</w:t>
      </w:r>
      <w:r w:rsidRPr="006A015A">
        <w:rPr>
          <w:rFonts w:hint="eastAsia"/>
        </w:rPr>
        <w:t>「問：何時知道</w:t>
      </w:r>
      <w:r w:rsidR="004F037D" w:rsidRPr="006A015A">
        <w:rPr>
          <w:rFonts w:hint="eastAsia"/>
        </w:rPr>
        <w:t>臺灣高院審理99年度交上字第169號蕭賢綸公共危險罪案？答：9</w:t>
      </w:r>
      <w:r w:rsidR="004F037D" w:rsidRPr="006A015A">
        <w:t>8</w:t>
      </w:r>
      <w:r w:rsidR="004F037D" w:rsidRPr="006A015A">
        <w:rPr>
          <w:rFonts w:hint="eastAsia"/>
        </w:rPr>
        <w:t>年年底，有一天</w:t>
      </w:r>
      <w:r w:rsidR="004F037D" w:rsidRPr="006A015A">
        <w:rPr>
          <w:rFonts w:hint="eastAsia"/>
          <w:szCs w:val="32"/>
        </w:rPr>
        <w:t>蕭仰歸來找我，</w:t>
      </w:r>
      <w:r w:rsidR="00B03D01" w:rsidRPr="006A015A">
        <w:rPr>
          <w:rFonts w:hint="eastAsia"/>
          <w:szCs w:val="32"/>
        </w:rPr>
        <w:t>……，希望我去跟高玉舜說，他說他已經跟高明哲法官講好了，希望我蹍高玉舜講說是否改判無罪，蕭仰歸表示因為其子準備考</w:t>
      </w:r>
      <w:r w:rsidR="00ED54F3" w:rsidRPr="006A015A">
        <w:rPr>
          <w:rFonts w:hint="eastAsia"/>
          <w:szCs w:val="32"/>
        </w:rPr>
        <w:t>法官、檢察官</w:t>
      </w:r>
      <w:r w:rsidR="00B03D01" w:rsidRPr="006A015A">
        <w:rPr>
          <w:rFonts w:hint="eastAsia"/>
          <w:szCs w:val="32"/>
        </w:rPr>
        <w:t>，怕即使有緩刑，仍有可能在口試</w:t>
      </w:r>
      <w:r w:rsidR="00CF4F10" w:rsidRPr="006A015A">
        <w:rPr>
          <w:rFonts w:hint="eastAsia"/>
          <w:szCs w:val="32"/>
        </w:rPr>
        <w:t>時被刷掉，</w:t>
      </w:r>
      <w:r w:rsidR="00CF4F10" w:rsidRPr="006A015A">
        <w:rPr>
          <w:rFonts w:hint="eastAsia"/>
          <w:szCs w:val="32"/>
        </w:rPr>
        <w:lastRenderedPageBreak/>
        <w:t>他說這個案子是五五波，希望可以判無罪。我告訴他高玉舜的脾氣我很熟，很難去跟他說。」、「問：蕭仰歸找過你幾次？答：兩次，第2次他問我是否可以跟高玉舜講，他說他剛從高明哲那邊過來，第2次講的時間非常短，我表示我真的不敢。」</w:t>
      </w:r>
    </w:p>
    <w:p w:rsidR="00BB1BD3" w:rsidRPr="006A015A" w:rsidRDefault="00625726" w:rsidP="00ED6490">
      <w:pPr>
        <w:pStyle w:val="4"/>
        <w:ind w:left="1701"/>
      </w:pPr>
      <w:r w:rsidRPr="006A015A">
        <w:rPr>
          <w:rFonts w:hint="eastAsia"/>
          <w:szCs w:val="32"/>
        </w:rPr>
        <w:t>高明哲之心證，已受</w:t>
      </w:r>
      <w:r w:rsidR="00E551D1" w:rsidRPr="006A015A">
        <w:rPr>
          <w:rFonts w:hint="eastAsia"/>
          <w:szCs w:val="32"/>
        </w:rPr>
        <w:t>蕭仰歸之關說</w:t>
      </w:r>
      <w:r w:rsidRPr="006A015A">
        <w:rPr>
          <w:rFonts w:hint="eastAsia"/>
          <w:szCs w:val="32"/>
        </w:rPr>
        <w:t>而</w:t>
      </w:r>
      <w:r w:rsidR="00E551D1" w:rsidRPr="006A015A">
        <w:rPr>
          <w:rFonts w:hint="eastAsia"/>
          <w:szCs w:val="32"/>
        </w:rPr>
        <w:t>污染</w:t>
      </w:r>
      <w:r w:rsidR="00BB1BD3" w:rsidRPr="006A015A">
        <w:rPr>
          <w:rFonts w:hint="eastAsia"/>
          <w:szCs w:val="32"/>
        </w:rPr>
        <w:t>：</w:t>
      </w:r>
    </w:p>
    <w:p w:rsidR="00BB1BD3" w:rsidRPr="006A015A" w:rsidRDefault="00125F91" w:rsidP="00BB1BD3">
      <w:pPr>
        <w:pStyle w:val="5"/>
        <w:ind w:left="2042" w:hanging="851"/>
      </w:pPr>
      <w:r w:rsidRPr="006A015A">
        <w:rPr>
          <w:rFonts w:hint="eastAsia"/>
        </w:rPr>
        <w:t>依公務員懲戒委員會100年度鑑字第11895號議決書所載，蕭仰歸於其子涉案時，囿於父子之情，多次向承審法官關說；高明哲審理案件時，受好友之請託，並向受命法官高玉舜為具體要求，嚴重損及法官形象及司法公信。</w:t>
      </w:r>
    </w:p>
    <w:p w:rsidR="00125F91" w:rsidRPr="006A015A" w:rsidRDefault="00125F91" w:rsidP="00BB1BD3">
      <w:pPr>
        <w:pStyle w:val="5"/>
        <w:ind w:left="2042" w:hanging="851"/>
      </w:pPr>
      <w:r w:rsidRPr="006A015A">
        <w:rPr>
          <w:rFonts w:hint="eastAsia"/>
          <w:szCs w:val="32"/>
        </w:rPr>
        <w:t>臺灣高檢署檢察官108年度再字第1號</w:t>
      </w:r>
      <w:r w:rsidRPr="006A015A">
        <w:rPr>
          <w:rFonts w:hAnsi="標楷體" w:cs="新細明體" w:hint="eastAsia"/>
          <w:kern w:val="0"/>
          <w:szCs w:val="32"/>
        </w:rPr>
        <w:t>聲請再審之理由，</w:t>
      </w:r>
      <w:r w:rsidRPr="006A015A">
        <w:rPr>
          <w:rFonts w:hint="eastAsia"/>
          <w:szCs w:val="32"/>
        </w:rPr>
        <w:t>臺灣高院合議庭係採3人合議制，依上揭公務員懲戒委員會議決書之認定該案審判長高明哲確有接受蕭仰歸關說並為其向另一法官高玉舜關說要為蕭仰歸之子蕭賢綸拼無罪判決遭懲戒降2級改敘，則依該院審理庭判決評議係採3人合議，審判長高明哲之關說行為且己身遭關說其為判決之心證已受污染，顯然影響其自身對該判決意思作成而對該判決結果致生影響。</w:t>
      </w:r>
    </w:p>
    <w:p w:rsidR="00125F91" w:rsidRPr="006A015A" w:rsidRDefault="00125F91" w:rsidP="00BB1BD3">
      <w:pPr>
        <w:pStyle w:val="5"/>
        <w:ind w:left="2042" w:hanging="851"/>
      </w:pPr>
      <w:r w:rsidRPr="006A015A">
        <w:rPr>
          <w:rFonts w:hint="eastAsia"/>
        </w:rPr>
        <w:t>最高法院109年度台抗字第257號刑事裁定，</w:t>
      </w:r>
      <w:r w:rsidRPr="006A015A">
        <w:rPr>
          <w:rFonts w:hAnsi="標楷體" w:cs="標楷體" w:hint="eastAsia"/>
          <w:kern w:val="0"/>
          <w:szCs w:val="32"/>
        </w:rPr>
        <w:t>公務員懲戒委員</w:t>
      </w:r>
      <w:r w:rsidRPr="006A015A">
        <w:rPr>
          <w:rFonts w:hAnsi="標楷體" w:cs="細明體" w:hint="eastAsia"/>
          <w:kern w:val="0"/>
          <w:szCs w:val="32"/>
        </w:rPr>
        <w:t>會</w:t>
      </w:r>
      <w:r w:rsidRPr="006A015A">
        <w:rPr>
          <w:rFonts w:hint="eastAsia"/>
        </w:rPr>
        <w:t>既認定原確定判決合議庭審判長高明哲有受蕭仰歸關說，並於評議前為蕭仰歸向受命法官高玉舜關說改判抗告人無罪，高明哲於評議時陳述之意見，當</w:t>
      </w:r>
      <w:r w:rsidR="00724EB8" w:rsidRPr="006A015A">
        <w:rPr>
          <w:rFonts w:hint="eastAsia"/>
        </w:rPr>
        <w:t>時</w:t>
      </w:r>
      <w:r w:rsidRPr="006A015A">
        <w:rPr>
          <w:rFonts w:hint="eastAsia"/>
        </w:rPr>
        <w:t>已受關說污染無誤。</w:t>
      </w:r>
    </w:p>
    <w:p w:rsidR="00DF1C17" w:rsidRPr="006A015A" w:rsidRDefault="00DF1C17" w:rsidP="00BB1BD3">
      <w:pPr>
        <w:pStyle w:val="5"/>
        <w:ind w:left="2042" w:hanging="851"/>
      </w:pPr>
      <w:r w:rsidRPr="006A015A">
        <w:rPr>
          <w:rFonts w:hint="eastAsia"/>
          <w:szCs w:val="32"/>
        </w:rPr>
        <w:t>高明哲辯稱，</w:t>
      </w:r>
      <w:r w:rsidR="003070E0" w:rsidRPr="006A015A">
        <w:rPr>
          <w:rFonts w:hint="eastAsia"/>
          <w:szCs w:val="32"/>
        </w:rPr>
        <w:t>渠本案之心證，係</w:t>
      </w:r>
      <w:r w:rsidRPr="006A015A">
        <w:rPr>
          <w:rFonts w:hint="eastAsia"/>
          <w:szCs w:val="32"/>
        </w:rPr>
        <w:t>因為家庭成員健康因素及遵守無罪推定原則，所以本案判無</w:t>
      </w:r>
      <w:r w:rsidRPr="006A015A">
        <w:rPr>
          <w:rFonts w:hint="eastAsia"/>
          <w:szCs w:val="32"/>
        </w:rPr>
        <w:lastRenderedPageBreak/>
        <w:t>罪。然而</w:t>
      </w:r>
      <w:r w:rsidR="003040D7" w:rsidRPr="006A015A">
        <w:rPr>
          <w:rFonts w:hint="eastAsia"/>
          <w:szCs w:val="32"/>
        </w:rPr>
        <w:t>事實上，</w:t>
      </w:r>
      <w:r w:rsidR="00B87067" w:rsidRPr="006A015A">
        <w:rPr>
          <w:rFonts w:hint="eastAsia"/>
          <w:szCs w:val="32"/>
        </w:rPr>
        <w:t>渠心證已遭</w:t>
      </w:r>
      <w:r w:rsidR="00B87067" w:rsidRPr="006A015A">
        <w:rPr>
          <w:rFonts w:hint="eastAsia"/>
        </w:rPr>
        <w:t>蕭仰歸關說</w:t>
      </w:r>
      <w:r w:rsidR="00401D10" w:rsidRPr="006A015A">
        <w:rPr>
          <w:rFonts w:hint="eastAsia"/>
        </w:rPr>
        <w:t>而污染，</w:t>
      </w:r>
      <w:r w:rsidR="003040D7" w:rsidRPr="006A015A">
        <w:rPr>
          <w:rFonts w:hint="eastAsia"/>
        </w:rPr>
        <w:t>本案一定要拼無罪，</w:t>
      </w:r>
      <w:r w:rsidR="00401D10" w:rsidRPr="006A015A">
        <w:rPr>
          <w:rFonts w:hint="eastAsia"/>
        </w:rPr>
        <w:t>以免蕭賢綸</w:t>
      </w:r>
      <w:r w:rsidR="004A0495" w:rsidRPr="006A015A">
        <w:rPr>
          <w:rFonts w:hint="eastAsia"/>
        </w:rPr>
        <w:t>於考</w:t>
      </w:r>
      <w:r w:rsidR="00ED54F3" w:rsidRPr="006A015A">
        <w:rPr>
          <w:rFonts w:hint="eastAsia"/>
          <w:szCs w:val="32"/>
        </w:rPr>
        <w:t>法官、檢察官</w:t>
      </w:r>
      <w:r w:rsidR="00401D10" w:rsidRPr="006A015A">
        <w:rPr>
          <w:rFonts w:hint="eastAsia"/>
        </w:rPr>
        <w:t>口試被刷掉</w:t>
      </w:r>
      <w:r w:rsidRPr="006A015A">
        <w:rPr>
          <w:rFonts w:hint="eastAsia"/>
          <w:szCs w:val="32"/>
        </w:rPr>
        <w:t>：</w:t>
      </w:r>
    </w:p>
    <w:p w:rsidR="00DF1C17" w:rsidRPr="006A015A" w:rsidRDefault="003070E0" w:rsidP="00DF1C17">
      <w:pPr>
        <w:pStyle w:val="6"/>
        <w:ind w:left="2382" w:hanging="851"/>
      </w:pPr>
      <w:r w:rsidRPr="006A015A">
        <w:rPr>
          <w:rFonts w:hint="eastAsia"/>
          <w:szCs w:val="32"/>
        </w:rPr>
        <w:t>據</w:t>
      </w:r>
      <w:r w:rsidR="0070601C" w:rsidRPr="006A015A">
        <w:rPr>
          <w:rFonts w:hint="eastAsia"/>
          <w:szCs w:val="32"/>
        </w:rPr>
        <w:t>上開鄭景文、</w:t>
      </w:r>
      <w:r w:rsidR="0070601C" w:rsidRPr="006A015A">
        <w:rPr>
          <w:rFonts w:hint="eastAsia"/>
        </w:rPr>
        <w:t>高玉舜及崔玲琦之證述，均可證本案因蕭賢綸要考</w:t>
      </w:r>
      <w:r w:rsidR="00ED54F3" w:rsidRPr="006A015A">
        <w:rPr>
          <w:rFonts w:hint="eastAsia"/>
          <w:szCs w:val="32"/>
        </w:rPr>
        <w:t>法官、檢察官</w:t>
      </w:r>
      <w:r w:rsidR="0070601C" w:rsidRPr="006A015A">
        <w:rPr>
          <w:rFonts w:hint="eastAsia"/>
        </w:rPr>
        <w:t>，怕有緩刑前科</w:t>
      </w:r>
      <w:r w:rsidR="00381DDD" w:rsidRPr="006A015A">
        <w:rPr>
          <w:rFonts w:hint="eastAsia"/>
        </w:rPr>
        <w:t>致</w:t>
      </w:r>
      <w:r w:rsidR="0070601C" w:rsidRPr="006A015A">
        <w:rPr>
          <w:rFonts w:hint="eastAsia"/>
        </w:rPr>
        <w:t>口</w:t>
      </w:r>
      <w:r w:rsidR="00381DDD" w:rsidRPr="006A015A">
        <w:rPr>
          <w:rFonts w:hint="eastAsia"/>
        </w:rPr>
        <w:t>試時被刷掉，所以一定要拼無罪，蕭仰歸就去關說</w:t>
      </w:r>
      <w:r w:rsidR="00381DDD" w:rsidRPr="006A015A">
        <w:rPr>
          <w:rFonts w:hint="eastAsia"/>
          <w:szCs w:val="32"/>
        </w:rPr>
        <w:t>鄭景文、</w:t>
      </w:r>
      <w:r w:rsidR="00381DDD" w:rsidRPr="006A015A">
        <w:rPr>
          <w:rFonts w:hint="eastAsia"/>
        </w:rPr>
        <w:t>崔玲琦及高明哲等人，高明哲因與蕭仰歸係同學及私交深厚，且</w:t>
      </w:r>
      <w:r w:rsidR="00E621D9" w:rsidRPr="006A015A">
        <w:rPr>
          <w:rFonts w:hint="eastAsia"/>
        </w:rPr>
        <w:t>欲</w:t>
      </w:r>
      <w:r w:rsidR="00381DDD" w:rsidRPr="006A015A">
        <w:rPr>
          <w:rFonts w:hint="eastAsia"/>
        </w:rPr>
        <w:t>報恩還情，</w:t>
      </w:r>
      <w:r w:rsidR="0005127A" w:rsidRPr="006A015A">
        <w:rPr>
          <w:rFonts w:hint="eastAsia"/>
        </w:rPr>
        <w:t>遂</w:t>
      </w:r>
      <w:r w:rsidR="00381DDD" w:rsidRPr="006A015A">
        <w:rPr>
          <w:rFonts w:hint="eastAsia"/>
        </w:rPr>
        <w:t>接受</w:t>
      </w:r>
      <w:r w:rsidR="0005127A" w:rsidRPr="006A015A">
        <w:rPr>
          <w:rFonts w:hint="eastAsia"/>
        </w:rPr>
        <w:t>蕭仰歸之關說，並進而關說高玉舜</w:t>
      </w:r>
      <w:r w:rsidRPr="006A015A">
        <w:rPr>
          <w:rFonts w:hint="eastAsia"/>
        </w:rPr>
        <w:t>，</w:t>
      </w:r>
      <w:r w:rsidR="00401D10" w:rsidRPr="006A015A">
        <w:rPr>
          <w:rFonts w:hint="eastAsia"/>
        </w:rPr>
        <w:t>目的就是本案一定要判蕭賢綸無罪，以免蕭賢綸</w:t>
      </w:r>
      <w:r w:rsidR="004A0495" w:rsidRPr="006A015A">
        <w:rPr>
          <w:rFonts w:hint="eastAsia"/>
        </w:rPr>
        <w:t>於考</w:t>
      </w:r>
      <w:r w:rsidR="00ED54F3" w:rsidRPr="006A015A">
        <w:rPr>
          <w:rFonts w:hint="eastAsia"/>
          <w:szCs w:val="32"/>
        </w:rPr>
        <w:t>法官、檢察官</w:t>
      </w:r>
      <w:r w:rsidR="00401D10" w:rsidRPr="006A015A">
        <w:rPr>
          <w:rFonts w:hint="eastAsia"/>
        </w:rPr>
        <w:t>口試</w:t>
      </w:r>
      <w:r w:rsidR="00E621D9" w:rsidRPr="006A015A">
        <w:rPr>
          <w:rFonts w:hint="eastAsia"/>
        </w:rPr>
        <w:t>時</w:t>
      </w:r>
      <w:r w:rsidR="00401D10" w:rsidRPr="006A015A">
        <w:rPr>
          <w:rFonts w:hint="eastAsia"/>
        </w:rPr>
        <w:t>被刷掉。</w:t>
      </w:r>
    </w:p>
    <w:p w:rsidR="00E621D9" w:rsidRPr="006A015A" w:rsidRDefault="00E621D9" w:rsidP="00DF1C17">
      <w:pPr>
        <w:pStyle w:val="6"/>
        <w:ind w:left="2382" w:hanging="851"/>
      </w:pPr>
      <w:r w:rsidRPr="006A015A">
        <w:rPr>
          <w:rFonts w:hint="eastAsia"/>
        </w:rPr>
        <w:t>又據上開</w:t>
      </w:r>
      <w:r w:rsidRPr="006A015A">
        <w:rPr>
          <w:rFonts w:hint="eastAsia"/>
          <w:szCs w:val="32"/>
        </w:rPr>
        <w:t>臺灣高院自律委員會會議載，高明哲稱：蕭仰歸沒有跟我提及這件事情。</w:t>
      </w:r>
      <w:r w:rsidRPr="006A015A">
        <w:rPr>
          <w:rFonts w:hint="eastAsia"/>
        </w:rPr>
        <w:t>臺北地檢署訊問高明哲筆錄載，</w:t>
      </w:r>
      <w:r w:rsidRPr="006A015A">
        <w:rPr>
          <w:rFonts w:hint="eastAsia"/>
          <w:szCs w:val="32"/>
        </w:rPr>
        <w:t>高明哲稱：蕭仰歸沒有因為</w:t>
      </w:r>
      <w:r w:rsidRPr="006A015A">
        <w:rPr>
          <w:rFonts w:hint="eastAsia"/>
        </w:rPr>
        <w:t>蕭賢綸這個案子找過渠。</w:t>
      </w:r>
      <w:r w:rsidRPr="006A015A">
        <w:rPr>
          <w:rFonts w:hint="eastAsia"/>
          <w:szCs w:val="32"/>
        </w:rPr>
        <w:t>這個案子沒有人跟渠關說要判無罪。蕭仰歸沒有向渠關說本案。</w:t>
      </w:r>
      <w:r w:rsidRPr="006A015A">
        <w:rPr>
          <w:rFonts w:hint="eastAsia"/>
        </w:rPr>
        <w:t>本院詢問</w:t>
      </w:r>
      <w:r w:rsidRPr="006A015A">
        <w:rPr>
          <w:rFonts w:hint="eastAsia"/>
          <w:szCs w:val="32"/>
        </w:rPr>
        <w:t>高明哲</w:t>
      </w:r>
      <w:r w:rsidRPr="006A015A">
        <w:rPr>
          <w:rFonts w:hint="eastAsia"/>
        </w:rPr>
        <w:t>之筆錄載，</w:t>
      </w:r>
      <w:r w:rsidRPr="006A015A">
        <w:rPr>
          <w:rFonts w:hint="eastAsia"/>
          <w:szCs w:val="32"/>
        </w:rPr>
        <w:t>高明哲稱，</w:t>
      </w:r>
      <w:r w:rsidRPr="006A015A">
        <w:rPr>
          <w:rFonts w:hint="eastAsia"/>
        </w:rPr>
        <w:t>在該案審理時間，</w:t>
      </w:r>
      <w:r w:rsidRPr="006A015A">
        <w:rPr>
          <w:rFonts w:hint="eastAsia"/>
          <w:szCs w:val="32"/>
        </w:rPr>
        <w:t>蕭仰歸沒有（重複4次）與</w:t>
      </w:r>
      <w:r w:rsidR="00741C53" w:rsidRPr="006A015A">
        <w:rPr>
          <w:rFonts w:hint="eastAsia"/>
          <w:szCs w:val="32"/>
        </w:rPr>
        <w:t>渠</w:t>
      </w:r>
      <w:r w:rsidRPr="006A015A">
        <w:rPr>
          <w:rFonts w:hint="eastAsia"/>
          <w:szCs w:val="32"/>
        </w:rPr>
        <w:t>碰面或通訊</w:t>
      </w:r>
      <w:r w:rsidR="00741C53" w:rsidRPr="006A015A">
        <w:rPr>
          <w:rFonts w:hint="eastAsia"/>
          <w:szCs w:val="32"/>
        </w:rPr>
        <w:t>。</w:t>
      </w:r>
      <w:r w:rsidR="006773A9" w:rsidRPr="006A015A">
        <w:rPr>
          <w:rFonts w:hint="eastAsia"/>
          <w:szCs w:val="32"/>
        </w:rPr>
        <w:t>實則，據</w:t>
      </w:r>
      <w:r w:rsidR="006773A9" w:rsidRPr="006A015A">
        <w:rPr>
          <w:rFonts w:hint="eastAsia"/>
        </w:rPr>
        <w:t>本院</w:t>
      </w:r>
      <w:r w:rsidR="006773A9" w:rsidRPr="006A015A">
        <w:rPr>
          <w:rFonts w:hint="eastAsia"/>
          <w:szCs w:val="32"/>
        </w:rPr>
        <w:t>詢問</w:t>
      </w:r>
      <w:r w:rsidR="006773A9" w:rsidRPr="006A015A">
        <w:rPr>
          <w:rFonts w:hint="eastAsia"/>
        </w:rPr>
        <w:t>法官崔玲琦之證述，「蕭仰歸</w:t>
      </w:r>
      <w:r w:rsidR="006773A9" w:rsidRPr="006A015A">
        <w:rPr>
          <w:rFonts w:hint="eastAsia"/>
          <w:szCs w:val="32"/>
        </w:rPr>
        <w:t>已經跟高明哲法官講好了」、「</w:t>
      </w:r>
      <w:r w:rsidR="006773A9" w:rsidRPr="006A015A">
        <w:rPr>
          <w:rFonts w:hint="eastAsia"/>
        </w:rPr>
        <w:t>蕭仰歸</w:t>
      </w:r>
      <w:r w:rsidR="006773A9" w:rsidRPr="006A015A">
        <w:rPr>
          <w:rFonts w:hint="eastAsia"/>
          <w:szCs w:val="32"/>
        </w:rPr>
        <w:t>剛從高明哲那邊過來」；又據本院查證，</w:t>
      </w:r>
      <w:r w:rsidR="00606581" w:rsidRPr="006A015A">
        <w:rPr>
          <w:rFonts w:hint="eastAsia"/>
          <w:szCs w:val="32"/>
        </w:rPr>
        <w:t>在本案審理期間，</w:t>
      </w:r>
      <w:r w:rsidR="006773A9" w:rsidRPr="006A015A">
        <w:rPr>
          <w:rFonts w:hint="eastAsia"/>
          <w:szCs w:val="32"/>
        </w:rPr>
        <w:t>於98年12月3日、9日晚上，高明哲與蕭仰歸、</w:t>
      </w:r>
      <w:r w:rsidR="00C912EF">
        <w:rPr>
          <w:rFonts w:hint="eastAsia"/>
          <w:szCs w:val="32"/>
        </w:rPr>
        <w:t>李○發</w:t>
      </w:r>
      <w:r w:rsidR="006773A9" w:rsidRPr="006A015A">
        <w:rPr>
          <w:rFonts w:hint="eastAsia"/>
          <w:szCs w:val="32"/>
        </w:rPr>
        <w:t>等人於臨沂街馥園餐廳</w:t>
      </w:r>
      <w:r w:rsidR="00606581" w:rsidRPr="006A015A">
        <w:rPr>
          <w:rFonts w:hint="eastAsia"/>
          <w:szCs w:val="32"/>
        </w:rPr>
        <w:t>聚</w:t>
      </w:r>
      <w:r w:rsidR="006773A9" w:rsidRPr="006A015A">
        <w:rPr>
          <w:rFonts w:hint="eastAsia"/>
          <w:szCs w:val="32"/>
        </w:rPr>
        <w:t>餐。</w:t>
      </w:r>
      <w:r w:rsidR="00606581" w:rsidRPr="006A015A">
        <w:rPr>
          <w:rFonts w:hint="eastAsia"/>
          <w:szCs w:val="32"/>
        </w:rPr>
        <w:t>均可證高明哲之心證已遭</w:t>
      </w:r>
      <w:r w:rsidR="00606581" w:rsidRPr="006A015A">
        <w:rPr>
          <w:rFonts w:hint="eastAsia"/>
        </w:rPr>
        <w:t>蕭仰歸關說而污染，非如渠辯稱，審理期間均未曾見面，未被蕭仰歸關說。</w:t>
      </w:r>
      <w:r w:rsidR="0026588F" w:rsidRPr="006A015A">
        <w:rPr>
          <w:rFonts w:hint="eastAsia"/>
          <w:szCs w:val="32"/>
        </w:rPr>
        <w:t>又上開</w:t>
      </w:r>
      <w:r w:rsidR="0026588F" w:rsidRPr="006A015A">
        <w:rPr>
          <w:rFonts w:hAnsi="標楷體" w:cs="新細明體" w:hint="eastAsia"/>
          <w:kern w:val="0"/>
          <w:szCs w:val="32"/>
        </w:rPr>
        <w:t>聲請再審之理由及</w:t>
      </w:r>
      <w:r w:rsidR="0026588F" w:rsidRPr="006A015A">
        <w:rPr>
          <w:rFonts w:hint="eastAsia"/>
        </w:rPr>
        <w:t>最高法院刑事裁定，均認為高明哲之心證，已受蕭仰歸關說之污染。</w:t>
      </w:r>
    </w:p>
    <w:p w:rsidR="0035436D" w:rsidRPr="006A015A" w:rsidRDefault="00BA1FD2" w:rsidP="00ED6490">
      <w:pPr>
        <w:pStyle w:val="4"/>
        <w:ind w:left="1701"/>
      </w:pPr>
      <w:r w:rsidRPr="006A015A">
        <w:rPr>
          <w:rFonts w:hint="eastAsia"/>
        </w:rPr>
        <w:lastRenderedPageBreak/>
        <w:t>高明哲心證已遭污染</w:t>
      </w:r>
      <w:r w:rsidR="0035436D" w:rsidRPr="006A015A">
        <w:rPr>
          <w:rFonts w:hint="eastAsia"/>
          <w:szCs w:val="32"/>
        </w:rPr>
        <w:t>致本案判決有違經驗法則及論理法則：</w:t>
      </w:r>
    </w:p>
    <w:p w:rsidR="00BB1BD3" w:rsidRPr="006A015A" w:rsidRDefault="00BB1BD3" w:rsidP="00BB1BD3">
      <w:pPr>
        <w:pStyle w:val="5"/>
        <w:ind w:left="2042" w:hanging="851"/>
      </w:pPr>
      <w:r w:rsidRPr="006A015A">
        <w:rPr>
          <w:rFonts w:hint="eastAsia"/>
        </w:rPr>
        <w:t>檢察總長提起非常上訴之理由，原判決推論該後視鏡內折，非二車發生碰觸之結果；又原審未詳查被告停車原因，檢察總長認為原判決撤銷第一審有罪判決，遽為被告無駕車肇事逃逸犯行，有應調查之證據未為調查、採證認事與卷內資料未合及違背經驗、論理法則之違背法令。</w:t>
      </w:r>
    </w:p>
    <w:p w:rsidR="00BB1BD3" w:rsidRPr="006A015A" w:rsidRDefault="00BB1BD3" w:rsidP="00BB1BD3">
      <w:pPr>
        <w:pStyle w:val="5"/>
        <w:ind w:left="2042" w:hanging="851"/>
      </w:pPr>
      <w:r w:rsidRPr="006A015A">
        <w:rPr>
          <w:rFonts w:hint="eastAsia"/>
        </w:rPr>
        <w:t>最高法院</w:t>
      </w:r>
      <w:r w:rsidR="00673A85" w:rsidRPr="006A015A">
        <w:rPr>
          <w:rFonts w:hint="eastAsia"/>
        </w:rPr>
        <w:t>100年度台非字第179號判決，</w:t>
      </w:r>
      <w:r w:rsidRPr="006A015A">
        <w:rPr>
          <w:rFonts w:hint="eastAsia"/>
        </w:rPr>
        <w:t>以「審認非不利於被告之原確定判決，就個案之採證、認事是否違背經驗法則及論理法則，並未涉及法律見解之統一，欠缺原則上之重要性或爭議，亦無提起非常上訴之必要。」為由駁回非常上訴。</w:t>
      </w:r>
    </w:p>
    <w:p w:rsidR="001B1D1C" w:rsidRPr="006A015A" w:rsidRDefault="000411F9" w:rsidP="001B1D1C">
      <w:pPr>
        <w:pStyle w:val="4"/>
        <w:ind w:left="1701"/>
      </w:pPr>
      <w:r w:rsidRPr="006A015A">
        <w:rPr>
          <w:rFonts w:hint="eastAsia"/>
        </w:rPr>
        <w:t>前揭</w:t>
      </w:r>
      <w:r w:rsidR="001B1D1C" w:rsidRPr="006A015A">
        <w:rPr>
          <w:rFonts w:hint="eastAsia"/>
        </w:rPr>
        <w:t>臺北地檢署簽結</w:t>
      </w:r>
      <w:r w:rsidRPr="006A015A">
        <w:rPr>
          <w:rFonts w:hint="eastAsia"/>
        </w:rPr>
        <w:t>意見，</w:t>
      </w:r>
      <w:r w:rsidRPr="006A015A">
        <w:rPr>
          <w:rFonts w:hAnsi="標楷體" w:hint="eastAsia"/>
          <w:kern w:val="0"/>
          <w:szCs w:val="32"/>
        </w:rPr>
        <w:t>無證據證明該無罪判決係因關說所致；高明哲所製作之無罪判決，已在理由欄詳敘形成無罪心證之理由；縱該無罪判決有違背經驗法則或論理法則之處，係上訴第3審之理由，故</w:t>
      </w:r>
      <w:r w:rsidRPr="006A015A">
        <w:rPr>
          <w:rFonts w:hint="eastAsia"/>
        </w:rPr>
        <w:t>認為</w:t>
      </w:r>
      <w:r w:rsidRPr="006A015A">
        <w:rPr>
          <w:rFonts w:hAnsi="標楷體" w:hint="eastAsia"/>
          <w:kern w:val="0"/>
          <w:szCs w:val="32"/>
        </w:rPr>
        <w:t>無枉法裁判之情形。惟查：</w:t>
      </w:r>
    </w:p>
    <w:p w:rsidR="000411F9" w:rsidRPr="006A015A" w:rsidRDefault="001E0608" w:rsidP="001B1D1C">
      <w:pPr>
        <w:pStyle w:val="5"/>
        <w:ind w:left="2042" w:hanging="851"/>
      </w:pPr>
      <w:r w:rsidRPr="006A015A">
        <w:rPr>
          <w:rFonts w:hint="eastAsia"/>
        </w:rPr>
        <w:t>前揭</w:t>
      </w:r>
      <w:r w:rsidR="009E4754" w:rsidRPr="006A015A">
        <w:rPr>
          <w:rFonts w:hint="eastAsia"/>
        </w:rPr>
        <w:t>鄭景文</w:t>
      </w:r>
      <w:r w:rsidRPr="006A015A">
        <w:rPr>
          <w:rFonts w:hint="eastAsia"/>
        </w:rPr>
        <w:t>、崔玲琦及高玉舜等</w:t>
      </w:r>
      <w:r w:rsidR="002B4261" w:rsidRPr="006A015A">
        <w:rPr>
          <w:rFonts w:hint="eastAsia"/>
        </w:rPr>
        <w:t>證</w:t>
      </w:r>
      <w:r w:rsidRPr="006A015A">
        <w:rPr>
          <w:rFonts w:hint="eastAsia"/>
        </w:rPr>
        <w:t>人之證述，蕭仰歸關說的目的，</w:t>
      </w:r>
      <w:r w:rsidR="002B4261" w:rsidRPr="006A015A">
        <w:rPr>
          <w:rFonts w:hint="eastAsia"/>
        </w:rPr>
        <w:t>就</w:t>
      </w:r>
      <w:r w:rsidRPr="006A015A">
        <w:rPr>
          <w:rFonts w:hint="eastAsia"/>
        </w:rPr>
        <w:t>是不要緩刑，要拼無罪判決</w:t>
      </w:r>
      <w:r w:rsidR="0065107D" w:rsidRPr="006A015A">
        <w:rPr>
          <w:rFonts w:hint="eastAsia"/>
        </w:rPr>
        <w:t>，以免蕭賢綸</w:t>
      </w:r>
      <w:r w:rsidR="004A0495" w:rsidRPr="006A015A">
        <w:rPr>
          <w:rFonts w:hint="eastAsia"/>
        </w:rPr>
        <w:t>於考</w:t>
      </w:r>
      <w:r w:rsidR="00ED54F3" w:rsidRPr="006A015A">
        <w:rPr>
          <w:rFonts w:hint="eastAsia"/>
          <w:szCs w:val="32"/>
        </w:rPr>
        <w:t>法官、檢察官</w:t>
      </w:r>
      <w:r w:rsidR="0065107D" w:rsidRPr="006A015A">
        <w:rPr>
          <w:rFonts w:hint="eastAsia"/>
        </w:rPr>
        <w:t>口試時被刷掉。</w:t>
      </w:r>
    </w:p>
    <w:p w:rsidR="0065107D" w:rsidRPr="006A015A" w:rsidRDefault="0065107D" w:rsidP="001B1D1C">
      <w:pPr>
        <w:pStyle w:val="5"/>
        <w:ind w:left="2042" w:hanging="851"/>
      </w:pPr>
      <w:r w:rsidRPr="006A015A">
        <w:rPr>
          <w:rFonts w:hint="eastAsia"/>
        </w:rPr>
        <w:t>前揭高明哲在該署供稱之心證，係因家人健康因素及遵守無罪推定原則云云，實際上渠心證已遭蕭仰歸關說污染，評議時</w:t>
      </w:r>
      <w:r w:rsidR="00306E0B" w:rsidRPr="006A015A">
        <w:rPr>
          <w:rFonts w:hint="eastAsia"/>
        </w:rPr>
        <w:t>高明哲</w:t>
      </w:r>
      <w:r w:rsidRPr="006A015A">
        <w:rPr>
          <w:rFonts w:hint="eastAsia"/>
        </w:rPr>
        <w:t>堅稱：「他要的不是這個啦！他要的是無罪判決！」</w:t>
      </w:r>
      <w:r w:rsidR="00306E0B" w:rsidRPr="006A015A">
        <w:rPr>
          <w:rFonts w:hint="eastAsia"/>
        </w:rPr>
        <w:t>復</w:t>
      </w:r>
      <w:r w:rsidRPr="006A015A">
        <w:rPr>
          <w:rFonts w:hint="eastAsia"/>
        </w:rPr>
        <w:t>有最高法院109年度台抗字第257號刑事裁定，高明哲於評議時陳述之意見，當</w:t>
      </w:r>
      <w:r w:rsidR="009635EF" w:rsidRPr="006A015A">
        <w:rPr>
          <w:rFonts w:hint="eastAsia"/>
        </w:rPr>
        <w:t>時</w:t>
      </w:r>
      <w:r w:rsidRPr="006A015A">
        <w:rPr>
          <w:rFonts w:hint="eastAsia"/>
        </w:rPr>
        <w:t>已受關說污染</w:t>
      </w:r>
      <w:r w:rsidRPr="006A015A">
        <w:rPr>
          <w:rFonts w:hint="eastAsia"/>
        </w:rPr>
        <w:lastRenderedPageBreak/>
        <w:t>無誤。</w:t>
      </w:r>
    </w:p>
    <w:p w:rsidR="00306E0B" w:rsidRPr="006A015A" w:rsidRDefault="00A201BA" w:rsidP="001B1D1C">
      <w:pPr>
        <w:pStyle w:val="5"/>
        <w:ind w:left="2042" w:hanging="851"/>
      </w:pPr>
      <w:r w:rsidRPr="006A015A">
        <w:rPr>
          <w:rFonts w:hint="eastAsia"/>
        </w:rPr>
        <w:t>高明哲為達「無罪判決」的終極目標，致</w:t>
      </w:r>
      <w:r w:rsidR="00D44A0A" w:rsidRPr="006A015A">
        <w:rPr>
          <w:rFonts w:hAnsi="標楷體" w:hint="eastAsia"/>
          <w:szCs w:val="32"/>
        </w:rPr>
        <w:t>臺灣高院98年度交上訴字第169號判決，</w:t>
      </w:r>
      <w:r w:rsidR="00D44A0A" w:rsidRPr="006A015A">
        <w:rPr>
          <w:rFonts w:hint="eastAsia"/>
        </w:rPr>
        <w:t>違反經驗法則及論理法則，經檢察總長提起非常上訴之理由，已如前述，惟最高法院100年度台非字第179號判決，認為原判決非不利於被告之原確定判決，且是否違背經驗法則及論理法則，未涉及法律見解之統一，欠缺原則上之重要性或爭議，亦無提起非常上訴之必要，而駁回非常上訴。</w:t>
      </w:r>
    </w:p>
    <w:p w:rsidR="009D1C91" w:rsidRPr="006A015A" w:rsidRDefault="0048032F" w:rsidP="001B1D1C">
      <w:pPr>
        <w:pStyle w:val="5"/>
        <w:ind w:left="2042" w:hanging="851"/>
      </w:pPr>
      <w:r w:rsidRPr="006A015A">
        <w:rPr>
          <w:rFonts w:hint="eastAsia"/>
        </w:rPr>
        <w:t>據本院諮詢學者專的意見：</w:t>
      </w:r>
    </w:p>
    <w:p w:rsidR="0048032F" w:rsidRPr="006A015A" w:rsidRDefault="0048032F" w:rsidP="00810DD6">
      <w:pPr>
        <w:pStyle w:val="6"/>
        <w:ind w:left="2382" w:hanging="851"/>
      </w:pPr>
      <w:r w:rsidRPr="006A015A">
        <w:rPr>
          <w:rFonts w:hint="eastAsia"/>
        </w:rPr>
        <w:t>高明哲已經被蕭仰歸關說，高明哲已枉法裁判了。</w:t>
      </w:r>
    </w:p>
    <w:p w:rsidR="0048032F" w:rsidRPr="006A015A" w:rsidRDefault="0048032F" w:rsidP="00810DD6">
      <w:pPr>
        <w:pStyle w:val="6"/>
        <w:ind w:left="2382" w:hanging="851"/>
      </w:pPr>
      <w:r w:rsidRPr="006A015A">
        <w:rPr>
          <w:rFonts w:hint="eastAsia"/>
        </w:rPr>
        <w:t>如果是重大違反經驗法則及論理法則，已是枉法裁判。重大的定義，以本案而言，蕭賢綸</w:t>
      </w:r>
      <w:r w:rsidRPr="006A015A">
        <w:rPr>
          <w:rFonts w:hAnsi="標楷體" w:hint="eastAsia"/>
          <w:kern w:val="0"/>
          <w:szCs w:val="32"/>
        </w:rPr>
        <w:t>肇事後</w:t>
      </w:r>
      <w:r w:rsidRPr="006A015A">
        <w:rPr>
          <w:rFonts w:hint="eastAsia"/>
        </w:rPr>
        <w:t>靠路邊停車3秒，臺灣高院判決認為停車3秒是檢視交通安全的表現，一般人不可能經過一個路口，就停車下來，這已經是「重大」違反一般經驗法則了。</w:t>
      </w:r>
    </w:p>
    <w:p w:rsidR="0048032F" w:rsidRPr="006A015A" w:rsidRDefault="0048032F" w:rsidP="00810DD6">
      <w:pPr>
        <w:pStyle w:val="6"/>
        <w:ind w:left="2382" w:hanging="851"/>
      </w:pPr>
      <w:r w:rsidRPr="006A015A">
        <w:rPr>
          <w:rFonts w:hAnsi="標楷體" w:hint="eastAsia"/>
          <w:kern w:val="0"/>
          <w:szCs w:val="32"/>
        </w:rPr>
        <w:t>刑法第124條的問題，據高玉舜說法：「高明哲沒有看卷，人家就是要拼無罪」已涉及適用刑法第124條之枉法裁判了。</w:t>
      </w:r>
    </w:p>
    <w:p w:rsidR="00277D73" w:rsidRPr="006A015A" w:rsidRDefault="008E00CB" w:rsidP="00277D73">
      <w:pPr>
        <w:pStyle w:val="5"/>
        <w:ind w:left="2042" w:hanging="851"/>
      </w:pPr>
      <w:r w:rsidRPr="006A015A">
        <w:rPr>
          <w:rFonts w:hint="eastAsia"/>
        </w:rPr>
        <w:t>是則，高明哲之心證已遭蕭仰歸關說污染，</w:t>
      </w:r>
      <w:r w:rsidR="009E4754" w:rsidRPr="006A015A">
        <w:rPr>
          <w:rFonts w:hint="eastAsia"/>
        </w:rPr>
        <w:t>有鄭景文、崔玲琦及高玉舜等證人之證述可證，及最高法院109年度台抗字第257號刑事裁定可稽，致</w:t>
      </w:r>
      <w:r w:rsidR="009E4754" w:rsidRPr="006A015A">
        <w:rPr>
          <w:rFonts w:hAnsi="標楷體" w:hint="eastAsia"/>
          <w:szCs w:val="32"/>
        </w:rPr>
        <w:t>臺灣高院98年度交上訴字第169號判決，</w:t>
      </w:r>
      <w:r w:rsidR="009E4754" w:rsidRPr="006A015A">
        <w:rPr>
          <w:rFonts w:hint="eastAsia"/>
        </w:rPr>
        <w:t>違反經驗法則及論理法則，就是要拼無罪的終極目標，復依上開諮詢意見，高明哲已涉及</w:t>
      </w:r>
      <w:r w:rsidR="009E4754" w:rsidRPr="006A015A">
        <w:rPr>
          <w:rFonts w:hAnsi="標楷體" w:hint="eastAsia"/>
          <w:kern w:val="0"/>
          <w:szCs w:val="32"/>
        </w:rPr>
        <w:t>刑法第124條之枉法裁判。</w:t>
      </w:r>
    </w:p>
    <w:p w:rsidR="0035436D" w:rsidRPr="00766374" w:rsidRDefault="008D402E" w:rsidP="008D402E">
      <w:pPr>
        <w:pStyle w:val="3"/>
        <w:ind w:left="1360" w:hanging="680"/>
      </w:pPr>
      <w:r w:rsidRPr="006A015A">
        <w:rPr>
          <w:rFonts w:hint="eastAsia"/>
        </w:rPr>
        <w:t>綜上，</w:t>
      </w:r>
      <w:r w:rsidR="00855BBB" w:rsidRPr="006A015A">
        <w:rPr>
          <w:rFonts w:hint="eastAsia"/>
        </w:rPr>
        <w:t>本案係因肇事逃逸的蕭賢綸，恐</w:t>
      </w:r>
      <w:r w:rsidR="002B1C0C" w:rsidRPr="006A015A">
        <w:rPr>
          <w:rFonts w:hint="eastAsia"/>
        </w:rPr>
        <w:t>法院判決</w:t>
      </w:r>
      <w:r w:rsidR="00855BBB" w:rsidRPr="006A015A">
        <w:rPr>
          <w:rFonts w:hint="eastAsia"/>
        </w:rPr>
        <w:t>緩</w:t>
      </w:r>
      <w:r w:rsidR="00855BBB" w:rsidRPr="006A015A">
        <w:rPr>
          <w:rFonts w:hint="eastAsia"/>
        </w:rPr>
        <w:lastRenderedPageBreak/>
        <w:t>刑之前科，於將來</w:t>
      </w:r>
      <w:r w:rsidR="004A0495" w:rsidRPr="006A015A">
        <w:rPr>
          <w:rFonts w:hint="eastAsia"/>
        </w:rPr>
        <w:t>考</w:t>
      </w:r>
      <w:r w:rsidR="00ED54F3" w:rsidRPr="006A015A">
        <w:rPr>
          <w:rFonts w:hint="eastAsia"/>
          <w:szCs w:val="32"/>
        </w:rPr>
        <w:t>法官、檢察官</w:t>
      </w:r>
      <w:r w:rsidR="00855BBB" w:rsidRPr="006A015A">
        <w:rPr>
          <w:rFonts w:hint="eastAsia"/>
        </w:rPr>
        <w:t>口試時被刷掉，故渠父最高法院前法官蕭仰歸即關說一審審判長鄭景文、二審審判長高明哲及法官崔玲琦等人，目的就是要拼無罪判決</w:t>
      </w:r>
      <w:r w:rsidR="00AB10E6" w:rsidRPr="006A015A">
        <w:rPr>
          <w:rFonts w:hint="eastAsia"/>
        </w:rPr>
        <w:t>。</w:t>
      </w:r>
      <w:r w:rsidR="002B1C0C" w:rsidRPr="006A015A">
        <w:rPr>
          <w:rFonts w:hint="eastAsia"/>
        </w:rPr>
        <w:t>而鄭景文及崔玲琦拒絕接受關說，</w:t>
      </w:r>
      <w:r w:rsidR="00855BBB" w:rsidRPr="006A015A">
        <w:rPr>
          <w:rFonts w:hint="eastAsia"/>
        </w:rPr>
        <w:t>高明哲與蕭仰歸係同學</w:t>
      </w:r>
      <w:r w:rsidR="00423CBF" w:rsidRPr="006A015A">
        <w:rPr>
          <w:rFonts w:hint="eastAsia"/>
        </w:rPr>
        <w:t>、</w:t>
      </w:r>
      <w:r w:rsidR="00855BBB" w:rsidRPr="006A015A">
        <w:rPr>
          <w:rFonts w:hint="eastAsia"/>
        </w:rPr>
        <w:t>私交深厚</w:t>
      </w:r>
      <w:r w:rsidR="00423CBF" w:rsidRPr="006A015A">
        <w:rPr>
          <w:rFonts w:hint="eastAsia"/>
        </w:rPr>
        <w:t>且欲報恩還情</w:t>
      </w:r>
      <w:r w:rsidR="00855BBB" w:rsidRPr="006A015A">
        <w:rPr>
          <w:rFonts w:hint="eastAsia"/>
        </w:rPr>
        <w:t>，高明哲遂接受關說，並</w:t>
      </w:r>
      <w:r w:rsidR="00423CBF" w:rsidRPr="006A015A">
        <w:rPr>
          <w:rFonts w:hint="eastAsia"/>
        </w:rPr>
        <w:t>且</w:t>
      </w:r>
      <w:r w:rsidR="00855BBB" w:rsidRPr="006A015A">
        <w:rPr>
          <w:rFonts w:hint="eastAsia"/>
        </w:rPr>
        <w:t>關說受命法官高玉舜，於評議時，高明哲之心證已遭關說污染，致渠製作之臺灣高院98年度交上訴字第169號判決，違反經驗法則及論理法則，經檢察總長提起非常上訴，復經最高法院判決駁回。</w:t>
      </w:r>
      <w:r w:rsidR="00AB10E6" w:rsidRPr="006A015A">
        <w:rPr>
          <w:rFonts w:hint="eastAsia"/>
        </w:rPr>
        <w:t>又高明哲於臺灣高院自律委員會、臺北地檢署偵查時及本院詢問時，均堅稱審理期間未與蕭仰歸接觸及聚餐，亦未有關說之情形，</w:t>
      </w:r>
      <w:r w:rsidR="00B66EC7" w:rsidRPr="006A015A">
        <w:rPr>
          <w:rFonts w:hint="eastAsia"/>
        </w:rPr>
        <w:t>而實際上，渠與</w:t>
      </w:r>
      <w:r w:rsidR="00FB3D4F" w:rsidRPr="006A015A">
        <w:rPr>
          <w:rFonts w:hint="eastAsia"/>
        </w:rPr>
        <w:t>蕭</w:t>
      </w:r>
      <w:r w:rsidR="00B66EC7" w:rsidRPr="006A015A">
        <w:rPr>
          <w:rFonts w:hint="eastAsia"/>
        </w:rPr>
        <w:t>仰歸有接觸及2次聚餐，</w:t>
      </w:r>
      <w:r w:rsidR="0069444A" w:rsidRPr="006A015A">
        <w:rPr>
          <w:rFonts w:hint="eastAsia"/>
        </w:rPr>
        <w:t>且接受</w:t>
      </w:r>
      <w:r w:rsidR="00B66EC7" w:rsidRPr="006A015A">
        <w:rPr>
          <w:rFonts w:hint="eastAsia"/>
        </w:rPr>
        <w:t>關說</w:t>
      </w:r>
      <w:r w:rsidR="0069444A" w:rsidRPr="006A015A">
        <w:rPr>
          <w:rFonts w:hint="eastAsia"/>
        </w:rPr>
        <w:t>。</w:t>
      </w:r>
      <w:r w:rsidR="00855BBB" w:rsidRPr="006A015A">
        <w:rPr>
          <w:rFonts w:hint="eastAsia"/>
        </w:rPr>
        <w:t>另臺北地檢署認為高明哲無枉法裁判之情形而簽結，惟查鄭景文、崔玲琦及高玉舜等證人之證述，高明哲之心證確已遭關說污染，及最高法院109年度台抗字第257號刑事裁定認為，高明哲於評議時陳述之意見，當時已受關說污染無誤，渠</w:t>
      </w:r>
      <w:r w:rsidR="0069444A" w:rsidRPr="006A015A">
        <w:rPr>
          <w:rFonts w:hint="eastAsia"/>
        </w:rPr>
        <w:t>明知法律，因蕭仰歸之關說，而故為出入，</w:t>
      </w:r>
      <w:r w:rsidR="00855BBB" w:rsidRPr="006A015A">
        <w:rPr>
          <w:rFonts w:hint="eastAsia"/>
        </w:rPr>
        <w:t>已涉及違反刑法第124條枉法裁判罪之虞。</w:t>
      </w:r>
    </w:p>
    <w:p w:rsidR="00C2474C" w:rsidRPr="00766374" w:rsidRDefault="00804F0D" w:rsidP="00F26587">
      <w:pPr>
        <w:pStyle w:val="2"/>
        <w:ind w:left="1020" w:hanging="680"/>
        <w:rPr>
          <w:b/>
        </w:rPr>
      </w:pPr>
      <w:r w:rsidRPr="00766374">
        <w:rPr>
          <w:rFonts w:hint="eastAsia"/>
          <w:b/>
        </w:rPr>
        <w:t>有關</w:t>
      </w:r>
      <w:r w:rsidR="003A102A" w:rsidRPr="00766374">
        <w:rPr>
          <w:rFonts w:hAnsi="標楷體" w:hint="eastAsia"/>
          <w:b/>
          <w:kern w:val="0"/>
          <w:szCs w:val="32"/>
        </w:rPr>
        <w:t>法官、檢察官</w:t>
      </w:r>
      <w:r w:rsidRPr="00766374">
        <w:rPr>
          <w:rFonts w:hAnsi="標楷體" w:hint="eastAsia"/>
          <w:b/>
          <w:kern w:val="0"/>
          <w:szCs w:val="32"/>
        </w:rPr>
        <w:t>之審判品質不佳、怠於執行職務、品行不佳及未詳查事證率予起訴等，應予自律之案例及態樣，除各級審檢之自律機制外，</w:t>
      </w:r>
      <w:r w:rsidR="00A3611C" w:rsidRPr="00766374">
        <w:rPr>
          <w:rFonts w:hAnsi="標楷體" w:hint="eastAsia"/>
          <w:b/>
          <w:kern w:val="0"/>
          <w:szCs w:val="32"/>
        </w:rPr>
        <w:t>司法院及法務部</w:t>
      </w:r>
      <w:r w:rsidR="009E2867" w:rsidRPr="00766374">
        <w:rPr>
          <w:rFonts w:hAnsi="標楷體" w:hint="eastAsia"/>
          <w:b/>
          <w:kern w:val="0"/>
          <w:szCs w:val="32"/>
        </w:rPr>
        <w:t>更</w:t>
      </w:r>
      <w:r w:rsidR="00A3611C" w:rsidRPr="00766374">
        <w:rPr>
          <w:rFonts w:hAnsi="標楷體" w:hint="eastAsia"/>
          <w:b/>
          <w:kern w:val="0"/>
          <w:szCs w:val="32"/>
        </w:rPr>
        <w:t>應嚴促</w:t>
      </w:r>
      <w:r w:rsidRPr="00766374">
        <w:rPr>
          <w:rFonts w:hAnsi="標楷體" w:hint="eastAsia"/>
          <w:b/>
          <w:kern w:val="0"/>
          <w:szCs w:val="32"/>
        </w:rPr>
        <w:t>各級審檢首長</w:t>
      </w:r>
      <w:r w:rsidR="00A3611C" w:rsidRPr="00766374">
        <w:rPr>
          <w:rFonts w:hAnsi="標楷體" w:hint="eastAsia"/>
          <w:b/>
          <w:kern w:val="0"/>
          <w:szCs w:val="32"/>
        </w:rPr>
        <w:t>嚴格</w:t>
      </w:r>
      <w:r w:rsidRPr="00766374">
        <w:rPr>
          <w:rFonts w:hAnsi="標楷體" w:hint="eastAsia"/>
          <w:b/>
          <w:kern w:val="0"/>
          <w:szCs w:val="32"/>
        </w:rPr>
        <w:t>落實職務監督</w:t>
      </w:r>
      <w:r w:rsidR="009E2867" w:rsidRPr="00766374">
        <w:rPr>
          <w:rFonts w:hAnsi="標楷體" w:hint="eastAsia"/>
          <w:b/>
          <w:kern w:val="0"/>
          <w:szCs w:val="32"/>
        </w:rPr>
        <w:t>，以淘汰不適格之</w:t>
      </w:r>
      <w:r w:rsidR="003A102A" w:rsidRPr="00766374">
        <w:rPr>
          <w:rFonts w:hAnsi="標楷體" w:hint="eastAsia"/>
          <w:b/>
          <w:kern w:val="0"/>
          <w:szCs w:val="32"/>
        </w:rPr>
        <w:t>法官、檢察官</w:t>
      </w:r>
      <w:r w:rsidR="00B73C1B" w:rsidRPr="00766374">
        <w:rPr>
          <w:rFonts w:hAnsi="標楷體" w:hint="eastAsia"/>
          <w:b/>
          <w:kern w:val="0"/>
          <w:szCs w:val="32"/>
        </w:rPr>
        <w:t>。</w:t>
      </w:r>
      <w:r w:rsidR="00A86629" w:rsidRPr="00766374">
        <w:rPr>
          <w:rFonts w:hAnsi="標楷體" w:hint="eastAsia"/>
          <w:b/>
          <w:kern w:val="0"/>
          <w:szCs w:val="32"/>
        </w:rPr>
        <w:t>另</w:t>
      </w:r>
      <w:r w:rsidR="00A14E82" w:rsidRPr="00766374">
        <w:rPr>
          <w:rFonts w:hAnsi="標楷體" w:hint="eastAsia"/>
          <w:b/>
          <w:bCs w:val="0"/>
          <w:szCs w:val="32"/>
        </w:rPr>
        <w:t>法官法</w:t>
      </w:r>
      <w:r w:rsidR="00887786">
        <w:rPr>
          <w:rFonts w:hAnsi="標楷體" w:hint="eastAsia"/>
          <w:b/>
          <w:bCs w:val="0"/>
          <w:szCs w:val="32"/>
        </w:rPr>
        <w:t>施</w:t>
      </w:r>
      <w:r w:rsidR="00A14E82" w:rsidRPr="00766374">
        <w:rPr>
          <w:rFonts w:hAnsi="標楷體" w:hint="eastAsia"/>
          <w:b/>
          <w:bCs w:val="0"/>
          <w:szCs w:val="32"/>
        </w:rPr>
        <w:t>行以前，96-100年法官</w:t>
      </w:r>
      <w:r w:rsidR="00B73C1B" w:rsidRPr="00766374">
        <w:rPr>
          <w:rFonts w:hAnsi="標楷體" w:hint="eastAsia"/>
          <w:b/>
          <w:bCs w:val="0"/>
          <w:szCs w:val="32"/>
        </w:rPr>
        <w:t>考列</w:t>
      </w:r>
      <w:r w:rsidR="00A14E82" w:rsidRPr="00766374">
        <w:rPr>
          <w:rFonts w:hAnsi="標楷體" w:hint="eastAsia"/>
          <w:b/>
          <w:bCs w:val="0"/>
          <w:szCs w:val="32"/>
        </w:rPr>
        <w:t>乙等平均比率係9.9%-10</w:t>
      </w:r>
      <w:r w:rsidR="00A14E82" w:rsidRPr="00766374">
        <w:rPr>
          <w:rFonts w:hint="eastAsia"/>
          <w:b/>
          <w:bCs w:val="0"/>
        </w:rPr>
        <w:t>.15</w:t>
      </w:r>
      <w:r w:rsidR="00A14E82" w:rsidRPr="00766374">
        <w:rPr>
          <w:b/>
          <w:bCs w:val="0"/>
        </w:rPr>
        <w:t>%</w:t>
      </w:r>
      <w:r w:rsidR="00A14E82" w:rsidRPr="00766374">
        <w:rPr>
          <w:rFonts w:hint="eastAsia"/>
          <w:b/>
          <w:bCs w:val="0"/>
        </w:rPr>
        <w:t>，而</w:t>
      </w:r>
      <w:r w:rsidR="00A14E82" w:rsidRPr="00766374">
        <w:rPr>
          <w:rFonts w:hAnsi="標楷體" w:hint="eastAsia"/>
          <w:b/>
          <w:bCs w:val="0"/>
          <w:szCs w:val="32"/>
        </w:rPr>
        <w:t>法官法</w:t>
      </w:r>
      <w:r w:rsidR="00887786">
        <w:rPr>
          <w:rFonts w:hAnsi="標楷體" w:hint="eastAsia"/>
          <w:b/>
          <w:bCs w:val="0"/>
          <w:szCs w:val="32"/>
        </w:rPr>
        <w:t>施</w:t>
      </w:r>
      <w:r w:rsidR="00A14E82" w:rsidRPr="00766374">
        <w:rPr>
          <w:rFonts w:hAnsi="標楷體" w:hint="eastAsia"/>
          <w:b/>
          <w:bCs w:val="0"/>
          <w:szCs w:val="32"/>
        </w:rPr>
        <w:t>行以後，101-107年法官</w:t>
      </w:r>
      <w:r w:rsidR="00A14E82" w:rsidRPr="00766374">
        <w:rPr>
          <w:rFonts w:hAnsi="標楷體" w:hint="eastAsia"/>
          <w:b/>
          <w:bCs w:val="0"/>
          <w:spacing w:val="-10"/>
          <w:kern w:val="0"/>
          <w:szCs w:val="32"/>
        </w:rPr>
        <w:t>未達良好</w:t>
      </w:r>
      <w:r w:rsidR="00A14E82" w:rsidRPr="00766374">
        <w:rPr>
          <w:rFonts w:hAnsi="標楷體" w:hint="eastAsia"/>
          <w:b/>
          <w:bCs w:val="0"/>
          <w:szCs w:val="32"/>
        </w:rPr>
        <w:t>平均比率係1.8%-2</w:t>
      </w:r>
      <w:r w:rsidR="00A14E82" w:rsidRPr="00766374">
        <w:rPr>
          <w:rFonts w:hint="eastAsia"/>
          <w:b/>
          <w:bCs w:val="0"/>
        </w:rPr>
        <w:t>.7</w:t>
      </w:r>
      <w:r w:rsidR="00A14E82" w:rsidRPr="00766374">
        <w:rPr>
          <w:b/>
          <w:bCs w:val="0"/>
        </w:rPr>
        <w:t>%</w:t>
      </w:r>
      <w:r w:rsidR="00A14E82" w:rsidRPr="00766374">
        <w:rPr>
          <w:rFonts w:hint="eastAsia"/>
          <w:b/>
          <w:bCs w:val="0"/>
        </w:rPr>
        <w:t>，</w:t>
      </w:r>
      <w:r w:rsidR="00A14E82" w:rsidRPr="00766374">
        <w:rPr>
          <w:rFonts w:hAnsi="標楷體" w:hint="eastAsia"/>
          <w:b/>
          <w:bCs w:val="0"/>
          <w:szCs w:val="32"/>
        </w:rPr>
        <w:t>法官法</w:t>
      </w:r>
      <w:r w:rsidR="00887786">
        <w:rPr>
          <w:rFonts w:hAnsi="標楷體" w:hint="eastAsia"/>
          <w:b/>
          <w:bCs w:val="0"/>
          <w:szCs w:val="32"/>
        </w:rPr>
        <w:t>施</w:t>
      </w:r>
      <w:r w:rsidR="00A14E82" w:rsidRPr="00766374">
        <w:rPr>
          <w:rFonts w:hAnsi="標楷體" w:hint="eastAsia"/>
          <w:b/>
          <w:bCs w:val="0"/>
          <w:szCs w:val="32"/>
        </w:rPr>
        <w:t>行前後</w:t>
      </w:r>
      <w:r w:rsidR="00B73C1B" w:rsidRPr="00766374">
        <w:rPr>
          <w:rFonts w:hAnsi="標楷體" w:hint="eastAsia"/>
          <w:b/>
          <w:bCs w:val="0"/>
          <w:szCs w:val="32"/>
        </w:rPr>
        <w:t>，法官考列</w:t>
      </w:r>
      <w:r w:rsidR="00A14E82" w:rsidRPr="00766374">
        <w:rPr>
          <w:rFonts w:hAnsi="標楷體" w:hint="eastAsia"/>
          <w:b/>
          <w:bCs w:val="0"/>
          <w:szCs w:val="32"/>
        </w:rPr>
        <w:t>乙等或</w:t>
      </w:r>
      <w:r w:rsidR="00A14E82" w:rsidRPr="00766374">
        <w:rPr>
          <w:rFonts w:hAnsi="標楷體" w:hint="eastAsia"/>
          <w:b/>
          <w:bCs w:val="0"/>
          <w:spacing w:val="-10"/>
          <w:kern w:val="0"/>
          <w:szCs w:val="32"/>
        </w:rPr>
        <w:t>未達良好之比率</w:t>
      </w:r>
      <w:r w:rsidR="00A14E82" w:rsidRPr="00766374">
        <w:rPr>
          <w:rFonts w:hAnsi="標楷體" w:hint="eastAsia"/>
          <w:b/>
          <w:bCs w:val="0"/>
          <w:szCs w:val="32"/>
        </w:rPr>
        <w:t>，相差甚大，</w:t>
      </w:r>
      <w:r w:rsidR="00B73C1B" w:rsidRPr="00766374">
        <w:rPr>
          <w:rFonts w:hAnsi="標楷體" w:hint="eastAsia"/>
          <w:b/>
          <w:bCs w:val="0"/>
          <w:szCs w:val="32"/>
        </w:rPr>
        <w:t>司法院應研討兩者之差異，並強化對法官的考核</w:t>
      </w:r>
      <w:r w:rsidR="000E7AF2" w:rsidRPr="00766374">
        <w:rPr>
          <w:rFonts w:hAnsi="標楷體" w:hint="eastAsia"/>
          <w:b/>
          <w:bCs w:val="0"/>
          <w:szCs w:val="32"/>
        </w:rPr>
        <w:t>，又法務部亦應落實及強化對檢察官的考</w:t>
      </w:r>
      <w:r w:rsidR="000E7AF2" w:rsidRPr="00766374">
        <w:rPr>
          <w:rFonts w:hAnsi="標楷體" w:hint="eastAsia"/>
          <w:b/>
          <w:bCs w:val="0"/>
          <w:szCs w:val="32"/>
        </w:rPr>
        <w:lastRenderedPageBreak/>
        <w:t>核。</w:t>
      </w:r>
    </w:p>
    <w:p w:rsidR="00344B9E" w:rsidRPr="00766374" w:rsidRDefault="00344B9E" w:rsidP="00344B9E">
      <w:pPr>
        <w:pStyle w:val="3"/>
        <w:ind w:left="1360" w:hanging="680"/>
      </w:pPr>
      <w:r w:rsidRPr="00766374">
        <w:rPr>
          <w:rFonts w:hAnsi="標楷體" w:hint="eastAsia"/>
          <w:kern w:val="0"/>
          <w:szCs w:val="32"/>
        </w:rPr>
        <w:t>自律機制之法令：</w:t>
      </w:r>
    </w:p>
    <w:p w:rsidR="00392A7E" w:rsidRPr="00766374" w:rsidRDefault="00392A7E" w:rsidP="00344B9E">
      <w:pPr>
        <w:pStyle w:val="4"/>
        <w:ind w:left="1701"/>
      </w:pPr>
      <w:r w:rsidRPr="00766374">
        <w:rPr>
          <w:rFonts w:hAnsi="標楷體" w:hint="eastAsia"/>
          <w:kern w:val="0"/>
          <w:szCs w:val="32"/>
        </w:rPr>
        <w:t>依「各級法院法官自律實施辦法」（下稱自律辦法）</w:t>
      </w:r>
    </w:p>
    <w:p w:rsidR="00344B9E" w:rsidRPr="00766374" w:rsidRDefault="00392A7E" w:rsidP="00392A7E">
      <w:pPr>
        <w:pStyle w:val="5"/>
        <w:ind w:left="2042" w:hanging="851"/>
        <w:rPr>
          <w:rFonts w:hAnsi="標楷體"/>
        </w:rPr>
      </w:pPr>
      <w:r w:rsidRPr="00766374">
        <w:rPr>
          <w:rFonts w:hAnsi="標楷體" w:hint="eastAsia"/>
        </w:rPr>
        <w:t>第6條</w:t>
      </w:r>
      <w:r w:rsidR="00361168" w:rsidRPr="00766374">
        <w:rPr>
          <w:rFonts w:hAnsi="標楷體" w:hint="eastAsia"/>
        </w:rPr>
        <w:t>第1項</w:t>
      </w:r>
      <w:r w:rsidRPr="00766374">
        <w:rPr>
          <w:rFonts w:hAnsi="標楷體" w:hint="eastAsia"/>
        </w:rPr>
        <w:t>規定：</w:t>
      </w:r>
      <w:r w:rsidR="00361168" w:rsidRPr="00766374">
        <w:rPr>
          <w:rFonts w:hAnsi="標楷體" w:hint="eastAsia"/>
        </w:rPr>
        <w:t>「</w:t>
      </w:r>
      <w:r w:rsidR="00361168" w:rsidRPr="00766374">
        <w:rPr>
          <w:rFonts w:hAnsi="標楷體" w:cs="新細明體" w:hint="eastAsia"/>
          <w:kern w:val="0"/>
          <w:szCs w:val="24"/>
        </w:rPr>
        <w:t>各級法院院長或法官3人以上，於本院法官有下列情形之一者，得檢具相關資料，送交自律會審議：一、違反職務上義務、怠於執行職務或言行不檢。二、違反本法第1</w:t>
      </w:r>
      <w:r w:rsidR="00361168" w:rsidRPr="00766374">
        <w:rPr>
          <w:rFonts w:hAnsi="標楷體" w:cs="新細明體"/>
          <w:kern w:val="0"/>
          <w:szCs w:val="24"/>
        </w:rPr>
        <w:t>5</w:t>
      </w:r>
      <w:r w:rsidR="00361168" w:rsidRPr="00766374">
        <w:rPr>
          <w:rFonts w:hAnsi="標楷體" w:cs="新細明體" w:hint="eastAsia"/>
          <w:kern w:val="0"/>
          <w:szCs w:val="24"/>
        </w:rPr>
        <w:t>條規定。三、兼任本法第1</w:t>
      </w:r>
      <w:r w:rsidR="00361168" w:rsidRPr="00766374">
        <w:rPr>
          <w:rFonts w:hAnsi="標楷體" w:cs="新細明體"/>
          <w:kern w:val="0"/>
          <w:szCs w:val="24"/>
        </w:rPr>
        <w:t>6</w:t>
      </w:r>
      <w:r w:rsidR="00361168" w:rsidRPr="00766374">
        <w:rPr>
          <w:rFonts w:hAnsi="標楷體" w:cs="新細明體" w:hint="eastAsia"/>
          <w:kern w:val="0"/>
          <w:szCs w:val="24"/>
        </w:rPr>
        <w:t>條各款所列職務或業務。四、洩漏職務上之秘密。五、嚴重違反辦案程序規定或職務規定。六、無正當理由遲延案件之進行、宣示裁判或交付裁判原本顯有不當之稽延，經通知於相當期限內改善，而不改善。七、接受他人關說案件。八、辦理合議案件，未依法評議。九、確定裁判經非常上訴判決認審判違背法令，其疏失情節嚴重。十、其他違反法官倫理規範而有自律之必要。」第2項規定：「前項第9款情形，其自律事實之送交，應自確定裁判生效之日起2年內為之；其餘各款情形，應自行為終了之日起2年內為之。但自律事實所涉及之案件尚未終結者，自律會得中止程序，並應於中止原因消滅後續行自律程序。」</w:t>
      </w:r>
    </w:p>
    <w:p w:rsidR="00361168" w:rsidRPr="00766374" w:rsidRDefault="00361168" w:rsidP="00392A7E">
      <w:pPr>
        <w:pStyle w:val="5"/>
        <w:ind w:left="2042" w:hanging="851"/>
        <w:rPr>
          <w:rFonts w:hAnsi="標楷體"/>
        </w:rPr>
      </w:pPr>
      <w:r w:rsidRPr="00766374">
        <w:rPr>
          <w:rFonts w:hAnsi="標楷體" w:hint="eastAsia"/>
        </w:rPr>
        <w:t>第</w:t>
      </w:r>
      <w:r w:rsidRPr="00766374">
        <w:rPr>
          <w:rFonts w:hAnsi="標楷體"/>
        </w:rPr>
        <w:t>12</w:t>
      </w:r>
      <w:r w:rsidRPr="00766374">
        <w:rPr>
          <w:rFonts w:hAnsi="標楷體" w:hint="eastAsia"/>
        </w:rPr>
        <w:t>條第1項規定：「</w:t>
      </w:r>
      <w:r w:rsidRPr="00766374">
        <w:rPr>
          <w:rFonts w:hAnsi="標楷體" w:cs="新細明體" w:hint="eastAsia"/>
          <w:kern w:val="0"/>
          <w:szCs w:val="24"/>
        </w:rPr>
        <w:t>自律會經審議認為法官有第6條第1項各款所列情形者，得為下列決議：一、建議職務監督權人依本法第2</w:t>
      </w:r>
      <w:r w:rsidRPr="00766374">
        <w:rPr>
          <w:rFonts w:hAnsi="標楷體" w:cs="新細明體"/>
          <w:kern w:val="0"/>
          <w:szCs w:val="24"/>
        </w:rPr>
        <w:t>1</w:t>
      </w:r>
      <w:r w:rsidRPr="00766374">
        <w:rPr>
          <w:rFonts w:hAnsi="標楷體" w:cs="新細明體" w:hint="eastAsia"/>
          <w:kern w:val="0"/>
          <w:szCs w:val="24"/>
        </w:rPr>
        <w:t>條第1項第1款發命令促其注意。二、建議職務監督權人依本法第2</w:t>
      </w:r>
      <w:r w:rsidRPr="00766374">
        <w:rPr>
          <w:rFonts w:hAnsi="標楷體" w:cs="新細明體"/>
          <w:kern w:val="0"/>
          <w:szCs w:val="24"/>
        </w:rPr>
        <w:t>1</w:t>
      </w:r>
      <w:r w:rsidRPr="00766374">
        <w:rPr>
          <w:rFonts w:hAnsi="標楷體" w:cs="新細明體" w:hint="eastAsia"/>
          <w:kern w:val="0"/>
          <w:szCs w:val="24"/>
        </w:rPr>
        <w:t>條第1項第2款加以警告。三、建議院長以所屬法院名義請求法官評鑑委員會評鑑。四、建議司法院依本法第5</w:t>
      </w:r>
      <w:r w:rsidRPr="00766374">
        <w:rPr>
          <w:rFonts w:hAnsi="標楷體" w:cs="新細明體"/>
          <w:kern w:val="0"/>
          <w:szCs w:val="24"/>
        </w:rPr>
        <w:t>1</w:t>
      </w:r>
      <w:r w:rsidRPr="00766374">
        <w:rPr>
          <w:rFonts w:hAnsi="標楷體" w:cs="新細明體" w:hint="eastAsia"/>
          <w:kern w:val="0"/>
          <w:szCs w:val="24"/>
        </w:rPr>
        <w:t>條第2項規定逕行</w:t>
      </w:r>
      <w:r w:rsidRPr="00766374">
        <w:rPr>
          <w:rFonts w:hAnsi="標楷體" w:cs="新細明體" w:hint="eastAsia"/>
          <w:kern w:val="0"/>
          <w:szCs w:val="24"/>
        </w:rPr>
        <w:lastRenderedPageBreak/>
        <w:t>移送監察院審查。五、建議限期改善或其他適當之處置。」</w:t>
      </w:r>
    </w:p>
    <w:p w:rsidR="00361168" w:rsidRPr="00766374" w:rsidRDefault="00361168" w:rsidP="00392A7E">
      <w:pPr>
        <w:pStyle w:val="5"/>
        <w:ind w:left="2042" w:hanging="851"/>
        <w:rPr>
          <w:rFonts w:hAnsi="標楷體"/>
        </w:rPr>
      </w:pPr>
      <w:r w:rsidRPr="00766374">
        <w:rPr>
          <w:rFonts w:hAnsi="標楷體" w:hint="eastAsia"/>
        </w:rPr>
        <w:t>第</w:t>
      </w:r>
      <w:r w:rsidRPr="00766374">
        <w:rPr>
          <w:rFonts w:hAnsi="標楷體"/>
        </w:rPr>
        <w:t>13</w:t>
      </w:r>
      <w:r w:rsidRPr="00766374">
        <w:rPr>
          <w:rFonts w:hAnsi="標楷體" w:hint="eastAsia"/>
        </w:rPr>
        <w:t>條第1項規定：「</w:t>
      </w:r>
      <w:r w:rsidRPr="00766374">
        <w:rPr>
          <w:rFonts w:hAnsi="標楷體" w:cs="新細明體" w:hint="eastAsia"/>
          <w:kern w:val="0"/>
          <w:szCs w:val="24"/>
        </w:rPr>
        <w:t>自律會經審議認為法官不符第</w:t>
      </w:r>
      <w:r w:rsidR="00637A9F" w:rsidRPr="00766374">
        <w:rPr>
          <w:rFonts w:hAnsi="標楷體" w:cs="新細明體" w:hint="eastAsia"/>
          <w:kern w:val="0"/>
          <w:szCs w:val="24"/>
        </w:rPr>
        <w:t>6</w:t>
      </w:r>
      <w:r w:rsidRPr="00766374">
        <w:rPr>
          <w:rFonts w:hAnsi="標楷體" w:cs="新細明體" w:hint="eastAsia"/>
          <w:kern w:val="0"/>
          <w:szCs w:val="24"/>
        </w:rPr>
        <w:t>條第</w:t>
      </w:r>
      <w:r w:rsidR="00637A9F" w:rsidRPr="00766374">
        <w:rPr>
          <w:rFonts w:hAnsi="標楷體" w:cs="新細明體" w:hint="eastAsia"/>
          <w:kern w:val="0"/>
          <w:szCs w:val="24"/>
        </w:rPr>
        <w:t>1</w:t>
      </w:r>
      <w:r w:rsidRPr="00766374">
        <w:rPr>
          <w:rFonts w:hAnsi="標楷體" w:cs="新細明體" w:hint="eastAsia"/>
          <w:kern w:val="0"/>
          <w:szCs w:val="24"/>
        </w:rPr>
        <w:t>項之情形或其自律事實逾送交自律期間者，應決議不付處置。」第2項規定：「自律事實因逾送交自律期間而不付處置時，不影響職務監督權之行使。」</w:t>
      </w:r>
    </w:p>
    <w:p w:rsidR="00361168" w:rsidRPr="00766374" w:rsidRDefault="00177220" w:rsidP="00361168">
      <w:pPr>
        <w:pStyle w:val="4"/>
        <w:ind w:left="1701"/>
        <w:rPr>
          <w:rFonts w:hAnsi="標楷體"/>
        </w:rPr>
      </w:pPr>
      <w:r w:rsidRPr="00766374">
        <w:rPr>
          <w:rFonts w:hAnsi="標楷體" w:hint="eastAsia"/>
          <w:kern w:val="0"/>
          <w:szCs w:val="32"/>
        </w:rPr>
        <w:t>檢察官倫理規範之第二章執行職務行為之規範及第三章執行職務以外行為之規範</w:t>
      </w:r>
      <w:r w:rsidR="00361168" w:rsidRPr="00766374">
        <w:rPr>
          <w:rFonts w:hAnsi="標楷體" w:hint="eastAsia"/>
          <w:kern w:val="0"/>
          <w:szCs w:val="32"/>
        </w:rPr>
        <w:t>。</w:t>
      </w:r>
    </w:p>
    <w:p w:rsidR="005843A9" w:rsidRPr="00766374" w:rsidRDefault="005843A9" w:rsidP="005843A9">
      <w:pPr>
        <w:pStyle w:val="3"/>
        <w:ind w:left="1360" w:hanging="680"/>
        <w:rPr>
          <w:szCs w:val="48"/>
        </w:rPr>
      </w:pPr>
      <w:r w:rsidRPr="00766374">
        <w:rPr>
          <w:rFonts w:hAnsi="標楷體" w:hint="eastAsia"/>
          <w:kern w:val="0"/>
          <w:szCs w:val="32"/>
        </w:rPr>
        <w:t>有關各級法院首長職務監督與自律機制之運作，司法院書面詢問之說明如下：</w:t>
      </w:r>
    </w:p>
    <w:p w:rsidR="005843A9" w:rsidRPr="00766374" w:rsidRDefault="005843A9" w:rsidP="005843A9">
      <w:pPr>
        <w:pStyle w:val="4"/>
        <w:ind w:left="1701"/>
        <w:rPr>
          <w:rFonts w:hAnsi="標楷體"/>
          <w:kern w:val="0"/>
          <w:szCs w:val="32"/>
        </w:rPr>
      </w:pPr>
      <w:r w:rsidRPr="00766374">
        <w:rPr>
          <w:rFonts w:hAnsi="標楷體" w:hint="eastAsia"/>
          <w:szCs w:val="32"/>
        </w:rPr>
        <w:t>法</w:t>
      </w:r>
      <w:r w:rsidRPr="00766374">
        <w:rPr>
          <w:rFonts w:hAnsi="標楷體" w:hint="eastAsia"/>
          <w:kern w:val="0"/>
          <w:szCs w:val="32"/>
        </w:rPr>
        <w:t>官自律委員會為法院內部輔助院長妥適行使職務監督權之組織，所為決議僅屬建議性質，法官自律可作為職務監督之先行程序，然並非謂職務監督均須先經法官自律後方可為職務監督處分，二者並無先後次序關係，亦即職務監督權人本即有固有的職務監督權限可自行發動，此觀之自律辦法第13條第2項，自律事實因逾送交自律期間而不付處置時，不影響職務監督權之行使，即可知悉。且各級法院院長為法官法第20條明定之職務監督權人，應主動積極行使職務監督權，以維護法官優良之品德操守及敬業精神。</w:t>
      </w:r>
    </w:p>
    <w:p w:rsidR="005843A9" w:rsidRPr="00766374" w:rsidRDefault="005843A9" w:rsidP="005843A9">
      <w:pPr>
        <w:pStyle w:val="4"/>
        <w:ind w:left="1701"/>
        <w:rPr>
          <w:rFonts w:hAnsi="標楷體"/>
          <w:szCs w:val="32"/>
        </w:rPr>
      </w:pPr>
      <w:r w:rsidRPr="00766374">
        <w:rPr>
          <w:rFonts w:hAnsi="標楷體" w:hint="eastAsia"/>
          <w:kern w:val="0"/>
          <w:szCs w:val="32"/>
        </w:rPr>
        <w:t>為落實</w:t>
      </w:r>
      <w:r w:rsidRPr="00766374">
        <w:rPr>
          <w:rFonts w:hAnsi="標楷體" w:hint="eastAsia"/>
          <w:szCs w:val="32"/>
        </w:rPr>
        <w:t>職務監督權之行使，司法院於108年7月24日增訂自律辦法第2條之1，明定各級法院院長發現法官有違反法官倫理規範或其他應受職務監督情事者，應主動依法官法第21條或第22條規定處置；必要時，始得先送交法官自律委員會審議。</w:t>
      </w:r>
    </w:p>
    <w:p w:rsidR="00CD31D0" w:rsidRPr="00766374" w:rsidRDefault="005843A9" w:rsidP="005843A9">
      <w:pPr>
        <w:pStyle w:val="4"/>
        <w:ind w:left="1701"/>
        <w:rPr>
          <w:rFonts w:hAnsi="標楷體"/>
        </w:rPr>
      </w:pPr>
      <w:r w:rsidRPr="00766374">
        <w:rPr>
          <w:rFonts w:hAnsi="標楷體" w:hint="eastAsia"/>
          <w:kern w:val="0"/>
          <w:szCs w:val="32"/>
        </w:rPr>
        <w:t>各法院院長於發現所屬法官有應受職務監督情事者，亦主動調查為必要之處置，自101年7月6日至109年1月31日止，職務監督權人依法官法第21</w:t>
      </w:r>
      <w:r w:rsidRPr="00766374">
        <w:rPr>
          <w:rFonts w:hAnsi="標楷體" w:hint="eastAsia"/>
          <w:kern w:val="0"/>
          <w:szCs w:val="32"/>
        </w:rPr>
        <w:lastRenderedPageBreak/>
        <w:t>條規定，對於被監督之法官，發命令促其注意或加以警告者共計70件。</w:t>
      </w:r>
    </w:p>
    <w:p w:rsidR="00C12B3C" w:rsidRPr="00766374" w:rsidRDefault="003F563B" w:rsidP="00C12B3C">
      <w:pPr>
        <w:pStyle w:val="3"/>
        <w:ind w:left="1360" w:hanging="680"/>
        <w:rPr>
          <w:rFonts w:hAnsi="標楷體"/>
        </w:rPr>
      </w:pPr>
      <w:r w:rsidRPr="00766374">
        <w:rPr>
          <w:rFonts w:hAnsi="標楷體" w:hint="eastAsia"/>
        </w:rPr>
        <w:t>應予自律之</w:t>
      </w:r>
      <w:r w:rsidR="00903815" w:rsidRPr="00766374">
        <w:rPr>
          <w:rFonts w:hAnsi="標楷體" w:hint="eastAsia"/>
        </w:rPr>
        <w:t>案例及</w:t>
      </w:r>
      <w:r w:rsidRPr="00766374">
        <w:rPr>
          <w:rFonts w:hAnsi="標楷體" w:hint="eastAsia"/>
        </w:rPr>
        <w:t>態樣：</w:t>
      </w:r>
    </w:p>
    <w:p w:rsidR="003F563B" w:rsidRPr="00766374" w:rsidRDefault="00E71B01" w:rsidP="003F563B">
      <w:pPr>
        <w:pStyle w:val="4"/>
        <w:ind w:left="1701"/>
      </w:pPr>
      <w:r w:rsidRPr="00766374">
        <w:rPr>
          <w:rFonts w:hAnsi="標楷體" w:hint="eastAsia"/>
          <w:kern w:val="0"/>
          <w:szCs w:val="32"/>
        </w:rPr>
        <w:t>審判品質不佳部分：</w:t>
      </w:r>
    </w:p>
    <w:p w:rsidR="00E71B01" w:rsidRPr="00766374" w:rsidRDefault="006D60F9" w:rsidP="00E71B01">
      <w:pPr>
        <w:pStyle w:val="5"/>
        <w:ind w:left="2042" w:hanging="851"/>
      </w:pPr>
      <w:r w:rsidRPr="00766374">
        <w:rPr>
          <w:rFonts w:hAnsi="標楷體" w:cs="新細明體" w:hint="eastAsia"/>
          <w:kern w:val="0"/>
          <w:szCs w:val="32"/>
        </w:rPr>
        <w:t>「</w:t>
      </w:r>
      <w:r w:rsidR="00414729" w:rsidRPr="00766374">
        <w:rPr>
          <w:rFonts w:hAnsi="標楷體" w:cs="新細明體" w:hint="eastAsia"/>
          <w:kern w:val="0"/>
          <w:szCs w:val="32"/>
        </w:rPr>
        <w:t>確定裁判經非常上訴判決認審判違背法令，其疏失情節嚴重者</w:t>
      </w:r>
      <w:r w:rsidRPr="00766374">
        <w:rPr>
          <w:rFonts w:hAnsi="標楷體" w:cs="新細明體" w:hint="eastAsia"/>
          <w:kern w:val="0"/>
          <w:szCs w:val="32"/>
        </w:rPr>
        <w:t>」</w:t>
      </w:r>
      <w:r w:rsidR="001644C0" w:rsidRPr="00766374">
        <w:rPr>
          <w:rFonts w:hAnsi="標楷體" w:cs="新細明體" w:hint="eastAsia"/>
          <w:kern w:val="0"/>
          <w:szCs w:val="32"/>
        </w:rPr>
        <w:t>法官鄧希賢審理105年度審簡字第361號被告邱</w:t>
      </w:r>
      <w:r w:rsidR="005B3B77">
        <w:rPr>
          <w:rFonts w:hAnsi="標楷體" w:cs="新細明體" w:hint="eastAsia"/>
          <w:kern w:val="0"/>
          <w:szCs w:val="32"/>
        </w:rPr>
        <w:t>○</w:t>
      </w:r>
      <w:r w:rsidR="003D3269" w:rsidRPr="00766374">
        <w:rPr>
          <w:rFonts w:hAnsi="標楷體" w:cs="新細明體" w:hint="eastAsia"/>
          <w:kern w:val="0"/>
          <w:szCs w:val="32"/>
        </w:rPr>
        <w:t>輝</w:t>
      </w:r>
      <w:r w:rsidR="001644C0" w:rsidRPr="00766374">
        <w:rPr>
          <w:rFonts w:hAnsi="標楷體" w:cs="新細明體" w:hint="eastAsia"/>
          <w:kern w:val="0"/>
          <w:szCs w:val="32"/>
        </w:rPr>
        <w:t>涉犯毒品罪案件，據本院詢問司法院之書面答復稱，臺灣臺南地方法院（下稱臺南地院）院長認為本案先記載「本案犯罪事實及證據，均引用檢察官起訴書之記載」，其後又認「被告所為係犯施用第二級毒品罪」，先後記載顯有矛盾，疏失情節不輕。本案自律事實，自確定裁判生效之日起，雖已逾2年之送交自律期間，而經法官自律委員會決議不付處置。然依自律辦法第13條第2項規定：「自律事實因逾送交自律期間而不付處置時，不影響職務監督權之行使。」審酌承辦法官於105年8月間，係辦理該院刑事審查庭業務，因每月收案量相當大(105年8月份，當月收案件數為130件)，案件負擔高於其他審查庭各股。爰依法官法第21條第1項第1款、法官法施行細則第17條第1項規定，以口頭方式，促請承辦法官，嗣後應注意，依據法律謹慎執行審判職務。</w:t>
      </w:r>
    </w:p>
    <w:p w:rsidR="008520A4" w:rsidRPr="00766374" w:rsidRDefault="008520A4" w:rsidP="002234DF">
      <w:pPr>
        <w:pStyle w:val="5"/>
        <w:ind w:left="2042" w:hanging="851"/>
        <w:rPr>
          <w:szCs w:val="32"/>
        </w:rPr>
      </w:pPr>
      <w:r w:rsidRPr="00766374">
        <w:rPr>
          <w:rFonts w:hAnsi="標楷體" w:cs="新細明體" w:hint="eastAsia"/>
          <w:bCs w:val="0"/>
          <w:kern w:val="0"/>
          <w:szCs w:val="32"/>
        </w:rPr>
        <w:t>「判決誤載或誤算</w:t>
      </w:r>
      <w:r w:rsidRPr="00766374">
        <w:rPr>
          <w:rFonts w:hint="eastAsia"/>
          <w:szCs w:val="32"/>
        </w:rPr>
        <w:t>者」</w:t>
      </w:r>
      <w:r w:rsidR="002234DF" w:rsidRPr="00766374">
        <w:rPr>
          <w:rFonts w:hint="eastAsia"/>
          <w:szCs w:val="32"/>
        </w:rPr>
        <w:t>本院前調查</w:t>
      </w:r>
      <w:r w:rsidRPr="00766374">
        <w:rPr>
          <w:rFonts w:hAnsi="標楷體" w:hint="eastAsia"/>
          <w:szCs w:val="32"/>
        </w:rPr>
        <w:t>臺灣高雄地方法院（下稱高雄地院）106年度訴字第362號被告運輸第四級毒品案判決，法官誤認毒品重量782公斤為419公克因而輕判2毒犯</w:t>
      </w:r>
      <w:r w:rsidR="002234DF" w:rsidRPr="00766374">
        <w:rPr>
          <w:rFonts w:hAnsi="標楷體" w:hint="eastAsia"/>
          <w:szCs w:val="32"/>
        </w:rPr>
        <w:t>案，</w:t>
      </w:r>
      <w:r w:rsidR="002234DF" w:rsidRPr="00766374">
        <w:rPr>
          <w:rFonts w:hAnsi="標楷體" w:cs="新細明體" w:hint="eastAsia"/>
          <w:kern w:val="0"/>
          <w:szCs w:val="32"/>
        </w:rPr>
        <w:t>據本院詢問司法院之書面答復稱，</w:t>
      </w:r>
      <w:r w:rsidR="002234DF" w:rsidRPr="00766374">
        <w:rPr>
          <w:rFonts w:hAnsi="標楷體" w:hint="eastAsia"/>
          <w:szCs w:val="32"/>
        </w:rPr>
        <w:t>高雄地院於108年2月27日就本案召開法官自律委員會討論，</w:t>
      </w:r>
      <w:r w:rsidR="002234DF" w:rsidRPr="00766374">
        <w:rPr>
          <w:rFonts w:hAnsi="標楷體" w:hint="eastAsia"/>
          <w:szCs w:val="32"/>
        </w:rPr>
        <w:lastRenderedPageBreak/>
        <w:t>作成決議：審判長林青怡、受命法官李貞瑩、陪席法官王聖源已從「判決內文」、「移審羈押及歷次延押裁定」、「審理狀況」等方面，說明合議庭並未誤認查獲毒品之數量；就量刑部分，亦無顯然之失當或違誤</w:t>
      </w:r>
      <w:r w:rsidR="005910E1" w:rsidRPr="00766374">
        <w:rPr>
          <w:rFonts w:hAnsi="標楷體" w:hint="eastAsia"/>
          <w:szCs w:val="32"/>
        </w:rPr>
        <w:t>，</w:t>
      </w:r>
      <w:r w:rsidR="002234DF" w:rsidRPr="00766374">
        <w:rPr>
          <w:rFonts w:hAnsi="標楷體" w:hint="eastAsia"/>
          <w:szCs w:val="32"/>
        </w:rPr>
        <w:t>並非無據，堪認為本案僅係誤載並非誤認，且此部分係屬審判核心事項，應予尊重，不能認係違反職務上義務、怠於執行職務，或嚴重違反辦案程序規定或職務規定，尚無自律之必要。本案不符</w:t>
      </w:r>
      <w:r w:rsidR="002234DF" w:rsidRPr="00766374">
        <w:rPr>
          <w:rFonts w:hAnsi="標楷體" w:hint="eastAsia"/>
          <w:kern w:val="0"/>
          <w:szCs w:val="32"/>
        </w:rPr>
        <w:t>自律辦法</w:t>
      </w:r>
      <w:r w:rsidR="002234DF" w:rsidRPr="00766374">
        <w:rPr>
          <w:rFonts w:hAnsi="標楷體" w:hint="eastAsia"/>
          <w:szCs w:val="32"/>
        </w:rPr>
        <w:t>第6條第1項各款之情形，應依該辦法第13條第1項規定不付處置。附帶決議：建請院長利用機會提醒本案受命法官李貞瑩、審判長林青怡爾後製作裁判書時應更加詳細校對、嚴謹審判；並請院長利用機會促請庭長、法官，於製作刑事判決書時詳加校對，以避免錯誤或疏漏之情形發生。上開會議紀錄經司法院於108年4月3日同意備查。</w:t>
      </w:r>
      <w:r w:rsidRPr="00766374">
        <w:rPr>
          <w:rFonts w:hint="eastAsia"/>
          <w:szCs w:val="32"/>
        </w:rPr>
        <w:t xml:space="preserve"> </w:t>
      </w:r>
    </w:p>
    <w:p w:rsidR="00A474E7" w:rsidRPr="00766374" w:rsidRDefault="00AB0599" w:rsidP="00E71B01">
      <w:pPr>
        <w:pStyle w:val="5"/>
        <w:ind w:left="2042" w:hanging="851"/>
      </w:pPr>
      <w:r w:rsidRPr="00766374">
        <w:rPr>
          <w:rFonts w:hAnsi="標楷體" w:hint="eastAsia"/>
          <w:kern w:val="0"/>
          <w:szCs w:val="32"/>
        </w:rPr>
        <w:t>「</w:t>
      </w:r>
      <w:r w:rsidR="00A474E7" w:rsidRPr="00766374">
        <w:rPr>
          <w:rFonts w:hAnsi="標楷體" w:hint="eastAsia"/>
          <w:kern w:val="0"/>
          <w:szCs w:val="32"/>
        </w:rPr>
        <w:t>訴訟指揮違反法定程序者</w:t>
      </w:r>
      <w:r w:rsidR="006D60F9" w:rsidRPr="00766374">
        <w:rPr>
          <w:rFonts w:hAnsi="標楷體" w:hint="eastAsia"/>
          <w:kern w:val="0"/>
          <w:szCs w:val="32"/>
        </w:rPr>
        <w:t>」據報載</w:t>
      </w:r>
      <w:r w:rsidR="006D60F9" w:rsidRPr="00766374">
        <w:rPr>
          <w:rStyle w:val="aff3"/>
          <w:rFonts w:hAnsi="標楷體"/>
          <w:kern w:val="0"/>
          <w:szCs w:val="32"/>
        </w:rPr>
        <w:footnoteReference w:id="3"/>
      </w:r>
      <w:r w:rsidR="006D60F9" w:rsidRPr="00766374">
        <w:rPr>
          <w:rFonts w:hAnsi="標楷體" w:hint="eastAsia"/>
          <w:kern w:val="0"/>
          <w:szCs w:val="32"/>
        </w:rPr>
        <w:t>，</w:t>
      </w:r>
      <w:r w:rsidR="00F4615D">
        <w:t>許</w:t>
      </w:r>
      <w:r w:rsidR="00F4615D">
        <w:rPr>
          <w:rFonts w:hAnsi="標楷體" w:hint="eastAsia"/>
        </w:rPr>
        <w:t>○</w:t>
      </w:r>
      <w:r w:rsidR="00F4615D">
        <w:t>治</w:t>
      </w:r>
      <w:r w:rsidR="006D60F9" w:rsidRPr="00766374">
        <w:t>等被告指控</w:t>
      </w:r>
      <w:r w:rsidR="006D60F9" w:rsidRPr="00766374">
        <w:rPr>
          <w:rFonts w:hint="eastAsia"/>
        </w:rPr>
        <w:t>法官</w:t>
      </w:r>
      <w:r w:rsidR="006D60F9" w:rsidRPr="00766374">
        <w:t>陳筱珮的訴訟指揮違法濫權，最明顯的違法事由是：</w:t>
      </w:r>
      <w:r w:rsidR="006D60F9" w:rsidRPr="00766374">
        <w:rPr>
          <w:rFonts w:hint="eastAsia"/>
        </w:rPr>
        <w:t>法官</w:t>
      </w:r>
      <w:r w:rsidR="006D60F9" w:rsidRPr="00766374">
        <w:t>陳筱珮於第</w:t>
      </w:r>
      <w:r w:rsidR="006D60F9" w:rsidRPr="00766374">
        <w:rPr>
          <w:rFonts w:hint="eastAsia"/>
        </w:rPr>
        <w:t>1</w:t>
      </w:r>
      <w:r w:rsidR="006D60F9" w:rsidRPr="00766374">
        <w:t>次審判期日</w:t>
      </w:r>
      <w:r w:rsidR="005910E1" w:rsidRPr="00766374">
        <w:rPr>
          <w:rFonts w:hint="eastAsia"/>
        </w:rPr>
        <w:t>，</w:t>
      </w:r>
      <w:r w:rsidR="006D60F9" w:rsidRPr="00766374">
        <w:t>未經任何當事人聲請，未給予當事人、辯護人表示意見，未經特定待證事實，未經指明特定被告，就一審已詰問證人，逕依職權重複傳訊證人到庭作證，違反刑事訢訟法第</w:t>
      </w:r>
      <w:r w:rsidR="006D60F9" w:rsidRPr="00766374">
        <w:rPr>
          <w:rStyle w:val="ArialUnicodeMS"/>
          <w:rFonts w:ascii="標楷體" w:eastAsia="標楷體" w:hAnsi="標楷體"/>
          <w:color w:val="auto"/>
          <w:sz w:val="32"/>
          <w:szCs w:val="32"/>
        </w:rPr>
        <w:t>163</w:t>
      </w:r>
      <w:r w:rsidR="006D60F9" w:rsidRPr="00766374">
        <w:rPr>
          <w:rFonts w:hAnsi="標楷體"/>
          <w:szCs w:val="32"/>
        </w:rPr>
        <w:t>條第</w:t>
      </w:r>
      <w:r w:rsidR="006D60F9" w:rsidRPr="00766374">
        <w:rPr>
          <w:rStyle w:val="ArialUnicodeMS"/>
          <w:rFonts w:ascii="標楷體" w:eastAsia="標楷體" w:hAnsi="標楷體"/>
          <w:color w:val="auto"/>
          <w:sz w:val="32"/>
          <w:szCs w:val="32"/>
        </w:rPr>
        <w:t>2</w:t>
      </w:r>
      <w:r w:rsidR="006D60F9" w:rsidRPr="00766374">
        <w:rPr>
          <w:rFonts w:hAnsi="標楷體"/>
          <w:szCs w:val="32"/>
        </w:rPr>
        <w:t>項及第</w:t>
      </w:r>
      <w:r w:rsidR="006D60F9" w:rsidRPr="00766374">
        <w:rPr>
          <w:rStyle w:val="ArialUnicodeMS"/>
          <w:rFonts w:ascii="標楷體" w:eastAsia="標楷體" w:hAnsi="標楷體"/>
          <w:color w:val="auto"/>
          <w:sz w:val="32"/>
          <w:szCs w:val="32"/>
        </w:rPr>
        <w:t>3</w:t>
      </w:r>
      <w:r w:rsidR="006D60F9" w:rsidRPr="00766374">
        <w:rPr>
          <w:rFonts w:hAnsi="標楷體"/>
          <w:szCs w:val="32"/>
        </w:rPr>
        <w:t>項、第</w:t>
      </w:r>
      <w:r w:rsidR="006D60F9" w:rsidRPr="00766374">
        <w:rPr>
          <w:rStyle w:val="ArialUnicodeMS"/>
          <w:rFonts w:ascii="標楷體" w:eastAsia="標楷體" w:hAnsi="標楷體"/>
          <w:color w:val="auto"/>
          <w:sz w:val="32"/>
          <w:szCs w:val="32"/>
        </w:rPr>
        <w:t>288</w:t>
      </w:r>
      <w:r w:rsidR="006D60F9" w:rsidRPr="00766374">
        <w:rPr>
          <w:rFonts w:hAnsi="標楷體"/>
          <w:szCs w:val="32"/>
        </w:rPr>
        <w:t>條第</w:t>
      </w:r>
      <w:r w:rsidR="006D60F9" w:rsidRPr="00766374">
        <w:rPr>
          <w:rStyle w:val="ArialUnicodeMS"/>
          <w:rFonts w:ascii="標楷體" w:eastAsia="標楷體" w:hAnsi="標楷體"/>
          <w:color w:val="auto"/>
          <w:sz w:val="32"/>
          <w:szCs w:val="32"/>
        </w:rPr>
        <w:t>3</w:t>
      </w:r>
      <w:r w:rsidR="006D60F9" w:rsidRPr="00766374">
        <w:rPr>
          <w:rFonts w:hAnsi="標楷體"/>
          <w:szCs w:val="32"/>
        </w:rPr>
        <w:t>項規定</w:t>
      </w:r>
      <w:r w:rsidR="006D60F9" w:rsidRPr="00766374">
        <w:t>。</w:t>
      </w:r>
      <w:r w:rsidR="006D60F9" w:rsidRPr="00766374">
        <w:rPr>
          <w:rFonts w:hint="eastAsia"/>
        </w:rPr>
        <w:t>臺灣</w:t>
      </w:r>
      <w:r w:rsidR="006D60F9" w:rsidRPr="00766374">
        <w:t>高院裁定與最高法院抗告裁定，確認</w:t>
      </w:r>
      <w:r w:rsidR="006D60F9" w:rsidRPr="00766374">
        <w:rPr>
          <w:rFonts w:hint="eastAsia"/>
        </w:rPr>
        <w:t>法官</w:t>
      </w:r>
      <w:r w:rsidR="006D60F9" w:rsidRPr="00766374">
        <w:t>陳筱珮的訴訟指揮有瑕疵，但認為「縱其訴訟指揮存有瑕疵，亦屬依法聲請異議或其他救濟途徑之</w:t>
      </w:r>
      <w:r w:rsidR="006D60F9" w:rsidRPr="00766374">
        <w:lastRenderedPageBreak/>
        <w:t>範疇，無從以此憑為聲請法官迴避之依據。</w:t>
      </w:r>
    </w:p>
    <w:p w:rsidR="006D60F9" w:rsidRPr="00766374" w:rsidRDefault="001C3454" w:rsidP="00E71B01">
      <w:pPr>
        <w:pStyle w:val="5"/>
        <w:ind w:left="2042" w:hanging="851"/>
        <w:rPr>
          <w:rFonts w:hAnsi="標楷體"/>
          <w:szCs w:val="32"/>
        </w:rPr>
      </w:pPr>
      <w:r w:rsidRPr="00766374">
        <w:rPr>
          <w:rFonts w:hAnsi="標楷體" w:hint="eastAsia"/>
          <w:kern w:val="0"/>
          <w:szCs w:val="32"/>
        </w:rPr>
        <w:t>「</w:t>
      </w:r>
      <w:r w:rsidR="00B27714" w:rsidRPr="00766374">
        <w:rPr>
          <w:rFonts w:hAnsi="標楷體" w:hint="eastAsia"/>
          <w:kern w:val="0"/>
          <w:szCs w:val="32"/>
        </w:rPr>
        <w:t>訴外裁判</w:t>
      </w:r>
      <w:r w:rsidRPr="00766374">
        <w:rPr>
          <w:rFonts w:hAnsi="標楷體" w:hint="eastAsia"/>
          <w:kern w:val="0"/>
          <w:szCs w:val="32"/>
        </w:rPr>
        <w:t>……</w:t>
      </w:r>
      <w:r w:rsidR="00B27714" w:rsidRPr="00766374">
        <w:rPr>
          <w:rFonts w:hAnsi="標楷體" w:hint="eastAsia"/>
          <w:kern w:val="0"/>
          <w:szCs w:val="32"/>
        </w:rPr>
        <w:t>者</w:t>
      </w:r>
      <w:r w:rsidRPr="00766374">
        <w:rPr>
          <w:rFonts w:hAnsi="標楷體" w:hint="eastAsia"/>
          <w:kern w:val="0"/>
          <w:szCs w:val="32"/>
        </w:rPr>
        <w:t>」</w:t>
      </w:r>
      <w:r w:rsidR="00B27714" w:rsidRPr="00766374">
        <w:rPr>
          <w:rFonts w:hAnsi="標楷體" w:hint="eastAsia"/>
          <w:kern w:val="0"/>
          <w:szCs w:val="32"/>
        </w:rPr>
        <w:t>據報載</w:t>
      </w:r>
      <w:r w:rsidR="00B27714" w:rsidRPr="00766374">
        <w:rPr>
          <w:rStyle w:val="aff3"/>
          <w:rFonts w:hAnsi="標楷體"/>
          <w:kern w:val="0"/>
          <w:szCs w:val="32"/>
        </w:rPr>
        <w:footnoteReference w:id="4"/>
      </w:r>
      <w:r w:rsidR="00B27714" w:rsidRPr="00766374">
        <w:rPr>
          <w:rFonts w:hAnsi="標楷體" w:hint="eastAsia"/>
          <w:kern w:val="0"/>
          <w:szCs w:val="32"/>
        </w:rPr>
        <w:t>，</w:t>
      </w:r>
      <w:r w:rsidR="00B27714" w:rsidRPr="00766374">
        <w:rPr>
          <w:rFonts w:hAnsi="標楷體" w:hint="eastAsia"/>
          <w:szCs w:val="32"/>
        </w:rPr>
        <w:t>臺灣</w:t>
      </w:r>
      <w:r w:rsidR="00B27714" w:rsidRPr="00766374">
        <w:rPr>
          <w:rFonts w:hAnsi="標楷體"/>
          <w:szCs w:val="32"/>
        </w:rPr>
        <w:t>高院審判長郭玫利</w:t>
      </w:r>
      <w:r w:rsidR="00B27714" w:rsidRPr="00766374">
        <w:rPr>
          <w:rFonts w:hAnsi="標楷體" w:hint="eastAsia"/>
          <w:szCs w:val="32"/>
        </w:rPr>
        <w:t>、</w:t>
      </w:r>
      <w:r w:rsidR="00B27714" w:rsidRPr="00766374">
        <w:rPr>
          <w:rFonts w:hAnsi="標楷體"/>
          <w:szCs w:val="32"/>
        </w:rPr>
        <w:t>受命法官黃翰義</w:t>
      </w:r>
      <w:r w:rsidR="00B27714" w:rsidRPr="00766374">
        <w:rPr>
          <w:rFonts w:hAnsi="標楷體" w:hint="eastAsia"/>
          <w:szCs w:val="32"/>
        </w:rPr>
        <w:t>審理</w:t>
      </w:r>
      <w:r w:rsidR="00B27714" w:rsidRPr="00766374">
        <w:rPr>
          <w:rStyle w:val="ArialUnicodeMS"/>
          <w:rFonts w:ascii="標楷體" w:eastAsia="標楷體" w:hAnsi="標楷體"/>
          <w:color w:val="auto"/>
          <w:sz w:val="32"/>
          <w:szCs w:val="32"/>
        </w:rPr>
        <w:t>107</w:t>
      </w:r>
      <w:r w:rsidR="00B27714" w:rsidRPr="00766374">
        <w:rPr>
          <w:rFonts w:hAnsi="標楷體"/>
          <w:szCs w:val="32"/>
        </w:rPr>
        <w:t>年金上更一字第</w:t>
      </w:r>
      <w:r w:rsidR="00B27714" w:rsidRPr="00766374">
        <w:rPr>
          <w:rStyle w:val="ArialUnicodeMS"/>
          <w:rFonts w:ascii="標楷體" w:eastAsia="標楷體" w:hAnsi="標楷體"/>
          <w:color w:val="auto"/>
          <w:sz w:val="32"/>
          <w:szCs w:val="32"/>
        </w:rPr>
        <w:t>1</w:t>
      </w:r>
      <w:r w:rsidR="00B27714" w:rsidRPr="00766374">
        <w:rPr>
          <w:rFonts w:hAnsi="標楷體"/>
          <w:szCs w:val="32"/>
        </w:rPr>
        <w:t>號</w:t>
      </w:r>
      <w:r w:rsidR="00F4615D">
        <w:rPr>
          <w:rFonts w:hAnsi="標楷體"/>
          <w:szCs w:val="32"/>
        </w:rPr>
        <w:t>江○婕</w:t>
      </w:r>
      <w:r w:rsidR="00B27714" w:rsidRPr="00766374">
        <w:rPr>
          <w:rFonts w:hAnsi="標楷體"/>
          <w:szCs w:val="32"/>
        </w:rPr>
        <w:t>違反銀行法案</w:t>
      </w:r>
      <w:r w:rsidR="00B27714" w:rsidRPr="00766374">
        <w:rPr>
          <w:rFonts w:hAnsi="標楷體" w:hint="eastAsia"/>
          <w:szCs w:val="32"/>
        </w:rPr>
        <w:t>，</w:t>
      </w:r>
      <w:r w:rsidR="00B27714" w:rsidRPr="00766374">
        <w:rPr>
          <w:rFonts w:hAnsi="標楷體"/>
          <w:szCs w:val="32"/>
        </w:rPr>
        <w:t>最高法院</w:t>
      </w:r>
      <w:r w:rsidR="00B27714" w:rsidRPr="00766374">
        <w:rPr>
          <w:rStyle w:val="ArialUnicodeMS"/>
          <w:rFonts w:ascii="標楷體" w:eastAsia="標楷體" w:hAnsi="標楷體"/>
          <w:color w:val="auto"/>
          <w:sz w:val="32"/>
          <w:szCs w:val="32"/>
        </w:rPr>
        <w:t>108</w:t>
      </w:r>
      <w:r w:rsidR="00B27714" w:rsidRPr="00766374">
        <w:rPr>
          <w:rFonts w:hAnsi="標楷體"/>
          <w:szCs w:val="32"/>
        </w:rPr>
        <w:t>年度台上字第</w:t>
      </w:r>
      <w:r w:rsidR="00B27714" w:rsidRPr="00766374">
        <w:rPr>
          <w:rStyle w:val="ArialUnicodeMS"/>
          <w:rFonts w:ascii="標楷體" w:eastAsia="標楷體" w:hAnsi="標楷體"/>
          <w:color w:val="auto"/>
          <w:sz w:val="32"/>
          <w:szCs w:val="32"/>
        </w:rPr>
        <w:t>1249</w:t>
      </w:r>
      <w:r w:rsidR="00B27714" w:rsidRPr="00766374">
        <w:rPr>
          <w:rFonts w:hAnsi="標楷體"/>
          <w:szCs w:val="32"/>
        </w:rPr>
        <w:t>號</w:t>
      </w:r>
      <w:r w:rsidR="00B27714" w:rsidRPr="00766374">
        <w:rPr>
          <w:rFonts w:hAnsi="標楷體" w:hint="eastAsia"/>
          <w:szCs w:val="32"/>
        </w:rPr>
        <w:t>判決</w:t>
      </w:r>
      <w:r w:rsidR="00B27714" w:rsidRPr="00766374">
        <w:rPr>
          <w:rFonts w:hAnsi="標楷體"/>
          <w:szCs w:val="32"/>
        </w:rPr>
        <w:t>指摘意旨</w:t>
      </w:r>
      <w:r w:rsidR="00B27714" w:rsidRPr="00766374">
        <w:rPr>
          <w:rFonts w:hAnsi="標楷體" w:hint="eastAsia"/>
          <w:szCs w:val="32"/>
        </w:rPr>
        <w:t>：</w:t>
      </w:r>
    </w:p>
    <w:p w:rsidR="00B27714" w:rsidRPr="00766374" w:rsidRDefault="00B27714" w:rsidP="00A0158A">
      <w:pPr>
        <w:pStyle w:val="6"/>
        <w:ind w:left="2382" w:hanging="851"/>
        <w:rPr>
          <w:rFonts w:hAnsi="標楷體"/>
          <w:szCs w:val="32"/>
        </w:rPr>
      </w:pPr>
      <w:r w:rsidRPr="00766374">
        <w:rPr>
          <w:rFonts w:hAnsi="標楷體"/>
          <w:szCs w:val="32"/>
        </w:rPr>
        <w:t>訴外裁判：針對被告</w:t>
      </w:r>
      <w:r w:rsidR="00F4615D">
        <w:rPr>
          <w:rFonts w:hAnsi="標楷體"/>
          <w:szCs w:val="32"/>
        </w:rPr>
        <w:t>江○婕</w:t>
      </w:r>
      <w:r w:rsidRPr="00766374">
        <w:rPr>
          <w:rFonts w:hAnsi="標楷體"/>
          <w:szCs w:val="32"/>
        </w:rPr>
        <w:t>與另ー被告</w:t>
      </w:r>
      <w:r w:rsidR="00F4615D">
        <w:rPr>
          <w:rFonts w:hAnsi="標楷體"/>
          <w:szCs w:val="32"/>
        </w:rPr>
        <w:t>陳○江</w:t>
      </w:r>
      <w:r w:rsidRPr="00766374">
        <w:rPr>
          <w:rFonts w:hAnsi="標楷體"/>
          <w:szCs w:val="32"/>
        </w:rPr>
        <w:t>共同向</w:t>
      </w:r>
      <w:r w:rsidR="00F4615D">
        <w:rPr>
          <w:rFonts w:hAnsi="標楷體"/>
          <w:szCs w:val="32"/>
        </w:rPr>
        <w:t>林○義</w:t>
      </w:r>
      <w:r w:rsidRPr="00766374">
        <w:rPr>
          <w:rFonts w:hAnsi="標楷體"/>
          <w:szCs w:val="32"/>
        </w:rPr>
        <w:t>吸收資金</w:t>
      </w:r>
      <w:r w:rsidRPr="00766374">
        <w:t>300</w:t>
      </w:r>
      <w:r w:rsidRPr="00766374">
        <w:rPr>
          <w:rFonts w:hAnsi="標楷體"/>
          <w:szCs w:val="32"/>
        </w:rPr>
        <w:t>萬元之犯罪事實部分，檢察官並未起訴，竟未敘明理由即ー併審判。</w:t>
      </w:r>
    </w:p>
    <w:p w:rsidR="00B27714" w:rsidRPr="00766374" w:rsidRDefault="00B27714" w:rsidP="00A0158A">
      <w:pPr>
        <w:pStyle w:val="6"/>
        <w:ind w:left="2382" w:hanging="851"/>
        <w:rPr>
          <w:rFonts w:hAnsi="標楷體"/>
          <w:szCs w:val="32"/>
        </w:rPr>
      </w:pPr>
      <w:r w:rsidRPr="00766374">
        <w:rPr>
          <w:rFonts w:hAnsi="標楷體"/>
          <w:szCs w:val="32"/>
        </w:rPr>
        <w:t>突襲裁判：針對被告</w:t>
      </w:r>
      <w:r w:rsidR="00F4615D">
        <w:rPr>
          <w:rFonts w:hAnsi="標楷體"/>
          <w:szCs w:val="32"/>
        </w:rPr>
        <w:t>江○婕</w:t>
      </w:r>
      <w:r w:rsidRPr="00766374">
        <w:rPr>
          <w:rFonts w:hAnsi="標楷體"/>
          <w:szCs w:val="32"/>
        </w:rPr>
        <w:t>與另ー被告</w:t>
      </w:r>
      <w:r w:rsidR="00F4615D">
        <w:rPr>
          <w:rFonts w:hAnsi="標楷體"/>
          <w:szCs w:val="32"/>
        </w:rPr>
        <w:t>陳○江</w:t>
      </w:r>
      <w:r w:rsidRPr="00766374">
        <w:rPr>
          <w:rFonts w:hAnsi="標楷體"/>
          <w:szCs w:val="32"/>
        </w:rPr>
        <w:t>共同向</w:t>
      </w:r>
      <w:r w:rsidR="00F4615D">
        <w:rPr>
          <w:rFonts w:hAnsi="標楷體"/>
          <w:szCs w:val="32"/>
        </w:rPr>
        <w:t>林○義</w:t>
      </w:r>
      <w:r w:rsidRPr="00766374">
        <w:rPr>
          <w:rFonts w:hAnsi="標楷體"/>
          <w:szCs w:val="32"/>
        </w:rPr>
        <w:t>吸收資金</w:t>
      </w:r>
      <w:r w:rsidRPr="00766374">
        <w:t>300</w:t>
      </w:r>
      <w:r w:rsidRPr="00766374">
        <w:rPr>
          <w:rFonts w:hAnsi="標楷體"/>
          <w:szCs w:val="32"/>
        </w:rPr>
        <w:t>萬元部分，以及共同向</w:t>
      </w:r>
      <w:r w:rsidR="00F4615D">
        <w:rPr>
          <w:rFonts w:hAnsi="標楷體"/>
          <w:szCs w:val="32"/>
        </w:rPr>
        <w:t>卞○嬋</w:t>
      </w:r>
      <w:r w:rsidRPr="00766374">
        <w:rPr>
          <w:rFonts w:hAnsi="標楷體"/>
          <w:szCs w:val="32"/>
        </w:rPr>
        <w:t>、楊</w:t>
      </w:r>
      <w:r w:rsidR="00F7033D">
        <w:rPr>
          <w:rFonts w:hAnsi="標楷體" w:hint="eastAsia"/>
          <w:szCs w:val="32"/>
        </w:rPr>
        <w:t>○</w:t>
      </w:r>
      <w:r w:rsidRPr="00766374">
        <w:rPr>
          <w:rFonts w:hAnsi="標楷體"/>
          <w:szCs w:val="32"/>
        </w:rPr>
        <w:t>堅、林</w:t>
      </w:r>
      <w:r w:rsidR="00F7033D">
        <w:rPr>
          <w:rFonts w:hAnsi="標楷體" w:hint="eastAsia"/>
          <w:szCs w:val="32"/>
        </w:rPr>
        <w:t>○○</w:t>
      </w:r>
      <w:r w:rsidRPr="00766374">
        <w:rPr>
          <w:rFonts w:hAnsi="標楷體"/>
          <w:szCs w:val="32"/>
        </w:rPr>
        <w:t>秋及蔡</w:t>
      </w:r>
      <w:r w:rsidR="00F7033D">
        <w:rPr>
          <w:rFonts w:hAnsi="標楷體" w:hint="eastAsia"/>
          <w:szCs w:val="32"/>
        </w:rPr>
        <w:t>○</w:t>
      </w:r>
      <w:r w:rsidRPr="00766374">
        <w:rPr>
          <w:rFonts w:hAnsi="標楷體"/>
          <w:szCs w:val="32"/>
        </w:rPr>
        <w:t>源吸收資金部分，均未依刑事訴訟法第</w:t>
      </w:r>
      <w:r w:rsidRPr="00766374">
        <w:t>95</w:t>
      </w:r>
      <w:r w:rsidRPr="00766374">
        <w:rPr>
          <w:rFonts w:hAnsi="標楷體"/>
          <w:szCs w:val="32"/>
        </w:rPr>
        <w:t>條之規定踐行犯罪嫌疑及所犯所有罪名之告知義務，致使被告及其辯護人無法適時知悉而充分行使其防禦及辯護權。</w:t>
      </w:r>
    </w:p>
    <w:p w:rsidR="00B27714" w:rsidRPr="00766374" w:rsidRDefault="00B27714" w:rsidP="00AD65E1">
      <w:pPr>
        <w:pStyle w:val="6"/>
        <w:ind w:left="2382" w:hanging="851"/>
        <w:rPr>
          <w:rFonts w:hAnsi="標楷體"/>
          <w:szCs w:val="32"/>
        </w:rPr>
      </w:pPr>
      <w:r w:rsidRPr="00766374">
        <w:rPr>
          <w:rFonts w:hAnsi="標楷體"/>
          <w:szCs w:val="32"/>
        </w:rPr>
        <w:t>判決無罪不敘明理由：針對被告</w:t>
      </w:r>
      <w:r w:rsidR="00F4615D">
        <w:rPr>
          <w:rFonts w:hAnsi="標楷體"/>
          <w:szCs w:val="32"/>
        </w:rPr>
        <w:t>江○婕</w:t>
      </w:r>
      <w:r w:rsidRPr="00766374">
        <w:rPr>
          <w:rFonts w:hAnsi="標楷體"/>
          <w:szCs w:val="32"/>
        </w:rPr>
        <w:t>與另 一被告</w:t>
      </w:r>
      <w:r w:rsidR="00F4615D">
        <w:rPr>
          <w:rFonts w:hAnsi="標楷體"/>
          <w:szCs w:val="32"/>
        </w:rPr>
        <w:t>陳○江</w:t>
      </w:r>
      <w:r w:rsidRPr="00766374">
        <w:rPr>
          <w:rFonts w:hAnsi="標楷體"/>
          <w:szCs w:val="32"/>
        </w:rPr>
        <w:t>共同向蔡</w:t>
      </w:r>
      <w:r w:rsidR="00F7033D">
        <w:rPr>
          <w:rFonts w:hAnsi="標楷體" w:hint="eastAsia"/>
          <w:szCs w:val="32"/>
        </w:rPr>
        <w:t>○</w:t>
      </w:r>
      <w:r w:rsidRPr="00766374">
        <w:rPr>
          <w:rFonts w:hAnsi="標楷體"/>
          <w:szCs w:val="32"/>
        </w:rPr>
        <w:t>源吸收資金300萬元部分，逕行不另為無罪之諭知。</w:t>
      </w:r>
    </w:p>
    <w:p w:rsidR="001C3454" w:rsidRPr="00766374" w:rsidRDefault="001C3454" w:rsidP="00A0158A">
      <w:pPr>
        <w:pStyle w:val="6"/>
        <w:ind w:left="2382" w:hanging="851"/>
        <w:rPr>
          <w:rFonts w:hAnsi="標楷體"/>
          <w:szCs w:val="32"/>
        </w:rPr>
      </w:pPr>
      <w:r w:rsidRPr="00766374">
        <w:rPr>
          <w:rFonts w:hAnsi="標楷體"/>
          <w:szCs w:val="32"/>
        </w:rPr>
        <w:t>對同一事實，同時做有罪及無罪之評價：針對被告</w:t>
      </w:r>
      <w:r w:rsidR="00F4615D">
        <w:rPr>
          <w:rFonts w:hAnsi="標楷體"/>
          <w:szCs w:val="32"/>
        </w:rPr>
        <w:t>江○婕</w:t>
      </w:r>
      <w:r w:rsidRPr="00766374">
        <w:rPr>
          <w:rFonts w:hAnsi="標楷體"/>
          <w:szCs w:val="32"/>
        </w:rPr>
        <w:t>與另一被告</w:t>
      </w:r>
      <w:r w:rsidR="00F4615D">
        <w:rPr>
          <w:rFonts w:hAnsi="標楷體"/>
          <w:szCs w:val="32"/>
        </w:rPr>
        <w:t>陳○江</w:t>
      </w:r>
      <w:r w:rsidRPr="00766374">
        <w:rPr>
          <w:rFonts w:hAnsi="標楷體"/>
          <w:szCs w:val="32"/>
        </w:rPr>
        <w:t>共同向蔡</w:t>
      </w:r>
      <w:r w:rsidR="00F7033D">
        <w:rPr>
          <w:rFonts w:hAnsi="標楷體" w:hint="eastAsia"/>
          <w:szCs w:val="32"/>
        </w:rPr>
        <w:t>○</w:t>
      </w:r>
      <w:r w:rsidRPr="00766374">
        <w:rPr>
          <w:rFonts w:hAnsi="標楷體"/>
          <w:szCs w:val="32"/>
        </w:rPr>
        <w:t>源吸收資金300萬元部分，一方面不另為無罪之諭知，另方面卻又依集合犯關</w:t>
      </w:r>
      <w:r w:rsidR="00DF331C" w:rsidRPr="00766374">
        <w:rPr>
          <w:rFonts w:hAnsi="標楷體" w:hint="eastAsia"/>
          <w:szCs w:val="32"/>
        </w:rPr>
        <w:t>係，</w:t>
      </w:r>
      <w:r w:rsidRPr="00766374">
        <w:rPr>
          <w:rFonts w:hAnsi="標楷體"/>
          <w:szCs w:val="32"/>
        </w:rPr>
        <w:t>論以非法經營銀行收受存款業務罪。</w:t>
      </w:r>
    </w:p>
    <w:p w:rsidR="001C3454" w:rsidRPr="00766374" w:rsidRDefault="001C3454" w:rsidP="00A0158A">
      <w:pPr>
        <w:pStyle w:val="6"/>
        <w:ind w:left="2382" w:hanging="851"/>
      </w:pPr>
      <w:r w:rsidRPr="00766374">
        <w:rPr>
          <w:rFonts w:hAnsi="標楷體"/>
          <w:szCs w:val="32"/>
        </w:rPr>
        <w:t>犯罪事實欄記載與附表不符：關於被告</w:t>
      </w:r>
      <w:r w:rsidR="00F4615D">
        <w:rPr>
          <w:rFonts w:hAnsi="標楷體"/>
          <w:szCs w:val="32"/>
        </w:rPr>
        <w:t>江○婕</w:t>
      </w:r>
      <w:r w:rsidRPr="00766374">
        <w:rPr>
          <w:rFonts w:hAnsi="標楷體"/>
          <w:szCs w:val="32"/>
        </w:rPr>
        <w:t>與</w:t>
      </w:r>
      <w:r w:rsidR="00F4615D">
        <w:rPr>
          <w:rFonts w:hAnsi="標楷體"/>
          <w:szCs w:val="32"/>
        </w:rPr>
        <w:t>陳○江</w:t>
      </w:r>
      <w:r w:rsidRPr="00766374">
        <w:rPr>
          <w:rFonts w:hAnsi="標楷體"/>
          <w:szCs w:val="32"/>
        </w:rPr>
        <w:t>共同非法經營銀行收受存款業務犯行的犯罪時間，事實欄記載是「自</w:t>
      </w:r>
      <w:r w:rsidRPr="00766374">
        <w:t>101</w:t>
      </w:r>
      <w:r w:rsidRPr="00766374">
        <w:rPr>
          <w:rFonts w:hAnsi="標楷體"/>
          <w:szCs w:val="32"/>
        </w:rPr>
        <w:t>年</w:t>
      </w:r>
      <w:r w:rsidRPr="00766374">
        <w:rPr>
          <w:rFonts w:hAnsi="標楷體"/>
          <w:szCs w:val="32"/>
        </w:rPr>
        <w:lastRenderedPageBreak/>
        <w:t>間起至</w:t>
      </w:r>
      <w:r w:rsidRPr="00766374">
        <w:t>103</w:t>
      </w:r>
      <w:r w:rsidRPr="00766374">
        <w:rPr>
          <w:rFonts w:hAnsi="標楷體"/>
          <w:szCs w:val="32"/>
        </w:rPr>
        <w:t>年間止」，</w:t>
      </w:r>
      <w:r w:rsidR="00AD5641" w:rsidRPr="00766374">
        <w:rPr>
          <w:rFonts w:hAnsi="標楷體" w:hint="eastAsia"/>
          <w:szCs w:val="32"/>
        </w:rPr>
        <w:t>惟</w:t>
      </w:r>
      <w:r w:rsidRPr="00766374">
        <w:rPr>
          <w:rFonts w:hAnsi="標楷體"/>
          <w:szCs w:val="32"/>
        </w:rPr>
        <w:t>附表記載張</w:t>
      </w:r>
      <w:r w:rsidR="00F7033D">
        <w:rPr>
          <w:rFonts w:hAnsi="標楷體" w:hint="eastAsia"/>
          <w:szCs w:val="32"/>
        </w:rPr>
        <w:t>○</w:t>
      </w:r>
      <w:r w:rsidRPr="00766374">
        <w:rPr>
          <w:rFonts w:hAnsi="標楷體"/>
          <w:szCs w:val="32"/>
        </w:rPr>
        <w:t>碩、林</w:t>
      </w:r>
      <w:r w:rsidR="00F7033D">
        <w:rPr>
          <w:rFonts w:hAnsi="標楷體" w:hint="eastAsia"/>
          <w:szCs w:val="32"/>
        </w:rPr>
        <w:t>○○</w:t>
      </w:r>
      <w:r w:rsidRPr="00766374">
        <w:rPr>
          <w:rFonts w:hAnsi="標楷體"/>
          <w:szCs w:val="32"/>
        </w:rPr>
        <w:t>秋、邱</w:t>
      </w:r>
      <w:r w:rsidR="00F7033D">
        <w:rPr>
          <w:rFonts w:hAnsi="標楷體" w:hint="eastAsia"/>
          <w:szCs w:val="32"/>
        </w:rPr>
        <w:t>○</w:t>
      </w:r>
      <w:r w:rsidRPr="00766374">
        <w:rPr>
          <w:rFonts w:hAnsi="標楷體"/>
          <w:szCs w:val="32"/>
        </w:rPr>
        <w:t>玲及</w:t>
      </w:r>
      <w:r w:rsidR="00F4615D">
        <w:rPr>
          <w:rFonts w:hAnsi="標楷體"/>
          <w:szCs w:val="32"/>
        </w:rPr>
        <w:t>林○義</w:t>
      </w:r>
      <w:r w:rsidRPr="00766374">
        <w:rPr>
          <w:rFonts w:hAnsi="標楷體"/>
          <w:szCs w:val="32"/>
        </w:rPr>
        <w:t>等</w:t>
      </w:r>
      <w:r w:rsidRPr="00766374">
        <w:t>4</w:t>
      </w:r>
      <w:r w:rsidRPr="00766374">
        <w:rPr>
          <w:rFonts w:hAnsi="標楷體"/>
          <w:szCs w:val="32"/>
        </w:rPr>
        <w:t>人吸收資金的時間，卻分別是：</w:t>
      </w:r>
      <w:r w:rsidRPr="00766374">
        <w:t>99</w:t>
      </w:r>
      <w:r w:rsidRPr="00766374">
        <w:rPr>
          <w:rFonts w:hAnsi="標楷體"/>
          <w:szCs w:val="32"/>
        </w:rPr>
        <w:t>年間起、</w:t>
      </w:r>
      <w:r w:rsidRPr="00766374">
        <w:t>99</w:t>
      </w:r>
      <w:r w:rsidRPr="00766374">
        <w:rPr>
          <w:rFonts w:hAnsi="標楷體"/>
          <w:szCs w:val="32"/>
        </w:rPr>
        <w:t>年</w:t>
      </w:r>
      <w:r w:rsidRPr="00766374">
        <w:t>5</w:t>
      </w:r>
      <w:r w:rsidRPr="00766374">
        <w:rPr>
          <w:rFonts w:hAnsi="標楷體"/>
          <w:szCs w:val="32"/>
        </w:rPr>
        <w:t>、</w:t>
      </w:r>
      <w:r w:rsidRPr="00766374">
        <w:t>6</w:t>
      </w:r>
      <w:r w:rsidRPr="00766374">
        <w:rPr>
          <w:rFonts w:hAnsi="標楷體"/>
          <w:szCs w:val="32"/>
        </w:rPr>
        <w:t>月間及</w:t>
      </w:r>
      <w:r w:rsidRPr="00766374">
        <w:t>99</w:t>
      </w:r>
      <w:r w:rsidRPr="00766374">
        <w:rPr>
          <w:rFonts w:hAnsi="標楷體"/>
          <w:szCs w:val="32"/>
        </w:rPr>
        <w:t>年</w:t>
      </w:r>
      <w:r w:rsidRPr="00766374">
        <w:t>4</w:t>
      </w:r>
      <w:r w:rsidRPr="00766374">
        <w:rPr>
          <w:rFonts w:hAnsi="標楷體"/>
          <w:szCs w:val="32"/>
        </w:rPr>
        <w:t>月間起。</w:t>
      </w:r>
    </w:p>
    <w:p w:rsidR="000D0120" w:rsidRPr="00766374" w:rsidRDefault="000D0120" w:rsidP="008520A4">
      <w:pPr>
        <w:pStyle w:val="4"/>
        <w:ind w:left="1701"/>
      </w:pPr>
      <w:r w:rsidRPr="00766374">
        <w:rPr>
          <w:rFonts w:hAnsi="標楷體" w:cs="新細明體" w:hint="eastAsia"/>
          <w:kern w:val="0"/>
          <w:szCs w:val="32"/>
        </w:rPr>
        <w:t>怠於執行職務部分：</w:t>
      </w:r>
    </w:p>
    <w:p w:rsidR="008520A4" w:rsidRPr="00766374" w:rsidRDefault="000D0120" w:rsidP="000D0120">
      <w:pPr>
        <w:pStyle w:val="5"/>
        <w:ind w:left="2042" w:hanging="851"/>
        <w:rPr>
          <w:rFonts w:hAnsi="標楷體"/>
          <w:kern w:val="0"/>
          <w:szCs w:val="32"/>
        </w:rPr>
      </w:pPr>
      <w:r w:rsidRPr="00766374">
        <w:rPr>
          <w:rFonts w:hAnsi="標楷體" w:hint="eastAsia"/>
          <w:kern w:val="0"/>
          <w:szCs w:val="32"/>
        </w:rPr>
        <w:t>「滯延案件者，因判決寫不出來，無理由再開辯論</w:t>
      </w:r>
      <w:r w:rsidR="00E33098" w:rsidRPr="00766374">
        <w:rPr>
          <w:rFonts w:hAnsi="標楷體" w:hint="eastAsia"/>
          <w:kern w:val="0"/>
          <w:szCs w:val="32"/>
        </w:rPr>
        <w:t>。</w:t>
      </w:r>
      <w:r w:rsidRPr="00766374">
        <w:rPr>
          <w:rFonts w:hAnsi="標楷體" w:hint="eastAsia"/>
          <w:kern w:val="0"/>
          <w:szCs w:val="32"/>
        </w:rPr>
        <w:t>」查本院前調查臺灣苗栗地方法院（下稱苗栗地院）候補法官何星磊經常出國，造成承審案件無法如期宣判，卻以再開辯論的方式，已造成案件拖延，近3年已有70件。據本院詢問司法院之書面答復稱，候補法官何星磊候補服務成績審查案，前經司法院人事審議委員會決議不及格。</w:t>
      </w:r>
    </w:p>
    <w:p w:rsidR="00E33098" w:rsidRPr="00766374" w:rsidRDefault="00E33098" w:rsidP="000D0120">
      <w:pPr>
        <w:pStyle w:val="5"/>
        <w:ind w:left="2042" w:hanging="851"/>
        <w:rPr>
          <w:rFonts w:hAnsi="標楷體"/>
          <w:kern w:val="0"/>
          <w:szCs w:val="32"/>
        </w:rPr>
      </w:pPr>
      <w:r w:rsidRPr="00766374">
        <w:rPr>
          <w:rFonts w:hAnsi="標楷體" w:hint="eastAsia"/>
          <w:kern w:val="0"/>
          <w:szCs w:val="32"/>
        </w:rPr>
        <w:t>「外務太多，不務法官本業者。」</w:t>
      </w:r>
      <w:r w:rsidR="005F702E" w:rsidRPr="00766374">
        <w:rPr>
          <w:rFonts w:hAnsi="標楷體" w:hint="eastAsia"/>
          <w:kern w:val="0"/>
          <w:szCs w:val="32"/>
        </w:rPr>
        <w:t>據報載</w:t>
      </w:r>
      <w:r w:rsidR="005F702E" w:rsidRPr="00766374">
        <w:rPr>
          <w:rStyle w:val="aff3"/>
          <w:rFonts w:hAnsi="標楷體"/>
          <w:kern w:val="0"/>
          <w:szCs w:val="32"/>
        </w:rPr>
        <w:footnoteReference w:id="5"/>
      </w:r>
      <w:r w:rsidR="005F702E" w:rsidRPr="00766374">
        <w:rPr>
          <w:rFonts w:hAnsi="標楷體" w:hint="eastAsia"/>
          <w:kern w:val="0"/>
          <w:szCs w:val="32"/>
        </w:rPr>
        <w:t>，</w:t>
      </w:r>
      <w:r w:rsidR="00363C43" w:rsidRPr="00766374">
        <w:rPr>
          <w:rFonts w:hint="eastAsia"/>
        </w:rPr>
        <w:t>法官</w:t>
      </w:r>
      <w:r w:rsidR="00363C43" w:rsidRPr="00766374">
        <w:t>黃翰義長年在高雄大學政治法律系兼職副教授，教授刑事訴訟法、刑法課程</w:t>
      </w:r>
      <w:r w:rsidR="00363C43" w:rsidRPr="00766374">
        <w:rPr>
          <w:rFonts w:hint="eastAsia"/>
        </w:rPr>
        <w:t>，</w:t>
      </w:r>
      <w:r w:rsidR="00363C43" w:rsidRPr="00766374">
        <w:t>關</w:t>
      </w:r>
      <w:r w:rsidR="00363C43" w:rsidRPr="00766374">
        <w:rPr>
          <w:rStyle w:val="MSGothic"/>
          <w:rFonts w:hint="default"/>
          <w:color w:val="auto"/>
        </w:rPr>
        <w:t xml:space="preserve"> </w:t>
      </w:r>
      <w:r w:rsidR="00363C43" w:rsidRPr="00766374">
        <w:t>於</w:t>
      </w:r>
      <w:r w:rsidR="00363C43" w:rsidRPr="00766374">
        <w:rPr>
          <w:rStyle w:val="MSGothic"/>
          <w:rFonts w:hint="default"/>
          <w:color w:val="auto"/>
        </w:rPr>
        <w:t xml:space="preserve"> </w:t>
      </w:r>
      <w:r w:rsidR="00363C43" w:rsidRPr="00766374">
        <w:t>黃</w:t>
      </w:r>
      <w:r w:rsidR="00363C43" w:rsidRPr="00766374">
        <w:rPr>
          <w:rStyle w:val="MSGothic"/>
          <w:rFonts w:hint="default"/>
          <w:color w:val="auto"/>
        </w:rPr>
        <w:t xml:space="preserve"> </w:t>
      </w:r>
      <w:r w:rsidR="00363C43" w:rsidRPr="00766374">
        <w:t>翰義</w:t>
      </w:r>
      <w:r w:rsidR="00363C43" w:rsidRPr="00766374">
        <w:rPr>
          <w:rStyle w:val="MSGothic"/>
          <w:rFonts w:hint="default"/>
          <w:color w:val="auto"/>
        </w:rPr>
        <w:t xml:space="preserve"> </w:t>
      </w:r>
      <w:r w:rsidR="00363C43" w:rsidRPr="00766374">
        <w:t>的</w:t>
      </w:r>
      <w:r w:rsidR="00363C43" w:rsidRPr="00766374">
        <w:rPr>
          <w:rStyle w:val="MSGothic"/>
          <w:rFonts w:hint="default"/>
          <w:color w:val="auto"/>
        </w:rPr>
        <w:t xml:space="preserve"> </w:t>
      </w:r>
      <w:r w:rsidR="00363C43" w:rsidRPr="00766374">
        <w:t>裁</w:t>
      </w:r>
      <w:r w:rsidR="00363C43" w:rsidRPr="00766374">
        <w:rPr>
          <w:rStyle w:val="MSGothic"/>
          <w:rFonts w:hint="default"/>
          <w:color w:val="auto"/>
        </w:rPr>
        <w:t xml:space="preserve"> </w:t>
      </w:r>
      <w:r w:rsidR="00363C43" w:rsidRPr="00766374">
        <w:t>判</w:t>
      </w:r>
      <w:r w:rsidR="00363C43" w:rsidRPr="00766374">
        <w:rPr>
          <w:rStyle w:val="MSGothic"/>
          <w:rFonts w:hint="default"/>
          <w:color w:val="auto"/>
        </w:rPr>
        <w:t xml:space="preserve"> </w:t>
      </w:r>
      <w:r w:rsidR="00363C43" w:rsidRPr="00766374">
        <w:t>評</w:t>
      </w:r>
      <w:r w:rsidR="00363C43" w:rsidRPr="00766374">
        <w:rPr>
          <w:rStyle w:val="MSGothic"/>
          <w:rFonts w:hint="default"/>
          <w:color w:val="auto"/>
        </w:rPr>
        <w:t xml:space="preserve"> </w:t>
      </w:r>
      <w:r w:rsidR="00363C43" w:rsidRPr="00766374">
        <w:t>價</w:t>
      </w:r>
      <w:r w:rsidR="00363C43" w:rsidRPr="00766374">
        <w:rPr>
          <w:rStyle w:val="MSGothic"/>
          <w:rFonts w:hint="default"/>
          <w:color w:val="auto"/>
        </w:rPr>
        <w:t xml:space="preserve"> </w:t>
      </w:r>
      <w:r w:rsidR="00363C43" w:rsidRPr="00766374">
        <w:t>，</w:t>
      </w:r>
      <w:r w:rsidR="00363C43" w:rsidRPr="00766374">
        <w:rPr>
          <w:rStyle w:val="MSGothic"/>
          <w:rFonts w:hint="default"/>
          <w:color w:val="auto"/>
        </w:rPr>
        <w:t xml:space="preserve"> </w:t>
      </w:r>
      <w:r w:rsidR="00363C43" w:rsidRPr="00766374">
        <w:t>最</w:t>
      </w:r>
      <w:r w:rsidR="00363C43" w:rsidRPr="00766374">
        <w:rPr>
          <w:rStyle w:val="MSGothic"/>
          <w:rFonts w:hint="default"/>
          <w:color w:val="auto"/>
        </w:rPr>
        <w:t xml:space="preserve"> </w:t>
      </w:r>
      <w:r w:rsidR="00363C43" w:rsidRPr="00766374">
        <w:t>高</w:t>
      </w:r>
      <w:r w:rsidR="00363C43" w:rsidRPr="00766374">
        <w:rPr>
          <w:rStyle w:val="MSGothic"/>
          <w:rFonts w:hint="default"/>
          <w:color w:val="auto"/>
        </w:rPr>
        <w:t xml:space="preserve"> </w:t>
      </w:r>
      <w:r w:rsidR="00363C43" w:rsidRPr="00766374">
        <w:t>法</w:t>
      </w:r>
      <w:r w:rsidR="00363C43" w:rsidRPr="00766374">
        <w:rPr>
          <w:rStyle w:val="MSGothic"/>
          <w:rFonts w:hint="default"/>
          <w:color w:val="auto"/>
        </w:rPr>
        <w:t xml:space="preserve"> </w:t>
      </w:r>
      <w:r w:rsidR="00363C43" w:rsidRPr="00766374">
        <w:t>院</w:t>
      </w:r>
      <w:r w:rsidR="00363C43" w:rsidRPr="00766374">
        <w:rPr>
          <w:rStyle w:val="MSGothic"/>
          <w:rFonts w:hint="default"/>
          <w:color w:val="auto"/>
        </w:rPr>
        <w:t xml:space="preserve"> </w:t>
      </w:r>
      <w:r w:rsidR="00363C43" w:rsidRPr="00766374">
        <w:t>資</w:t>
      </w:r>
      <w:r w:rsidR="00363C43" w:rsidRPr="00766374">
        <w:rPr>
          <w:rStyle w:val="MSGothic"/>
          <w:rFonts w:hint="default"/>
          <w:color w:val="auto"/>
        </w:rPr>
        <w:t xml:space="preserve"> </w:t>
      </w:r>
      <w:r w:rsidR="00363C43" w:rsidRPr="00766374">
        <w:t>深</w:t>
      </w:r>
      <w:r w:rsidR="00363C43" w:rsidRPr="00766374">
        <w:rPr>
          <w:rStyle w:val="MSGothic"/>
          <w:rFonts w:hint="default"/>
          <w:color w:val="auto"/>
        </w:rPr>
        <w:t xml:space="preserve"> </w:t>
      </w:r>
      <w:r w:rsidR="00363C43" w:rsidRPr="00766374">
        <w:t>法</w:t>
      </w:r>
      <w:r w:rsidR="00363C43" w:rsidRPr="00766374">
        <w:rPr>
          <w:rStyle w:val="MSGothic"/>
          <w:rFonts w:hint="default"/>
          <w:color w:val="auto"/>
        </w:rPr>
        <w:t xml:space="preserve"> </w:t>
      </w:r>
      <w:r w:rsidR="00363C43" w:rsidRPr="00766374">
        <w:t>官</w:t>
      </w:r>
      <w:r w:rsidR="00363C43" w:rsidRPr="00766374">
        <w:rPr>
          <w:rStyle w:val="MSGothic"/>
          <w:rFonts w:hint="default"/>
          <w:color w:val="auto"/>
        </w:rPr>
        <w:t xml:space="preserve"> </w:t>
      </w:r>
      <w:r w:rsidR="00363C43" w:rsidRPr="00766374">
        <w:t>說</w:t>
      </w:r>
      <w:r w:rsidR="00363C43" w:rsidRPr="00766374">
        <w:rPr>
          <w:rStyle w:val="MSGothic"/>
          <w:rFonts w:hint="default"/>
          <w:color w:val="auto"/>
        </w:rPr>
        <w:t xml:space="preserve"> </w:t>
      </w:r>
      <w:r w:rsidR="00363C43" w:rsidRPr="00766374">
        <w:t>：</w:t>
      </w:r>
      <w:r w:rsidR="00363C43" w:rsidRPr="00766374">
        <w:rPr>
          <w:rStyle w:val="MSGothic"/>
          <w:rFonts w:hint="default"/>
          <w:color w:val="auto"/>
        </w:rPr>
        <w:t xml:space="preserve"> </w:t>
      </w:r>
      <w:r w:rsidR="00363C43" w:rsidRPr="00766374">
        <w:t>「</w:t>
      </w:r>
      <w:r w:rsidR="00363C43" w:rsidRPr="00766374">
        <w:rPr>
          <w:rStyle w:val="MSGothic"/>
          <w:rFonts w:hint="default"/>
          <w:color w:val="auto"/>
        </w:rPr>
        <w:t xml:space="preserve"> </w:t>
      </w:r>
      <w:r w:rsidR="00363C43" w:rsidRPr="00766374">
        <w:t>黃</w:t>
      </w:r>
      <w:r w:rsidR="00363C43" w:rsidRPr="00766374">
        <w:rPr>
          <w:rStyle w:val="MSGothic"/>
          <w:rFonts w:hint="default"/>
          <w:color w:val="auto"/>
        </w:rPr>
        <w:t xml:space="preserve"> </w:t>
      </w:r>
      <w:r w:rsidR="00363C43" w:rsidRPr="00766374">
        <w:t>翰</w:t>
      </w:r>
      <w:r w:rsidR="00363C43" w:rsidRPr="00766374">
        <w:rPr>
          <w:rStyle w:val="MSGothic"/>
          <w:rFonts w:hint="default"/>
          <w:color w:val="auto"/>
        </w:rPr>
        <w:t xml:space="preserve"> </w:t>
      </w:r>
      <w:r w:rsidR="00363C43" w:rsidRPr="00766374">
        <w:t>義熱衷在外授課，是典型的不務正業，授課寫書荒廢本業，判決品質不佳。」</w:t>
      </w:r>
      <w:r w:rsidR="00363C43" w:rsidRPr="00766374">
        <w:rPr>
          <w:rStyle w:val="MSGothic"/>
          <w:rFonts w:hint="default"/>
          <w:color w:val="auto"/>
          <w:lang w:val="zh-CN"/>
        </w:rPr>
        <w:t>•</w:t>
      </w:r>
      <w:r w:rsidR="00363C43" w:rsidRPr="00766374">
        <w:rPr>
          <w:lang w:val="zh-CN"/>
        </w:rPr>
        <w:t>另</w:t>
      </w:r>
      <w:r w:rsidR="00363C43" w:rsidRPr="00766374">
        <w:t>位資深法官也説：「他專門在寫書，不寫判決，基本上是不敬業。」</w:t>
      </w:r>
    </w:p>
    <w:p w:rsidR="00E33098" w:rsidRPr="00766374" w:rsidRDefault="00E33098" w:rsidP="000D0120">
      <w:pPr>
        <w:pStyle w:val="5"/>
        <w:ind w:left="2042" w:hanging="851"/>
        <w:rPr>
          <w:rFonts w:hAnsi="標楷體"/>
          <w:kern w:val="0"/>
          <w:szCs w:val="32"/>
        </w:rPr>
      </w:pPr>
      <w:r w:rsidRPr="00766374">
        <w:rPr>
          <w:rFonts w:hAnsi="標楷體" w:hint="eastAsia"/>
          <w:kern w:val="0"/>
          <w:szCs w:val="32"/>
        </w:rPr>
        <w:t>「俗稱帶便當法官」</w:t>
      </w:r>
      <w:r w:rsidR="00133AB0" w:rsidRPr="00766374">
        <w:rPr>
          <w:rFonts w:hAnsi="標楷體" w:hint="eastAsia"/>
          <w:kern w:val="0"/>
          <w:szCs w:val="32"/>
        </w:rPr>
        <w:t>據報載</w:t>
      </w:r>
      <w:r w:rsidR="00133AB0" w:rsidRPr="00766374">
        <w:rPr>
          <w:rStyle w:val="aff3"/>
          <w:rFonts w:hAnsi="標楷體"/>
          <w:kern w:val="0"/>
          <w:szCs w:val="32"/>
        </w:rPr>
        <w:footnoteReference w:id="6"/>
      </w:r>
      <w:r w:rsidR="00133AB0" w:rsidRPr="00766374">
        <w:rPr>
          <w:rFonts w:hAnsi="標楷體" w:hint="eastAsia"/>
          <w:kern w:val="0"/>
          <w:szCs w:val="32"/>
        </w:rPr>
        <w:t>，</w:t>
      </w:r>
      <w:r w:rsidR="00133AB0" w:rsidRPr="00766374">
        <w:rPr>
          <w:rFonts w:hint="eastAsia"/>
        </w:rPr>
        <w:t>1</w:t>
      </w:r>
      <w:r w:rsidR="00133AB0" w:rsidRPr="00766374">
        <w:t>08年9月</w:t>
      </w:r>
      <w:r w:rsidR="00133AB0" w:rsidRPr="00766374">
        <w:rPr>
          <w:rFonts w:hint="eastAsia"/>
        </w:rPr>
        <w:t>法官</w:t>
      </w:r>
      <w:r w:rsidR="00133AB0" w:rsidRPr="00766374">
        <w:t>郭玫利自行請調</w:t>
      </w:r>
      <w:r w:rsidR="00133AB0" w:rsidRPr="00766374">
        <w:rPr>
          <w:rFonts w:hint="eastAsia"/>
        </w:rPr>
        <w:t>臺灣高院臺</w:t>
      </w:r>
      <w:r w:rsidR="00133AB0" w:rsidRPr="00766374">
        <w:t>南分院的原由，</w:t>
      </w:r>
      <w:r w:rsidR="00133AB0" w:rsidRPr="00766374">
        <w:rPr>
          <w:rFonts w:hint="eastAsia"/>
        </w:rPr>
        <w:t>臺灣高院</w:t>
      </w:r>
      <w:r w:rsidR="00133AB0" w:rsidRPr="00766374">
        <w:t>資深法官說：「她很混，若不自行請調，恐怕會被免兼審判長</w:t>
      </w:r>
      <w:r w:rsidR="00133AB0" w:rsidRPr="00766374">
        <w:rPr>
          <w:rFonts w:hint="eastAsia"/>
        </w:rPr>
        <w:t>。</w:t>
      </w:r>
      <w:r w:rsidR="00133AB0" w:rsidRPr="00766374">
        <w:t>」</w:t>
      </w:r>
      <w:r w:rsidR="00133AB0" w:rsidRPr="00766374">
        <w:rPr>
          <w:rFonts w:hint="eastAsia"/>
        </w:rPr>
        <w:t>此外，有些法官因積延案件未結，頻於從刑事庭轉調民事庭，或從甲法院轉調乙法院，即</w:t>
      </w:r>
      <w:r w:rsidR="00DF331C" w:rsidRPr="00766374">
        <w:rPr>
          <w:rFonts w:hint="eastAsia"/>
        </w:rPr>
        <w:t>「</w:t>
      </w:r>
      <w:r w:rsidR="00133AB0" w:rsidRPr="00766374">
        <w:rPr>
          <w:rFonts w:hAnsi="標楷體" w:hint="eastAsia"/>
          <w:kern w:val="0"/>
          <w:szCs w:val="32"/>
        </w:rPr>
        <w:t>俗稱帶便當法官</w:t>
      </w:r>
      <w:r w:rsidR="00DF331C" w:rsidRPr="00766374">
        <w:rPr>
          <w:rFonts w:hAnsi="標楷體" w:hint="eastAsia"/>
          <w:kern w:val="0"/>
          <w:szCs w:val="32"/>
        </w:rPr>
        <w:t>」</w:t>
      </w:r>
      <w:r w:rsidR="00133AB0" w:rsidRPr="00766374">
        <w:rPr>
          <w:rFonts w:hAnsi="標楷體" w:hint="eastAsia"/>
          <w:kern w:val="0"/>
          <w:szCs w:val="32"/>
        </w:rPr>
        <w:t>。</w:t>
      </w:r>
    </w:p>
    <w:p w:rsidR="00F87818" w:rsidRPr="00766374" w:rsidRDefault="00F87818" w:rsidP="00F87818">
      <w:pPr>
        <w:pStyle w:val="4"/>
        <w:ind w:left="1701"/>
        <w:rPr>
          <w:rFonts w:hAnsi="標楷體"/>
          <w:kern w:val="0"/>
          <w:szCs w:val="32"/>
        </w:rPr>
      </w:pPr>
      <w:r w:rsidRPr="00766374">
        <w:rPr>
          <w:rFonts w:hAnsi="標楷體" w:hint="eastAsia"/>
          <w:kern w:val="0"/>
          <w:szCs w:val="32"/>
        </w:rPr>
        <w:lastRenderedPageBreak/>
        <w:t>品行不佳部分：</w:t>
      </w:r>
    </w:p>
    <w:p w:rsidR="00F87818" w:rsidRPr="00766374" w:rsidRDefault="00F87818" w:rsidP="00F87818">
      <w:pPr>
        <w:pStyle w:val="5"/>
        <w:ind w:left="2042" w:hanging="851"/>
      </w:pPr>
      <w:r w:rsidRPr="00766374">
        <w:rPr>
          <w:rFonts w:hAnsi="標楷體" w:cs="新細明體" w:hint="eastAsia"/>
          <w:kern w:val="0"/>
          <w:szCs w:val="32"/>
        </w:rPr>
        <w:t>「接受他人關說者」即本案臺灣高院前審判長</w:t>
      </w:r>
      <w:r w:rsidR="009E2867" w:rsidRPr="00766374">
        <w:rPr>
          <w:rFonts w:hAnsi="標楷體" w:cs="新細明體" w:hint="eastAsia"/>
          <w:kern w:val="0"/>
          <w:szCs w:val="32"/>
        </w:rPr>
        <w:t>高明</w:t>
      </w:r>
      <w:r w:rsidRPr="00766374">
        <w:rPr>
          <w:rFonts w:hAnsi="標楷體" w:cs="新細明體" w:hint="eastAsia"/>
          <w:kern w:val="0"/>
          <w:szCs w:val="32"/>
        </w:rPr>
        <w:t>哲，接受蕭仰歸之關說，</w:t>
      </w:r>
      <w:r w:rsidR="009E2867" w:rsidRPr="00766374">
        <w:rPr>
          <w:rFonts w:hAnsi="標楷體" w:cs="新細明體" w:hint="eastAsia"/>
          <w:kern w:val="0"/>
          <w:szCs w:val="32"/>
        </w:rPr>
        <w:t>高明哲</w:t>
      </w:r>
      <w:r w:rsidRPr="00766374">
        <w:rPr>
          <w:rFonts w:hAnsi="標楷體" w:cs="新細明體" w:hint="eastAsia"/>
          <w:kern w:val="0"/>
          <w:szCs w:val="32"/>
        </w:rPr>
        <w:t>亦向受命法官高玉舜關說。</w:t>
      </w:r>
    </w:p>
    <w:p w:rsidR="00EE3417" w:rsidRPr="00766374" w:rsidRDefault="00EE3417" w:rsidP="00F87818">
      <w:pPr>
        <w:pStyle w:val="5"/>
        <w:ind w:left="2042" w:hanging="851"/>
        <w:rPr>
          <w:rFonts w:hAnsi="標楷體" w:cs="新細明體"/>
          <w:kern w:val="0"/>
          <w:szCs w:val="32"/>
        </w:rPr>
      </w:pPr>
      <w:r w:rsidRPr="00766374">
        <w:rPr>
          <w:rFonts w:hAnsi="標楷體" w:cs="新細明體" w:hint="eastAsia"/>
          <w:kern w:val="0"/>
          <w:szCs w:val="32"/>
        </w:rPr>
        <w:t>「言行不檢者。」例如：臺</w:t>
      </w:r>
      <w:r w:rsidRPr="00766374">
        <w:rPr>
          <w:rFonts w:hAnsi="標楷體" w:cs="新細明體"/>
          <w:kern w:val="0"/>
          <w:szCs w:val="32"/>
        </w:rPr>
        <w:t>北高等行政法院</w:t>
      </w:r>
      <w:r w:rsidR="00DF331C" w:rsidRPr="00766374">
        <w:rPr>
          <w:rFonts w:hAnsi="標楷體" w:cs="新細明體"/>
          <w:kern w:val="0"/>
          <w:szCs w:val="32"/>
        </w:rPr>
        <w:t>法官</w:t>
      </w:r>
      <w:r w:rsidRPr="00766374">
        <w:rPr>
          <w:rFonts w:hAnsi="標楷體" w:cs="新細明體"/>
          <w:kern w:val="0"/>
          <w:szCs w:val="32"/>
        </w:rPr>
        <w:t>陳鴻斌性騷擾女助理案</w:t>
      </w:r>
      <w:r w:rsidRPr="00766374">
        <w:rPr>
          <w:rFonts w:hAnsi="標楷體" w:cs="新細明體" w:hint="eastAsia"/>
          <w:kern w:val="0"/>
          <w:szCs w:val="32"/>
        </w:rPr>
        <w:t>、</w:t>
      </w:r>
      <w:r w:rsidR="00DF331C" w:rsidRPr="00766374">
        <w:rPr>
          <w:rFonts w:hAnsi="標楷體" w:cs="新細明體" w:hint="eastAsia"/>
          <w:kern w:val="0"/>
          <w:szCs w:val="32"/>
        </w:rPr>
        <w:t>臺灣</w:t>
      </w:r>
      <w:r w:rsidRPr="00766374">
        <w:rPr>
          <w:rFonts w:hAnsi="標楷體" w:cs="新細明體" w:hint="eastAsia"/>
          <w:kern w:val="0"/>
          <w:szCs w:val="32"/>
        </w:rPr>
        <w:t>新竹地方法院法官吳振富要求女性法官助理為其按摩、刮痧及辦理私務案。</w:t>
      </w:r>
    </w:p>
    <w:p w:rsidR="006D7AB7" w:rsidRPr="00766374" w:rsidRDefault="00AA517E" w:rsidP="00B02F54">
      <w:pPr>
        <w:pStyle w:val="4"/>
        <w:ind w:left="1701"/>
      </w:pPr>
      <w:r w:rsidRPr="00766374">
        <w:rPr>
          <w:rFonts w:hint="eastAsia"/>
        </w:rPr>
        <w:t>未詳查事證率予起訴</w:t>
      </w:r>
      <w:r w:rsidR="006D7AB7" w:rsidRPr="00766374">
        <w:rPr>
          <w:rFonts w:hint="eastAsia"/>
        </w:rPr>
        <w:t>部分：</w:t>
      </w:r>
    </w:p>
    <w:p w:rsidR="00B27714" w:rsidRPr="00766374" w:rsidRDefault="00AA517E" w:rsidP="006D7AB7">
      <w:pPr>
        <w:pStyle w:val="42"/>
        <w:ind w:left="1701" w:firstLine="680"/>
      </w:pPr>
      <w:r w:rsidRPr="00766374">
        <w:rPr>
          <w:rFonts w:hAnsi="標楷體" w:hint="eastAsia"/>
          <w:kern w:val="0"/>
          <w:szCs w:val="32"/>
        </w:rPr>
        <w:t>查本院前調查</w:t>
      </w:r>
      <w:r w:rsidR="00712CA4" w:rsidRPr="00766374">
        <w:rPr>
          <w:rFonts w:hint="eastAsia"/>
        </w:rPr>
        <w:t>臺灣士林地方檢察署</w:t>
      </w:r>
      <w:r w:rsidR="006D7AB7" w:rsidRPr="00766374">
        <w:rPr>
          <w:rFonts w:hint="eastAsia"/>
        </w:rPr>
        <w:t>（下稱士林地檢署）</w:t>
      </w:r>
      <w:r w:rsidR="00712CA4" w:rsidRPr="00766374">
        <w:rPr>
          <w:rFonts w:hint="eastAsia"/>
          <w:kern w:val="0"/>
        </w:rPr>
        <w:t>檢察官</w:t>
      </w:r>
      <w:r w:rsidR="000759C0" w:rsidRPr="00766374">
        <w:rPr>
          <w:rFonts w:hint="eastAsia"/>
          <w:kern w:val="0"/>
        </w:rPr>
        <w:t>郭騰月</w:t>
      </w:r>
      <w:r w:rsidR="00712CA4" w:rsidRPr="00766374">
        <w:rPr>
          <w:rFonts w:hint="eastAsia"/>
        </w:rPr>
        <w:t>偵查之（104年度偵字11530號、偵字12452號、偵字14263號）</w:t>
      </w:r>
      <w:r w:rsidR="008940B1" w:rsidRPr="00766374">
        <w:rPr>
          <w:rFonts w:hAnsi="Arial" w:hint="eastAsia"/>
          <w:szCs w:val="36"/>
        </w:rPr>
        <w:t>犯罪事實疑點不僅未查，亦未見何以起訴之基本說明，</w:t>
      </w:r>
      <w:r w:rsidR="008940B1" w:rsidRPr="00766374">
        <w:rPr>
          <w:rFonts w:hint="eastAsia"/>
        </w:rPr>
        <w:t>宜由對承辦檢察官為職務監督處置案。據本院詢問法務部之書面答復稱，士林地檢署於108年第1次檢察官會議時已宣達，提供該署檢察官做為日後辦案之參考。</w:t>
      </w:r>
    </w:p>
    <w:p w:rsidR="00073CB5" w:rsidRPr="00766374" w:rsidRDefault="00405AF8" w:rsidP="00633738">
      <w:pPr>
        <w:pStyle w:val="3"/>
        <w:ind w:left="1360" w:hanging="680"/>
      </w:pPr>
      <w:r w:rsidRPr="00766374">
        <w:rPr>
          <w:rFonts w:hint="eastAsia"/>
        </w:rPr>
        <w:t>法官自96</w:t>
      </w:r>
      <w:r w:rsidRPr="00766374">
        <w:t>-</w:t>
      </w:r>
      <w:r w:rsidR="004C1277" w:rsidRPr="00766374">
        <w:t>107</w:t>
      </w:r>
      <w:r w:rsidRPr="00766374">
        <w:rPr>
          <w:rFonts w:hint="eastAsia"/>
        </w:rPr>
        <w:t>年</w:t>
      </w:r>
      <w:r w:rsidR="004C1277" w:rsidRPr="00766374">
        <w:rPr>
          <w:rFonts w:hint="eastAsia"/>
        </w:rPr>
        <w:t>考績情形：</w:t>
      </w:r>
    </w:p>
    <w:p w:rsidR="00EE47DD" w:rsidRPr="00766374" w:rsidRDefault="000E7ACC" w:rsidP="004C1277">
      <w:pPr>
        <w:pStyle w:val="4"/>
        <w:ind w:left="1701"/>
        <w:rPr>
          <w:szCs w:val="32"/>
        </w:rPr>
      </w:pPr>
      <w:r w:rsidRPr="00766374">
        <w:rPr>
          <w:rFonts w:hint="eastAsia"/>
        </w:rPr>
        <w:t>查附表</w:t>
      </w:r>
      <w:r w:rsidR="005E0DD5" w:rsidRPr="00766374">
        <w:rPr>
          <w:rFonts w:hint="eastAsia"/>
        </w:rPr>
        <w:t>一</w:t>
      </w:r>
      <w:r w:rsidRPr="00766374">
        <w:rPr>
          <w:rFonts w:hint="eastAsia"/>
          <w:szCs w:val="32"/>
        </w:rPr>
        <w:t>，</w:t>
      </w:r>
      <w:r w:rsidRPr="00766374">
        <w:rPr>
          <w:rFonts w:hAnsi="標楷體" w:hint="eastAsia"/>
          <w:bCs/>
          <w:spacing w:val="-10"/>
          <w:kern w:val="0"/>
          <w:szCs w:val="32"/>
        </w:rPr>
        <w:t>96-99年法官考績表</w:t>
      </w:r>
      <w:r w:rsidR="00EE47DD" w:rsidRPr="00766374">
        <w:rPr>
          <w:rFonts w:hAnsi="標楷體" w:hint="eastAsia"/>
          <w:bCs/>
          <w:spacing w:val="-10"/>
          <w:kern w:val="0"/>
          <w:szCs w:val="32"/>
        </w:rPr>
        <w:t>：</w:t>
      </w:r>
    </w:p>
    <w:p w:rsidR="000E7ACC" w:rsidRPr="00766374" w:rsidRDefault="00EE47DD" w:rsidP="00EE47DD">
      <w:pPr>
        <w:pStyle w:val="5"/>
        <w:ind w:left="2042" w:hanging="851"/>
        <w:rPr>
          <w:rFonts w:hAnsi="標楷體"/>
          <w:szCs w:val="32"/>
        </w:rPr>
      </w:pPr>
      <w:r w:rsidRPr="00766374">
        <w:rPr>
          <w:rFonts w:hAnsi="標楷體" w:hint="eastAsia"/>
          <w:bCs w:val="0"/>
          <w:spacing w:val="-10"/>
          <w:kern w:val="0"/>
          <w:szCs w:val="32"/>
        </w:rPr>
        <w:t>96年法官考績情形，</w:t>
      </w:r>
      <w:r w:rsidR="005E0DD5" w:rsidRPr="00766374">
        <w:rPr>
          <w:rFonts w:hAnsi="標楷體" w:hint="eastAsia"/>
          <w:szCs w:val="32"/>
        </w:rPr>
        <w:t>乙等比率最高，臺灣金門地方法院2</w:t>
      </w:r>
      <w:r w:rsidR="005E0DD5" w:rsidRPr="00766374">
        <w:rPr>
          <w:rFonts w:hAnsi="標楷體"/>
          <w:szCs w:val="32"/>
        </w:rPr>
        <w:t>0%</w:t>
      </w:r>
      <w:r w:rsidR="005E0DD5" w:rsidRPr="00766374">
        <w:rPr>
          <w:rFonts w:hAnsi="標楷體" w:hint="eastAsia"/>
          <w:szCs w:val="32"/>
        </w:rPr>
        <w:t>（1人乙等/</w:t>
      </w:r>
      <w:r w:rsidR="005E0DD5" w:rsidRPr="00766374">
        <w:rPr>
          <w:rFonts w:hAnsi="標楷體"/>
          <w:szCs w:val="32"/>
        </w:rPr>
        <w:t>5</w:t>
      </w:r>
      <w:r w:rsidR="005E0DD5" w:rsidRPr="00766374">
        <w:rPr>
          <w:rFonts w:hAnsi="標楷體" w:hint="eastAsia"/>
          <w:szCs w:val="32"/>
        </w:rPr>
        <w:t>人總人數）、臺灣澎湖地方法院20%（1人乙等/5人總人數）</w:t>
      </w:r>
      <w:r w:rsidRPr="00766374">
        <w:rPr>
          <w:rFonts w:hAnsi="標楷體" w:hint="eastAsia"/>
          <w:szCs w:val="32"/>
        </w:rPr>
        <w:t>；</w:t>
      </w:r>
      <w:r w:rsidR="005E0DD5" w:rsidRPr="00766374">
        <w:rPr>
          <w:rFonts w:hAnsi="標楷體" w:hint="eastAsia"/>
          <w:szCs w:val="32"/>
        </w:rPr>
        <w:t>考乙等比率較低，臺北高等行政法院3</w:t>
      </w:r>
      <w:r w:rsidR="005E0DD5" w:rsidRPr="00766374">
        <w:rPr>
          <w:rFonts w:hAnsi="標楷體"/>
          <w:szCs w:val="32"/>
        </w:rPr>
        <w:t>.7</w:t>
      </w:r>
      <w:r w:rsidR="005E0DD5" w:rsidRPr="00766374">
        <w:rPr>
          <w:rFonts w:hAnsi="標楷體" w:hint="eastAsia"/>
          <w:szCs w:val="32"/>
        </w:rPr>
        <w:t>%（1人乙等/</w:t>
      </w:r>
      <w:r w:rsidR="005E0DD5" w:rsidRPr="00766374">
        <w:rPr>
          <w:rFonts w:hAnsi="標楷體"/>
          <w:szCs w:val="32"/>
        </w:rPr>
        <w:t>27</w:t>
      </w:r>
      <w:r w:rsidR="005E0DD5" w:rsidRPr="00766374">
        <w:rPr>
          <w:rFonts w:hAnsi="標楷體" w:hint="eastAsia"/>
          <w:szCs w:val="32"/>
        </w:rPr>
        <w:t>人總人數）</w:t>
      </w:r>
      <w:r w:rsidRPr="00766374">
        <w:rPr>
          <w:rFonts w:hAnsi="標楷體" w:hint="eastAsia"/>
          <w:szCs w:val="32"/>
        </w:rPr>
        <w:t>；</w:t>
      </w:r>
      <w:r w:rsidR="005E0DD5" w:rsidRPr="00766374">
        <w:rPr>
          <w:rFonts w:hAnsi="標楷體" w:hint="eastAsia"/>
          <w:szCs w:val="32"/>
        </w:rPr>
        <w:t>考乙等之人數為</w:t>
      </w:r>
      <w:r w:rsidR="00176F1D" w:rsidRPr="00766374">
        <w:rPr>
          <w:rFonts w:hAnsi="標楷體" w:hint="eastAsia"/>
          <w:szCs w:val="32"/>
        </w:rPr>
        <w:t>0人</w:t>
      </w:r>
      <w:r w:rsidR="005E0DD5" w:rsidRPr="00766374">
        <w:rPr>
          <w:rFonts w:hAnsi="標楷體" w:hint="eastAsia"/>
          <w:szCs w:val="32"/>
        </w:rPr>
        <w:t>，</w:t>
      </w:r>
      <w:r w:rsidR="00176F1D" w:rsidRPr="00766374">
        <w:rPr>
          <w:rFonts w:hAnsi="標楷體" w:hint="eastAsia"/>
          <w:szCs w:val="32"/>
        </w:rPr>
        <w:t>臺灣高院金門分院</w:t>
      </w:r>
      <w:r w:rsidR="00DC7372" w:rsidRPr="00766374">
        <w:rPr>
          <w:rFonts w:hAnsi="標楷體" w:hint="eastAsia"/>
          <w:szCs w:val="32"/>
        </w:rPr>
        <w:t>0%</w:t>
      </w:r>
      <w:r w:rsidR="00176F1D" w:rsidRPr="00766374">
        <w:rPr>
          <w:rFonts w:hAnsi="標楷體" w:hint="eastAsia"/>
          <w:szCs w:val="32"/>
        </w:rPr>
        <w:t>（</w:t>
      </w:r>
      <w:r w:rsidR="00176F1D" w:rsidRPr="00766374">
        <w:rPr>
          <w:rFonts w:hAnsi="標楷體"/>
          <w:szCs w:val="32"/>
        </w:rPr>
        <w:t>0</w:t>
      </w:r>
      <w:r w:rsidR="00176F1D" w:rsidRPr="00766374">
        <w:rPr>
          <w:rFonts w:hAnsi="標楷體" w:hint="eastAsia"/>
          <w:szCs w:val="32"/>
        </w:rPr>
        <w:t>人乙等/</w:t>
      </w:r>
      <w:r w:rsidR="00176F1D" w:rsidRPr="00766374">
        <w:rPr>
          <w:rFonts w:hAnsi="標楷體"/>
          <w:szCs w:val="32"/>
        </w:rPr>
        <w:t>3</w:t>
      </w:r>
      <w:r w:rsidR="00176F1D" w:rsidRPr="00766374">
        <w:rPr>
          <w:rFonts w:hAnsi="標楷體" w:hint="eastAsia"/>
          <w:szCs w:val="32"/>
        </w:rPr>
        <w:t>人總人數）</w:t>
      </w:r>
      <w:r w:rsidRPr="00766374">
        <w:rPr>
          <w:rFonts w:hAnsi="標楷體" w:hint="eastAsia"/>
          <w:szCs w:val="32"/>
        </w:rPr>
        <w:t>。</w:t>
      </w:r>
      <w:r w:rsidR="00E07859" w:rsidRPr="00766374">
        <w:rPr>
          <w:rFonts w:hAnsi="標楷體" w:hint="eastAsia"/>
          <w:bCs w:val="0"/>
          <w:szCs w:val="32"/>
        </w:rPr>
        <w:t>平均比率10%（161人乙等/</w:t>
      </w:r>
      <w:r w:rsidR="00E07859" w:rsidRPr="00766374">
        <w:rPr>
          <w:rFonts w:hAnsi="標楷體"/>
          <w:szCs w:val="32"/>
        </w:rPr>
        <w:t>1,613</w:t>
      </w:r>
      <w:r w:rsidR="00E07859" w:rsidRPr="00766374">
        <w:rPr>
          <w:rFonts w:hAnsi="標楷體" w:hint="eastAsia"/>
          <w:szCs w:val="32"/>
        </w:rPr>
        <w:t>人總人數</w:t>
      </w:r>
      <w:r w:rsidR="00E07859" w:rsidRPr="00766374">
        <w:rPr>
          <w:rFonts w:hAnsi="標楷體" w:hint="eastAsia"/>
          <w:bCs w:val="0"/>
          <w:szCs w:val="32"/>
        </w:rPr>
        <w:t>）。</w:t>
      </w:r>
    </w:p>
    <w:p w:rsidR="004D1C2E" w:rsidRPr="00766374" w:rsidRDefault="004D1C2E" w:rsidP="00EE47DD">
      <w:pPr>
        <w:pStyle w:val="5"/>
        <w:ind w:left="2042" w:hanging="851"/>
        <w:rPr>
          <w:rFonts w:hAnsi="標楷體"/>
          <w:szCs w:val="32"/>
        </w:rPr>
      </w:pPr>
      <w:r w:rsidRPr="00766374">
        <w:rPr>
          <w:rFonts w:hAnsi="標楷體" w:hint="eastAsia"/>
          <w:bCs w:val="0"/>
          <w:spacing w:val="-10"/>
          <w:kern w:val="0"/>
          <w:szCs w:val="32"/>
        </w:rPr>
        <w:t>9</w:t>
      </w:r>
      <w:r w:rsidRPr="00766374">
        <w:rPr>
          <w:rFonts w:hAnsi="標楷體"/>
          <w:bCs w:val="0"/>
          <w:spacing w:val="-10"/>
          <w:kern w:val="0"/>
          <w:szCs w:val="32"/>
        </w:rPr>
        <w:t>7</w:t>
      </w:r>
      <w:r w:rsidRPr="00766374">
        <w:rPr>
          <w:rFonts w:hAnsi="標楷體" w:hint="eastAsia"/>
          <w:bCs w:val="0"/>
          <w:spacing w:val="-10"/>
          <w:kern w:val="0"/>
          <w:szCs w:val="32"/>
        </w:rPr>
        <w:t>年法官考績情形，</w:t>
      </w:r>
      <w:r w:rsidRPr="00766374">
        <w:rPr>
          <w:rFonts w:hAnsi="標楷體" w:hint="eastAsia"/>
          <w:bCs w:val="0"/>
          <w:szCs w:val="32"/>
        </w:rPr>
        <w:t>乙等比率最高，臺灣高院金門分院33.3%（</w:t>
      </w:r>
      <w:r w:rsidR="00DF331C" w:rsidRPr="00766374">
        <w:rPr>
          <w:rFonts w:hAnsi="標楷體"/>
          <w:bCs w:val="0"/>
          <w:szCs w:val="32"/>
        </w:rPr>
        <w:t>1</w:t>
      </w:r>
      <w:r w:rsidRPr="00766374">
        <w:rPr>
          <w:rFonts w:hAnsi="標楷體" w:hint="eastAsia"/>
          <w:bCs w:val="0"/>
          <w:szCs w:val="32"/>
        </w:rPr>
        <w:t>人乙等/3人總人數）;考乙等比率較低，臺灣高院臺南分院7.</w:t>
      </w:r>
      <w:r w:rsidRPr="00766374">
        <w:rPr>
          <w:rFonts w:hAnsi="標楷體"/>
          <w:bCs w:val="0"/>
          <w:szCs w:val="32"/>
        </w:rPr>
        <w:t>5</w:t>
      </w:r>
      <w:r w:rsidRPr="00766374">
        <w:rPr>
          <w:rFonts w:hAnsi="標楷體" w:hint="eastAsia"/>
          <w:bCs w:val="0"/>
          <w:szCs w:val="32"/>
        </w:rPr>
        <w:t>%（1人乙等/27人總人數）</w:t>
      </w:r>
      <w:r w:rsidRPr="00766374">
        <w:rPr>
          <w:rFonts w:hAnsi="標楷體" w:hint="eastAsia"/>
          <w:szCs w:val="32"/>
        </w:rPr>
        <w:t>；</w:t>
      </w:r>
      <w:r w:rsidRPr="00766374">
        <w:rPr>
          <w:rFonts w:hAnsi="標楷體" w:hint="eastAsia"/>
          <w:bCs w:val="0"/>
          <w:szCs w:val="32"/>
        </w:rPr>
        <w:t>考乙等之人數為0人，臺北高等行</w:t>
      </w:r>
      <w:r w:rsidRPr="00766374">
        <w:rPr>
          <w:rFonts w:hAnsi="標楷體" w:hint="eastAsia"/>
          <w:bCs w:val="0"/>
          <w:szCs w:val="32"/>
        </w:rPr>
        <w:lastRenderedPageBreak/>
        <w:t>政法院</w:t>
      </w:r>
      <w:r w:rsidRPr="00766374">
        <w:rPr>
          <w:rFonts w:hAnsi="標楷體"/>
          <w:bCs w:val="0"/>
          <w:szCs w:val="32"/>
        </w:rPr>
        <w:t>0</w:t>
      </w:r>
      <w:r w:rsidRPr="00766374">
        <w:rPr>
          <w:rFonts w:hAnsi="標楷體" w:hint="eastAsia"/>
          <w:bCs w:val="0"/>
          <w:szCs w:val="32"/>
        </w:rPr>
        <w:t>%（</w:t>
      </w:r>
      <w:r w:rsidRPr="00766374">
        <w:rPr>
          <w:rFonts w:hAnsi="標楷體"/>
          <w:bCs w:val="0"/>
          <w:szCs w:val="32"/>
        </w:rPr>
        <w:t>0</w:t>
      </w:r>
      <w:r w:rsidRPr="00766374">
        <w:rPr>
          <w:rFonts w:hAnsi="標楷體" w:hint="eastAsia"/>
          <w:bCs w:val="0"/>
          <w:szCs w:val="32"/>
        </w:rPr>
        <w:t>人乙等/2</w:t>
      </w:r>
      <w:r w:rsidRPr="00766374">
        <w:rPr>
          <w:rFonts w:hAnsi="標楷體"/>
          <w:bCs w:val="0"/>
          <w:szCs w:val="32"/>
        </w:rPr>
        <w:t>6</w:t>
      </w:r>
      <w:r w:rsidRPr="00766374">
        <w:rPr>
          <w:rFonts w:hAnsi="標楷體" w:hint="eastAsia"/>
          <w:bCs w:val="0"/>
          <w:szCs w:val="32"/>
        </w:rPr>
        <w:t>人總人數）、臺灣連江地方法院0%（0人乙等/</w:t>
      </w:r>
      <w:r w:rsidRPr="00766374">
        <w:rPr>
          <w:rFonts w:hAnsi="標楷體"/>
          <w:bCs w:val="0"/>
          <w:szCs w:val="32"/>
        </w:rPr>
        <w:t>1</w:t>
      </w:r>
      <w:r w:rsidRPr="00766374">
        <w:rPr>
          <w:rFonts w:hAnsi="標楷體" w:hint="eastAsia"/>
          <w:bCs w:val="0"/>
          <w:szCs w:val="32"/>
        </w:rPr>
        <w:t>人總人數）。</w:t>
      </w:r>
      <w:r w:rsidR="004135F9" w:rsidRPr="00766374">
        <w:rPr>
          <w:rFonts w:hAnsi="標楷體" w:hint="eastAsia"/>
          <w:bCs w:val="0"/>
          <w:szCs w:val="32"/>
        </w:rPr>
        <w:t>平均比率1</w:t>
      </w:r>
      <w:r w:rsidR="004135F9" w:rsidRPr="00766374">
        <w:rPr>
          <w:rFonts w:hAnsi="標楷體"/>
          <w:bCs w:val="0"/>
          <w:szCs w:val="32"/>
        </w:rPr>
        <w:t>0%</w:t>
      </w:r>
      <w:r w:rsidR="004135F9" w:rsidRPr="00766374">
        <w:rPr>
          <w:rFonts w:hAnsi="標楷體" w:hint="eastAsia"/>
          <w:bCs w:val="0"/>
          <w:szCs w:val="32"/>
        </w:rPr>
        <w:t>（</w:t>
      </w:r>
      <w:r w:rsidR="00E07859" w:rsidRPr="00766374">
        <w:rPr>
          <w:rFonts w:hAnsi="標楷體"/>
          <w:bCs w:val="0"/>
          <w:szCs w:val="32"/>
        </w:rPr>
        <w:t>158</w:t>
      </w:r>
      <w:r w:rsidR="004135F9" w:rsidRPr="00766374">
        <w:rPr>
          <w:rFonts w:hAnsi="標楷體" w:hint="eastAsia"/>
          <w:bCs w:val="0"/>
          <w:szCs w:val="32"/>
        </w:rPr>
        <w:t>人乙等/</w:t>
      </w:r>
      <w:r w:rsidR="00E07859" w:rsidRPr="00766374">
        <w:rPr>
          <w:rFonts w:hAnsi="標楷體"/>
          <w:szCs w:val="32"/>
        </w:rPr>
        <w:t>1,582</w:t>
      </w:r>
      <w:r w:rsidR="00E07859" w:rsidRPr="00766374">
        <w:rPr>
          <w:rFonts w:hAnsi="標楷體" w:hint="eastAsia"/>
          <w:szCs w:val="32"/>
        </w:rPr>
        <w:t>人總人數</w:t>
      </w:r>
      <w:r w:rsidR="004135F9" w:rsidRPr="00766374">
        <w:rPr>
          <w:rFonts w:hAnsi="標楷體" w:hint="eastAsia"/>
          <w:bCs w:val="0"/>
          <w:szCs w:val="32"/>
        </w:rPr>
        <w:t>）</w:t>
      </w:r>
      <w:r w:rsidR="00E07859" w:rsidRPr="00766374">
        <w:rPr>
          <w:rFonts w:hAnsi="標楷體" w:hint="eastAsia"/>
          <w:bCs w:val="0"/>
          <w:szCs w:val="32"/>
        </w:rPr>
        <w:t>。</w:t>
      </w:r>
    </w:p>
    <w:p w:rsidR="00EE47DD" w:rsidRPr="00766374" w:rsidRDefault="004D1C2E" w:rsidP="00EE47DD">
      <w:pPr>
        <w:pStyle w:val="5"/>
        <w:ind w:left="2042" w:hanging="851"/>
        <w:rPr>
          <w:rFonts w:hAnsi="標楷體"/>
          <w:szCs w:val="32"/>
        </w:rPr>
      </w:pPr>
      <w:r w:rsidRPr="00766374">
        <w:rPr>
          <w:rFonts w:hAnsi="標楷體" w:hint="eastAsia"/>
          <w:bCs w:val="0"/>
          <w:spacing w:val="-10"/>
          <w:kern w:val="0"/>
          <w:szCs w:val="32"/>
        </w:rPr>
        <w:t>9</w:t>
      </w:r>
      <w:r w:rsidRPr="00766374">
        <w:rPr>
          <w:rFonts w:hAnsi="標楷體"/>
          <w:bCs w:val="0"/>
          <w:spacing w:val="-10"/>
          <w:kern w:val="0"/>
          <w:szCs w:val="32"/>
        </w:rPr>
        <w:t>8</w:t>
      </w:r>
      <w:r w:rsidRPr="00766374">
        <w:rPr>
          <w:rFonts w:hAnsi="標楷體" w:hint="eastAsia"/>
          <w:bCs w:val="0"/>
          <w:spacing w:val="-10"/>
          <w:kern w:val="0"/>
          <w:szCs w:val="32"/>
        </w:rPr>
        <w:t>年法官考績情形，</w:t>
      </w:r>
      <w:r w:rsidRPr="00766374">
        <w:rPr>
          <w:rFonts w:hAnsi="標楷體" w:hint="eastAsia"/>
          <w:bCs w:val="0"/>
          <w:szCs w:val="32"/>
        </w:rPr>
        <w:t>乙等比率最高，臺灣金門地方法院20%（1人乙等/5人總人數）、臺灣澎湖地方法院20%（1人乙等/5人總人數）</w:t>
      </w:r>
      <w:r w:rsidRPr="00766374">
        <w:rPr>
          <w:rFonts w:hAnsi="標楷體" w:hint="eastAsia"/>
          <w:szCs w:val="32"/>
        </w:rPr>
        <w:t>；</w:t>
      </w:r>
      <w:r w:rsidRPr="00766374">
        <w:rPr>
          <w:rFonts w:hAnsi="標楷體" w:hint="eastAsia"/>
          <w:bCs w:val="0"/>
          <w:szCs w:val="32"/>
        </w:rPr>
        <w:t>考乙等比率較低，</w:t>
      </w:r>
      <w:r w:rsidR="004135F9" w:rsidRPr="00766374">
        <w:rPr>
          <w:rFonts w:hAnsi="標楷體" w:hint="eastAsia"/>
          <w:bCs w:val="0"/>
          <w:szCs w:val="32"/>
        </w:rPr>
        <w:t>最高</w:t>
      </w:r>
      <w:r w:rsidRPr="00766374">
        <w:rPr>
          <w:rFonts w:hAnsi="標楷體" w:hint="eastAsia"/>
          <w:bCs w:val="0"/>
          <w:szCs w:val="32"/>
        </w:rPr>
        <w:t>行政法院</w:t>
      </w:r>
      <w:r w:rsidR="004135F9" w:rsidRPr="00766374">
        <w:rPr>
          <w:rFonts w:hAnsi="標楷體"/>
          <w:bCs w:val="0"/>
          <w:szCs w:val="32"/>
        </w:rPr>
        <w:t>5</w:t>
      </w:r>
      <w:r w:rsidRPr="00766374">
        <w:rPr>
          <w:rFonts w:hAnsi="標楷體" w:hint="eastAsia"/>
          <w:bCs w:val="0"/>
          <w:szCs w:val="32"/>
        </w:rPr>
        <w:t>%（1人乙等/2</w:t>
      </w:r>
      <w:r w:rsidR="004135F9" w:rsidRPr="00766374">
        <w:rPr>
          <w:rFonts w:hAnsi="標楷體"/>
          <w:bCs w:val="0"/>
          <w:szCs w:val="32"/>
        </w:rPr>
        <w:t>0</w:t>
      </w:r>
      <w:r w:rsidRPr="00766374">
        <w:rPr>
          <w:rFonts w:hAnsi="標楷體" w:hint="eastAsia"/>
          <w:bCs w:val="0"/>
          <w:szCs w:val="32"/>
        </w:rPr>
        <w:t>人總人數）</w:t>
      </w:r>
      <w:r w:rsidRPr="00766374">
        <w:rPr>
          <w:rFonts w:hAnsi="標楷體" w:hint="eastAsia"/>
          <w:szCs w:val="32"/>
        </w:rPr>
        <w:t>；</w:t>
      </w:r>
      <w:r w:rsidRPr="00766374">
        <w:rPr>
          <w:rFonts w:hAnsi="標楷體" w:hint="eastAsia"/>
          <w:bCs w:val="0"/>
          <w:szCs w:val="32"/>
        </w:rPr>
        <w:t>考乙等之人數為0人，</w:t>
      </w:r>
      <w:r w:rsidR="004135F9" w:rsidRPr="00766374">
        <w:rPr>
          <w:rFonts w:hAnsi="標楷體" w:hint="eastAsia"/>
          <w:bCs w:val="0"/>
          <w:szCs w:val="32"/>
        </w:rPr>
        <w:t>臺灣高院金門分院0%（0人乙等/</w:t>
      </w:r>
      <w:r w:rsidR="004135F9" w:rsidRPr="00766374">
        <w:rPr>
          <w:rFonts w:hAnsi="標楷體"/>
          <w:bCs w:val="0"/>
          <w:szCs w:val="32"/>
        </w:rPr>
        <w:t>3</w:t>
      </w:r>
      <w:r w:rsidR="004135F9" w:rsidRPr="00766374">
        <w:rPr>
          <w:rFonts w:hAnsi="標楷體" w:hint="eastAsia"/>
          <w:bCs w:val="0"/>
          <w:szCs w:val="32"/>
        </w:rPr>
        <w:t>人總人數）。</w:t>
      </w:r>
      <w:r w:rsidR="00E07859" w:rsidRPr="00766374">
        <w:rPr>
          <w:rFonts w:hAnsi="標楷體" w:hint="eastAsia"/>
          <w:bCs w:val="0"/>
          <w:szCs w:val="32"/>
        </w:rPr>
        <w:t>平均比率</w:t>
      </w:r>
      <w:r w:rsidR="00E07859" w:rsidRPr="00766374">
        <w:rPr>
          <w:rFonts w:hAnsi="標楷體"/>
          <w:bCs w:val="0"/>
          <w:szCs w:val="32"/>
        </w:rPr>
        <w:t>9</w:t>
      </w:r>
      <w:r w:rsidR="00E07859" w:rsidRPr="00766374">
        <w:rPr>
          <w:rFonts w:hAnsi="標楷體" w:hint="eastAsia"/>
          <w:bCs w:val="0"/>
          <w:szCs w:val="32"/>
        </w:rPr>
        <w:t>.</w:t>
      </w:r>
      <w:r w:rsidR="00E07859" w:rsidRPr="00766374">
        <w:rPr>
          <w:rFonts w:hAnsi="標楷體"/>
          <w:bCs w:val="0"/>
          <w:szCs w:val="32"/>
        </w:rPr>
        <w:t>9</w:t>
      </w:r>
      <w:r w:rsidR="00E07859" w:rsidRPr="00766374">
        <w:rPr>
          <w:rFonts w:hAnsi="標楷體" w:hint="eastAsia"/>
          <w:bCs w:val="0"/>
          <w:szCs w:val="32"/>
        </w:rPr>
        <w:t>%（16</w:t>
      </w:r>
      <w:r w:rsidR="00E07859" w:rsidRPr="00766374">
        <w:rPr>
          <w:rFonts w:hAnsi="標楷體"/>
          <w:bCs w:val="0"/>
          <w:szCs w:val="32"/>
        </w:rPr>
        <w:t>5</w:t>
      </w:r>
      <w:r w:rsidR="00E07859" w:rsidRPr="00766374">
        <w:rPr>
          <w:rFonts w:hAnsi="標楷體" w:hint="eastAsia"/>
          <w:bCs w:val="0"/>
          <w:szCs w:val="32"/>
        </w:rPr>
        <w:t>人乙等/</w:t>
      </w:r>
      <w:r w:rsidR="00E07859" w:rsidRPr="00766374">
        <w:rPr>
          <w:rFonts w:hAnsi="標楷體"/>
          <w:szCs w:val="32"/>
        </w:rPr>
        <w:t>1,659</w:t>
      </w:r>
      <w:r w:rsidR="00E07859" w:rsidRPr="00766374">
        <w:rPr>
          <w:rFonts w:hAnsi="標楷體" w:hint="eastAsia"/>
          <w:szCs w:val="32"/>
        </w:rPr>
        <w:t>人總人數</w:t>
      </w:r>
      <w:r w:rsidR="00E07859" w:rsidRPr="00766374">
        <w:rPr>
          <w:rFonts w:hAnsi="標楷體" w:hint="eastAsia"/>
          <w:bCs w:val="0"/>
          <w:szCs w:val="32"/>
        </w:rPr>
        <w:t>）。</w:t>
      </w:r>
    </w:p>
    <w:p w:rsidR="00E07859" w:rsidRPr="00766374" w:rsidRDefault="00E07859" w:rsidP="00EE47DD">
      <w:pPr>
        <w:pStyle w:val="5"/>
        <w:ind w:left="2042" w:hanging="851"/>
        <w:rPr>
          <w:rFonts w:hAnsi="標楷體"/>
          <w:szCs w:val="32"/>
        </w:rPr>
      </w:pPr>
      <w:r w:rsidRPr="00766374">
        <w:rPr>
          <w:rFonts w:hAnsi="標楷體" w:hint="eastAsia"/>
          <w:bCs w:val="0"/>
          <w:spacing w:val="-10"/>
          <w:kern w:val="0"/>
          <w:szCs w:val="32"/>
        </w:rPr>
        <w:t>99年法官考績情形，</w:t>
      </w:r>
      <w:r w:rsidRPr="00766374">
        <w:rPr>
          <w:rFonts w:hAnsi="標楷體" w:hint="eastAsia"/>
          <w:bCs w:val="0"/>
          <w:szCs w:val="32"/>
        </w:rPr>
        <w:t>乙等比率最高，公務員懲戒委員會</w:t>
      </w:r>
      <w:r w:rsidRPr="00766374">
        <w:rPr>
          <w:rFonts w:hAnsi="標楷體"/>
          <w:bCs w:val="0"/>
          <w:szCs w:val="32"/>
        </w:rPr>
        <w:t>21</w:t>
      </w:r>
      <w:r w:rsidRPr="00766374">
        <w:rPr>
          <w:rFonts w:hAnsi="標楷體" w:hint="eastAsia"/>
          <w:bCs w:val="0"/>
          <w:szCs w:val="32"/>
        </w:rPr>
        <w:t>.</w:t>
      </w:r>
      <w:r w:rsidRPr="00766374">
        <w:rPr>
          <w:rFonts w:hAnsi="標楷體"/>
          <w:bCs w:val="0"/>
          <w:szCs w:val="32"/>
        </w:rPr>
        <w:t>4</w:t>
      </w:r>
      <w:r w:rsidRPr="00766374">
        <w:rPr>
          <w:rFonts w:hAnsi="標楷體" w:hint="eastAsia"/>
          <w:bCs w:val="0"/>
          <w:szCs w:val="32"/>
        </w:rPr>
        <w:t>%（</w:t>
      </w:r>
      <w:r w:rsidRPr="00766374">
        <w:rPr>
          <w:rFonts w:hAnsi="標楷體"/>
          <w:bCs w:val="0"/>
          <w:szCs w:val="32"/>
        </w:rPr>
        <w:t>3</w:t>
      </w:r>
      <w:r w:rsidRPr="00766374">
        <w:rPr>
          <w:rFonts w:hAnsi="標楷體" w:hint="eastAsia"/>
          <w:bCs w:val="0"/>
          <w:szCs w:val="32"/>
        </w:rPr>
        <w:t>人乙等/</w:t>
      </w:r>
      <w:r w:rsidRPr="00766374">
        <w:rPr>
          <w:rFonts w:hAnsi="標楷體"/>
          <w:bCs w:val="0"/>
          <w:szCs w:val="32"/>
        </w:rPr>
        <w:t>14</w:t>
      </w:r>
      <w:r w:rsidRPr="00766374">
        <w:rPr>
          <w:rFonts w:hAnsi="標楷體" w:hint="eastAsia"/>
          <w:bCs w:val="0"/>
          <w:szCs w:val="32"/>
        </w:rPr>
        <w:t>人總人數）</w:t>
      </w:r>
      <w:r w:rsidRPr="00766374">
        <w:rPr>
          <w:rFonts w:hAnsi="標楷體" w:hint="eastAsia"/>
          <w:szCs w:val="32"/>
        </w:rPr>
        <w:t>；</w:t>
      </w:r>
      <w:r w:rsidRPr="00766374">
        <w:rPr>
          <w:rFonts w:hAnsi="標楷體" w:hint="eastAsia"/>
          <w:bCs w:val="0"/>
          <w:szCs w:val="32"/>
        </w:rPr>
        <w:t>考乙等比率較低，臺灣雲林地方法院</w:t>
      </w:r>
      <w:r w:rsidRPr="00766374">
        <w:rPr>
          <w:rFonts w:hAnsi="標楷體"/>
          <w:bCs w:val="0"/>
          <w:szCs w:val="32"/>
        </w:rPr>
        <w:t>6</w:t>
      </w:r>
      <w:r w:rsidRPr="00766374">
        <w:rPr>
          <w:rFonts w:hAnsi="標楷體" w:hint="eastAsia"/>
          <w:bCs w:val="0"/>
          <w:szCs w:val="32"/>
        </w:rPr>
        <w:t>.</w:t>
      </w:r>
      <w:r w:rsidRPr="00766374">
        <w:rPr>
          <w:rFonts w:hAnsi="標楷體"/>
          <w:bCs w:val="0"/>
          <w:szCs w:val="32"/>
        </w:rPr>
        <w:t>9</w:t>
      </w:r>
      <w:r w:rsidRPr="00766374">
        <w:rPr>
          <w:rFonts w:hAnsi="標楷體" w:hint="eastAsia"/>
          <w:bCs w:val="0"/>
          <w:szCs w:val="32"/>
        </w:rPr>
        <w:t>%（</w:t>
      </w:r>
      <w:r w:rsidRPr="00766374">
        <w:rPr>
          <w:rFonts w:hAnsi="標楷體"/>
          <w:bCs w:val="0"/>
          <w:szCs w:val="32"/>
        </w:rPr>
        <w:t>2</w:t>
      </w:r>
      <w:r w:rsidRPr="00766374">
        <w:rPr>
          <w:rFonts w:hAnsi="標楷體" w:hint="eastAsia"/>
          <w:bCs w:val="0"/>
          <w:szCs w:val="32"/>
        </w:rPr>
        <w:t>人乙等/2</w:t>
      </w:r>
      <w:r w:rsidRPr="00766374">
        <w:rPr>
          <w:rFonts w:hAnsi="標楷體"/>
          <w:bCs w:val="0"/>
          <w:szCs w:val="32"/>
        </w:rPr>
        <w:t>9</w:t>
      </w:r>
      <w:r w:rsidRPr="00766374">
        <w:rPr>
          <w:rFonts w:hAnsi="標楷體" w:hint="eastAsia"/>
          <w:bCs w:val="0"/>
          <w:szCs w:val="32"/>
        </w:rPr>
        <w:t>人總人數）</w:t>
      </w:r>
      <w:r w:rsidRPr="00766374">
        <w:rPr>
          <w:rFonts w:hAnsi="標楷體" w:hint="eastAsia"/>
          <w:szCs w:val="32"/>
        </w:rPr>
        <w:t>；</w:t>
      </w:r>
      <w:r w:rsidRPr="00766374">
        <w:rPr>
          <w:rFonts w:hAnsi="標楷體" w:hint="eastAsia"/>
          <w:bCs w:val="0"/>
          <w:szCs w:val="32"/>
        </w:rPr>
        <w:t>考乙等之人數為0人，臺北高等行政法院0%（0人乙等/2</w:t>
      </w:r>
      <w:r w:rsidRPr="00766374">
        <w:rPr>
          <w:rFonts w:hAnsi="標楷體"/>
          <w:bCs w:val="0"/>
          <w:szCs w:val="32"/>
        </w:rPr>
        <w:t>5</w:t>
      </w:r>
      <w:r w:rsidRPr="00766374">
        <w:rPr>
          <w:rFonts w:hAnsi="標楷體" w:hint="eastAsia"/>
          <w:bCs w:val="0"/>
          <w:szCs w:val="32"/>
        </w:rPr>
        <w:t>人總人數）</w:t>
      </w:r>
      <w:r w:rsidR="005068F2" w:rsidRPr="00766374">
        <w:rPr>
          <w:rFonts w:hAnsi="標楷體" w:hint="eastAsia"/>
          <w:bCs w:val="0"/>
          <w:szCs w:val="32"/>
        </w:rPr>
        <w:t>、臺灣高院金門分院0%（0人乙等/3人總人數）、臺灣金門地方法院0%（</w:t>
      </w:r>
      <w:r w:rsidR="005068F2" w:rsidRPr="00766374">
        <w:rPr>
          <w:rFonts w:hAnsi="標楷體"/>
          <w:bCs w:val="0"/>
          <w:szCs w:val="32"/>
        </w:rPr>
        <w:t>0</w:t>
      </w:r>
      <w:r w:rsidR="005068F2" w:rsidRPr="00766374">
        <w:rPr>
          <w:rFonts w:hAnsi="標楷體" w:hint="eastAsia"/>
          <w:bCs w:val="0"/>
          <w:szCs w:val="32"/>
        </w:rPr>
        <w:t>人乙等/</w:t>
      </w:r>
      <w:r w:rsidR="005068F2" w:rsidRPr="00766374">
        <w:rPr>
          <w:rFonts w:hAnsi="標楷體"/>
          <w:bCs w:val="0"/>
          <w:szCs w:val="32"/>
        </w:rPr>
        <w:t>3</w:t>
      </w:r>
      <w:r w:rsidR="005068F2" w:rsidRPr="00766374">
        <w:rPr>
          <w:rFonts w:hAnsi="標楷體" w:hint="eastAsia"/>
          <w:bCs w:val="0"/>
          <w:szCs w:val="32"/>
        </w:rPr>
        <w:t>人總人數）、臺灣連江地方法院0%（0人乙等/1人總人數）</w:t>
      </w:r>
      <w:r w:rsidRPr="00766374">
        <w:rPr>
          <w:rFonts w:hAnsi="標楷體" w:hint="eastAsia"/>
          <w:bCs w:val="0"/>
          <w:szCs w:val="32"/>
        </w:rPr>
        <w:t>。平均比率</w:t>
      </w:r>
      <w:r w:rsidR="005068F2" w:rsidRPr="00766374">
        <w:rPr>
          <w:rFonts w:hAnsi="標楷體"/>
          <w:bCs w:val="0"/>
          <w:szCs w:val="32"/>
        </w:rPr>
        <w:t>10</w:t>
      </w:r>
      <w:r w:rsidRPr="00766374">
        <w:rPr>
          <w:rFonts w:hAnsi="標楷體" w:hint="eastAsia"/>
          <w:bCs w:val="0"/>
          <w:szCs w:val="32"/>
        </w:rPr>
        <w:t>.</w:t>
      </w:r>
      <w:r w:rsidR="005068F2" w:rsidRPr="00766374">
        <w:rPr>
          <w:rFonts w:hAnsi="標楷體"/>
          <w:bCs w:val="0"/>
          <w:szCs w:val="32"/>
        </w:rPr>
        <w:t>1</w:t>
      </w:r>
      <w:r w:rsidRPr="00766374">
        <w:rPr>
          <w:rFonts w:hAnsi="標楷體" w:hint="eastAsia"/>
          <w:bCs w:val="0"/>
          <w:szCs w:val="32"/>
        </w:rPr>
        <w:t>%（1</w:t>
      </w:r>
      <w:r w:rsidR="005068F2" w:rsidRPr="00766374">
        <w:rPr>
          <w:rFonts w:hAnsi="標楷體"/>
          <w:bCs w:val="0"/>
          <w:szCs w:val="32"/>
        </w:rPr>
        <w:t>71</w:t>
      </w:r>
      <w:r w:rsidRPr="00766374">
        <w:rPr>
          <w:rFonts w:hAnsi="標楷體" w:hint="eastAsia"/>
          <w:bCs w:val="0"/>
          <w:szCs w:val="32"/>
        </w:rPr>
        <w:t>人乙等/</w:t>
      </w:r>
      <w:r w:rsidRPr="00766374">
        <w:rPr>
          <w:rFonts w:hAnsi="標楷體"/>
          <w:szCs w:val="32"/>
        </w:rPr>
        <w:t>1,6</w:t>
      </w:r>
      <w:r w:rsidR="005068F2" w:rsidRPr="00766374">
        <w:rPr>
          <w:rFonts w:hAnsi="標楷體"/>
          <w:szCs w:val="32"/>
        </w:rPr>
        <w:t>92</w:t>
      </w:r>
      <w:r w:rsidRPr="00766374">
        <w:rPr>
          <w:rFonts w:hAnsi="標楷體" w:hint="eastAsia"/>
          <w:szCs w:val="32"/>
        </w:rPr>
        <w:t>人總人數</w:t>
      </w:r>
      <w:r w:rsidRPr="00766374">
        <w:rPr>
          <w:rFonts w:hAnsi="標楷體" w:hint="eastAsia"/>
          <w:bCs w:val="0"/>
          <w:szCs w:val="32"/>
        </w:rPr>
        <w:t>）。</w:t>
      </w:r>
    </w:p>
    <w:p w:rsidR="004C1277" w:rsidRPr="00766374" w:rsidRDefault="000E7ACC" w:rsidP="004C1277">
      <w:pPr>
        <w:pStyle w:val="4"/>
        <w:ind w:left="1701"/>
        <w:rPr>
          <w:rFonts w:hAnsi="標楷體"/>
          <w:szCs w:val="32"/>
        </w:rPr>
      </w:pPr>
      <w:r w:rsidRPr="00766374">
        <w:rPr>
          <w:rFonts w:hAnsi="標楷體" w:hint="eastAsia"/>
          <w:szCs w:val="32"/>
        </w:rPr>
        <w:t>查附表</w:t>
      </w:r>
      <w:r w:rsidR="005E0DD5" w:rsidRPr="00766374">
        <w:rPr>
          <w:rFonts w:hAnsi="標楷體" w:hint="eastAsia"/>
          <w:szCs w:val="32"/>
        </w:rPr>
        <w:t>二</w:t>
      </w:r>
      <w:r w:rsidRPr="00766374">
        <w:rPr>
          <w:rFonts w:hAnsi="標楷體" w:hint="eastAsia"/>
          <w:szCs w:val="32"/>
        </w:rPr>
        <w:t>，</w:t>
      </w:r>
      <w:r w:rsidRPr="00766374">
        <w:rPr>
          <w:rFonts w:hAnsi="標楷體" w:hint="eastAsia"/>
          <w:bCs/>
          <w:spacing w:val="-10"/>
          <w:kern w:val="0"/>
          <w:szCs w:val="32"/>
        </w:rPr>
        <w:t>100-103年法官考績表</w:t>
      </w:r>
      <w:r w:rsidR="00E07859" w:rsidRPr="00766374">
        <w:rPr>
          <w:rFonts w:hAnsi="標楷體" w:hint="eastAsia"/>
          <w:bCs/>
          <w:spacing w:val="-10"/>
          <w:kern w:val="0"/>
          <w:szCs w:val="32"/>
        </w:rPr>
        <w:t>：</w:t>
      </w:r>
    </w:p>
    <w:p w:rsidR="00E07859" w:rsidRPr="00766374" w:rsidRDefault="00E07859" w:rsidP="00E07859">
      <w:pPr>
        <w:pStyle w:val="5"/>
        <w:ind w:left="2042" w:hanging="851"/>
        <w:rPr>
          <w:szCs w:val="32"/>
        </w:rPr>
      </w:pPr>
      <w:r w:rsidRPr="00766374">
        <w:rPr>
          <w:rFonts w:hAnsi="標楷體" w:hint="eastAsia"/>
          <w:szCs w:val="32"/>
        </w:rPr>
        <w:t>100年</w:t>
      </w:r>
      <w:r w:rsidRPr="00766374">
        <w:rPr>
          <w:rFonts w:hAnsi="標楷體" w:hint="eastAsia"/>
          <w:bCs w:val="0"/>
          <w:spacing w:val="-10"/>
          <w:kern w:val="0"/>
          <w:szCs w:val="32"/>
        </w:rPr>
        <w:t>法官考績情形，</w:t>
      </w:r>
      <w:r w:rsidRPr="00766374">
        <w:rPr>
          <w:rFonts w:hAnsi="標楷體" w:hint="eastAsia"/>
          <w:bCs w:val="0"/>
          <w:szCs w:val="32"/>
        </w:rPr>
        <w:t>乙等比率最高，臺灣</w:t>
      </w:r>
      <w:r w:rsidR="00C26F6F" w:rsidRPr="00766374">
        <w:rPr>
          <w:rFonts w:hAnsi="標楷體" w:hint="eastAsia"/>
          <w:bCs w:val="0"/>
          <w:szCs w:val="32"/>
        </w:rPr>
        <w:t>澎湖</w:t>
      </w:r>
      <w:r w:rsidRPr="00766374">
        <w:rPr>
          <w:rFonts w:hAnsi="標楷體" w:hint="eastAsia"/>
          <w:bCs w:val="0"/>
          <w:szCs w:val="32"/>
        </w:rPr>
        <w:t>地方法院</w:t>
      </w:r>
      <w:r w:rsidR="00C26F6F" w:rsidRPr="00766374">
        <w:rPr>
          <w:rFonts w:hAnsi="標楷體"/>
          <w:bCs w:val="0"/>
          <w:szCs w:val="32"/>
        </w:rPr>
        <w:t>33</w:t>
      </w:r>
      <w:r w:rsidR="00C26F6F" w:rsidRPr="00766374">
        <w:rPr>
          <w:rFonts w:hAnsi="標楷體" w:hint="eastAsia"/>
          <w:bCs w:val="0"/>
          <w:szCs w:val="32"/>
        </w:rPr>
        <w:t>.</w:t>
      </w:r>
      <w:r w:rsidR="00C26F6F" w:rsidRPr="00766374">
        <w:rPr>
          <w:rFonts w:hAnsi="標楷體"/>
          <w:bCs w:val="0"/>
          <w:szCs w:val="32"/>
        </w:rPr>
        <w:t>3</w:t>
      </w:r>
      <w:r w:rsidRPr="00766374">
        <w:rPr>
          <w:rFonts w:hAnsi="標楷體" w:hint="eastAsia"/>
          <w:bCs w:val="0"/>
          <w:szCs w:val="32"/>
        </w:rPr>
        <w:t>%（1人乙等/</w:t>
      </w:r>
      <w:r w:rsidR="00C26F6F" w:rsidRPr="00766374">
        <w:rPr>
          <w:rFonts w:hAnsi="標楷體"/>
          <w:bCs w:val="0"/>
          <w:szCs w:val="32"/>
        </w:rPr>
        <w:t>3</w:t>
      </w:r>
      <w:r w:rsidRPr="00766374">
        <w:rPr>
          <w:rFonts w:hAnsi="標楷體" w:hint="eastAsia"/>
          <w:bCs w:val="0"/>
          <w:szCs w:val="32"/>
        </w:rPr>
        <w:t>人總人數）</w:t>
      </w:r>
      <w:r w:rsidRPr="00766374">
        <w:rPr>
          <w:rFonts w:hAnsi="標楷體" w:hint="eastAsia"/>
          <w:szCs w:val="32"/>
        </w:rPr>
        <w:t>；</w:t>
      </w:r>
      <w:r w:rsidRPr="00766374">
        <w:rPr>
          <w:rFonts w:hAnsi="標楷體" w:hint="eastAsia"/>
          <w:bCs w:val="0"/>
          <w:szCs w:val="32"/>
        </w:rPr>
        <w:t>考乙等比率較低，</w:t>
      </w:r>
      <w:r w:rsidR="00C26F6F" w:rsidRPr="00766374">
        <w:rPr>
          <w:rFonts w:hAnsi="標楷體" w:hint="eastAsia"/>
          <w:bCs w:val="0"/>
          <w:szCs w:val="32"/>
        </w:rPr>
        <w:t>臺灣苗栗</w:t>
      </w:r>
      <w:r w:rsidRPr="00766374">
        <w:rPr>
          <w:rFonts w:hAnsi="標楷體" w:hint="eastAsia"/>
          <w:bCs w:val="0"/>
          <w:szCs w:val="32"/>
        </w:rPr>
        <w:t>法院</w:t>
      </w:r>
      <w:r w:rsidR="00C26F6F" w:rsidRPr="00766374">
        <w:rPr>
          <w:rFonts w:hAnsi="標楷體"/>
          <w:bCs w:val="0"/>
          <w:szCs w:val="32"/>
        </w:rPr>
        <w:t>6</w:t>
      </w:r>
      <w:r w:rsidR="00C26F6F" w:rsidRPr="00766374">
        <w:rPr>
          <w:rFonts w:hAnsi="標楷體" w:hint="eastAsia"/>
          <w:bCs w:val="0"/>
          <w:szCs w:val="32"/>
        </w:rPr>
        <w:t>.</w:t>
      </w:r>
      <w:r w:rsidR="00C26F6F" w:rsidRPr="00766374">
        <w:rPr>
          <w:rFonts w:hAnsi="標楷體"/>
          <w:bCs w:val="0"/>
          <w:szCs w:val="32"/>
        </w:rPr>
        <w:t>9</w:t>
      </w:r>
      <w:r w:rsidRPr="00766374">
        <w:rPr>
          <w:rFonts w:hAnsi="標楷體" w:hint="eastAsia"/>
          <w:bCs w:val="0"/>
          <w:szCs w:val="32"/>
        </w:rPr>
        <w:t>%（</w:t>
      </w:r>
      <w:r w:rsidR="00C26F6F" w:rsidRPr="00766374">
        <w:rPr>
          <w:rFonts w:hAnsi="標楷體"/>
          <w:bCs w:val="0"/>
          <w:szCs w:val="32"/>
        </w:rPr>
        <w:t>2</w:t>
      </w:r>
      <w:r w:rsidRPr="00766374">
        <w:rPr>
          <w:rFonts w:hAnsi="標楷體" w:hint="eastAsia"/>
          <w:bCs w:val="0"/>
          <w:szCs w:val="32"/>
        </w:rPr>
        <w:t>人乙等/</w:t>
      </w:r>
      <w:r w:rsidR="00C26F6F" w:rsidRPr="00766374">
        <w:rPr>
          <w:rFonts w:hAnsi="標楷體"/>
          <w:bCs w:val="0"/>
          <w:szCs w:val="32"/>
        </w:rPr>
        <w:t>29</w:t>
      </w:r>
      <w:r w:rsidRPr="00766374">
        <w:rPr>
          <w:rFonts w:hAnsi="標楷體" w:hint="eastAsia"/>
          <w:bCs w:val="0"/>
          <w:szCs w:val="32"/>
        </w:rPr>
        <w:t>人總人數）</w:t>
      </w:r>
      <w:r w:rsidRPr="00766374">
        <w:rPr>
          <w:rFonts w:hAnsi="標楷體" w:hint="eastAsia"/>
          <w:szCs w:val="32"/>
        </w:rPr>
        <w:t>；</w:t>
      </w:r>
      <w:r w:rsidRPr="00766374">
        <w:rPr>
          <w:rFonts w:hAnsi="標楷體" w:hint="eastAsia"/>
          <w:bCs w:val="0"/>
          <w:szCs w:val="32"/>
        </w:rPr>
        <w:t>考乙等之人數為0人，</w:t>
      </w:r>
      <w:r w:rsidR="00C26F6F" w:rsidRPr="00766374">
        <w:rPr>
          <w:rFonts w:hAnsi="標楷體" w:hint="eastAsia"/>
          <w:bCs w:val="0"/>
          <w:szCs w:val="32"/>
        </w:rPr>
        <w:t>最高行政法院0%（0人乙等/2</w:t>
      </w:r>
      <w:r w:rsidR="00C26F6F" w:rsidRPr="00766374">
        <w:rPr>
          <w:rFonts w:hAnsi="標楷體"/>
          <w:bCs w:val="0"/>
          <w:szCs w:val="32"/>
        </w:rPr>
        <w:t>1</w:t>
      </w:r>
      <w:r w:rsidR="00C26F6F" w:rsidRPr="00766374">
        <w:rPr>
          <w:rFonts w:hAnsi="標楷體" w:hint="eastAsia"/>
          <w:bCs w:val="0"/>
          <w:szCs w:val="32"/>
        </w:rPr>
        <w:t>人總人數）、高雄高等行政法院0%（0人乙等/</w:t>
      </w:r>
      <w:r w:rsidR="00C26F6F" w:rsidRPr="00766374">
        <w:rPr>
          <w:rFonts w:hAnsi="標楷體"/>
          <w:bCs w:val="0"/>
          <w:szCs w:val="32"/>
        </w:rPr>
        <w:t>13</w:t>
      </w:r>
      <w:r w:rsidR="00C26F6F" w:rsidRPr="00766374">
        <w:rPr>
          <w:rFonts w:hAnsi="標楷體" w:hint="eastAsia"/>
          <w:bCs w:val="0"/>
          <w:szCs w:val="32"/>
        </w:rPr>
        <w:t>人總人數）、臺灣高院金門分院0%（0人乙等/</w:t>
      </w:r>
      <w:r w:rsidR="00C26F6F" w:rsidRPr="00766374">
        <w:rPr>
          <w:rFonts w:hAnsi="標楷體"/>
          <w:bCs w:val="0"/>
          <w:szCs w:val="32"/>
        </w:rPr>
        <w:t>4</w:t>
      </w:r>
      <w:r w:rsidR="00C26F6F" w:rsidRPr="00766374">
        <w:rPr>
          <w:rFonts w:hAnsi="標楷體" w:hint="eastAsia"/>
          <w:bCs w:val="0"/>
          <w:szCs w:val="32"/>
        </w:rPr>
        <w:t>人總人數）、臺灣金門地方法院0%（0人乙等/</w:t>
      </w:r>
      <w:r w:rsidR="00C26F6F" w:rsidRPr="00766374">
        <w:rPr>
          <w:rFonts w:hAnsi="標楷體"/>
          <w:bCs w:val="0"/>
          <w:szCs w:val="32"/>
        </w:rPr>
        <w:t>6</w:t>
      </w:r>
      <w:r w:rsidR="00C26F6F" w:rsidRPr="00766374">
        <w:rPr>
          <w:rFonts w:hAnsi="標楷體" w:hint="eastAsia"/>
          <w:bCs w:val="0"/>
          <w:szCs w:val="32"/>
        </w:rPr>
        <w:t>人總人數）、臺灣連江地方法院0%（0人乙等/1人總人數）、臺灣高雄少年法院0%（0人乙等/</w:t>
      </w:r>
      <w:r w:rsidR="00C26F6F" w:rsidRPr="00766374">
        <w:rPr>
          <w:rFonts w:hAnsi="標楷體"/>
          <w:bCs w:val="0"/>
          <w:szCs w:val="32"/>
        </w:rPr>
        <w:t>6</w:t>
      </w:r>
      <w:r w:rsidR="00C26F6F" w:rsidRPr="00766374">
        <w:rPr>
          <w:rFonts w:hAnsi="標楷體" w:hint="eastAsia"/>
          <w:bCs w:val="0"/>
          <w:szCs w:val="32"/>
        </w:rPr>
        <w:t>人總人數）</w:t>
      </w:r>
      <w:r w:rsidRPr="00766374">
        <w:rPr>
          <w:rFonts w:hAnsi="標楷體" w:hint="eastAsia"/>
          <w:bCs w:val="0"/>
          <w:szCs w:val="32"/>
        </w:rPr>
        <w:t>。平均比率9.9%（1</w:t>
      </w:r>
      <w:r w:rsidR="00C26F6F" w:rsidRPr="00766374">
        <w:rPr>
          <w:rFonts w:hAnsi="標楷體"/>
          <w:bCs w:val="0"/>
          <w:szCs w:val="32"/>
        </w:rPr>
        <w:t>74</w:t>
      </w:r>
      <w:r w:rsidRPr="00766374">
        <w:rPr>
          <w:rFonts w:hAnsi="標楷體" w:hint="eastAsia"/>
          <w:bCs w:val="0"/>
          <w:szCs w:val="32"/>
        </w:rPr>
        <w:lastRenderedPageBreak/>
        <w:t>人乙等/</w:t>
      </w:r>
      <w:r w:rsidRPr="00766374">
        <w:rPr>
          <w:rFonts w:hAnsi="標楷體"/>
          <w:szCs w:val="32"/>
        </w:rPr>
        <w:t>1,</w:t>
      </w:r>
      <w:r w:rsidR="00C26F6F" w:rsidRPr="00766374">
        <w:rPr>
          <w:rFonts w:hAnsi="標楷體"/>
          <w:szCs w:val="32"/>
        </w:rPr>
        <w:t>757</w:t>
      </w:r>
      <w:r w:rsidRPr="00766374">
        <w:rPr>
          <w:rFonts w:hAnsi="標楷體" w:hint="eastAsia"/>
          <w:szCs w:val="32"/>
        </w:rPr>
        <w:t>人總人數</w:t>
      </w:r>
      <w:r w:rsidRPr="00766374">
        <w:rPr>
          <w:rFonts w:hAnsi="標楷體" w:hint="eastAsia"/>
          <w:bCs w:val="0"/>
          <w:szCs w:val="32"/>
        </w:rPr>
        <w:t>）。</w:t>
      </w:r>
    </w:p>
    <w:p w:rsidR="00C26F6F" w:rsidRPr="00766374" w:rsidRDefault="00DC7372" w:rsidP="00E07859">
      <w:pPr>
        <w:pStyle w:val="5"/>
        <w:ind w:left="2042" w:hanging="851"/>
        <w:rPr>
          <w:szCs w:val="32"/>
        </w:rPr>
      </w:pPr>
      <w:r w:rsidRPr="00766374">
        <w:rPr>
          <w:rFonts w:hAnsi="標楷體" w:hint="eastAsia"/>
          <w:szCs w:val="32"/>
        </w:rPr>
        <w:t>10</w:t>
      </w:r>
      <w:r w:rsidRPr="00766374">
        <w:rPr>
          <w:rFonts w:hAnsi="標楷體"/>
          <w:szCs w:val="32"/>
        </w:rPr>
        <w:t>1</w:t>
      </w:r>
      <w:r w:rsidRPr="00766374">
        <w:rPr>
          <w:rFonts w:hAnsi="標楷體" w:hint="eastAsia"/>
          <w:szCs w:val="32"/>
        </w:rPr>
        <w:t>年</w:t>
      </w:r>
      <w:r w:rsidRPr="00766374">
        <w:rPr>
          <w:rFonts w:hAnsi="標楷體" w:hint="eastAsia"/>
          <w:bCs w:val="0"/>
          <w:spacing w:val="-10"/>
          <w:kern w:val="0"/>
          <w:szCs w:val="32"/>
        </w:rPr>
        <w:t>法官考績情形，未達良好</w:t>
      </w:r>
      <w:r w:rsidRPr="00766374">
        <w:rPr>
          <w:rFonts w:hAnsi="標楷體" w:hint="eastAsia"/>
          <w:bCs w:val="0"/>
          <w:szCs w:val="32"/>
        </w:rPr>
        <w:t>比率最高，最高法院</w:t>
      </w:r>
      <w:r w:rsidRPr="00766374">
        <w:rPr>
          <w:rFonts w:hAnsi="標楷體"/>
          <w:bCs w:val="0"/>
          <w:szCs w:val="32"/>
        </w:rPr>
        <w:t>18</w:t>
      </w:r>
      <w:r w:rsidRPr="00766374">
        <w:rPr>
          <w:rFonts w:hAnsi="標楷體" w:hint="eastAsia"/>
          <w:bCs w:val="0"/>
          <w:szCs w:val="32"/>
        </w:rPr>
        <w:t>.</w:t>
      </w:r>
      <w:r w:rsidRPr="00766374">
        <w:rPr>
          <w:rFonts w:hAnsi="標楷體"/>
          <w:bCs w:val="0"/>
          <w:szCs w:val="32"/>
        </w:rPr>
        <w:t>1</w:t>
      </w:r>
      <w:r w:rsidRPr="00766374">
        <w:rPr>
          <w:rFonts w:hAnsi="標楷體" w:hint="eastAsia"/>
          <w:bCs w:val="0"/>
          <w:szCs w:val="32"/>
        </w:rPr>
        <w:t>%（1</w:t>
      </w:r>
      <w:r w:rsidRPr="00766374">
        <w:rPr>
          <w:rFonts w:hAnsi="標楷體"/>
          <w:bCs w:val="0"/>
          <w:szCs w:val="32"/>
        </w:rPr>
        <w:t>5</w:t>
      </w:r>
      <w:r w:rsidRPr="00766374">
        <w:rPr>
          <w:rFonts w:hAnsi="標楷體" w:hint="eastAsia"/>
          <w:bCs w:val="0"/>
          <w:szCs w:val="32"/>
        </w:rPr>
        <w:t>人</w:t>
      </w:r>
      <w:r w:rsidRPr="00766374">
        <w:rPr>
          <w:rFonts w:hAnsi="標楷體" w:hint="eastAsia"/>
          <w:bCs w:val="0"/>
          <w:spacing w:val="-10"/>
          <w:kern w:val="0"/>
          <w:szCs w:val="32"/>
        </w:rPr>
        <w:t>未達良好</w:t>
      </w:r>
      <w:r w:rsidRPr="00766374">
        <w:rPr>
          <w:rFonts w:hAnsi="標楷體" w:hint="eastAsia"/>
          <w:bCs w:val="0"/>
          <w:szCs w:val="32"/>
        </w:rPr>
        <w:t>/</w:t>
      </w:r>
      <w:r w:rsidRPr="00766374">
        <w:rPr>
          <w:rFonts w:hAnsi="標楷體"/>
          <w:bCs w:val="0"/>
          <w:szCs w:val="32"/>
        </w:rPr>
        <w:t>8</w:t>
      </w:r>
      <w:r w:rsidRPr="00766374">
        <w:rPr>
          <w:rFonts w:hAnsi="標楷體" w:hint="eastAsia"/>
          <w:bCs w:val="0"/>
          <w:szCs w:val="32"/>
        </w:rPr>
        <w:t>3人總人數）</w:t>
      </w:r>
      <w:r w:rsidRPr="00766374">
        <w:rPr>
          <w:rFonts w:hAnsi="標楷體" w:hint="eastAsia"/>
          <w:szCs w:val="32"/>
        </w:rPr>
        <w:t>；</w:t>
      </w:r>
      <w:r w:rsidRPr="00766374">
        <w:rPr>
          <w:rFonts w:hAnsi="標楷體" w:hint="eastAsia"/>
          <w:bCs w:val="0"/>
          <w:spacing w:val="-10"/>
          <w:kern w:val="0"/>
          <w:szCs w:val="32"/>
        </w:rPr>
        <w:t>未達良好</w:t>
      </w:r>
      <w:r w:rsidRPr="00766374">
        <w:rPr>
          <w:rFonts w:hAnsi="標楷體" w:hint="eastAsia"/>
          <w:bCs w:val="0"/>
          <w:szCs w:val="32"/>
        </w:rPr>
        <w:t>比率較低，臺灣臺中地方法院</w:t>
      </w:r>
      <w:r w:rsidRPr="00766374">
        <w:rPr>
          <w:rFonts w:hAnsi="標楷體"/>
          <w:bCs w:val="0"/>
          <w:szCs w:val="32"/>
        </w:rPr>
        <w:t>0</w:t>
      </w:r>
      <w:r w:rsidRPr="00766374">
        <w:rPr>
          <w:rFonts w:hAnsi="標楷體" w:hint="eastAsia"/>
          <w:bCs w:val="0"/>
          <w:szCs w:val="32"/>
        </w:rPr>
        <w:t>.</w:t>
      </w:r>
      <w:r w:rsidRPr="00766374">
        <w:rPr>
          <w:rFonts w:hAnsi="標楷體"/>
          <w:bCs w:val="0"/>
          <w:szCs w:val="32"/>
        </w:rPr>
        <w:t>7</w:t>
      </w:r>
      <w:r w:rsidRPr="00766374">
        <w:rPr>
          <w:rFonts w:hAnsi="標楷體" w:hint="eastAsia"/>
          <w:bCs w:val="0"/>
          <w:szCs w:val="32"/>
        </w:rPr>
        <w:t>%（</w:t>
      </w:r>
      <w:r w:rsidRPr="00766374">
        <w:rPr>
          <w:rFonts w:hAnsi="標楷體"/>
          <w:bCs w:val="0"/>
          <w:szCs w:val="32"/>
        </w:rPr>
        <w:t>1</w:t>
      </w:r>
      <w:r w:rsidRPr="00766374">
        <w:rPr>
          <w:rFonts w:hAnsi="標楷體" w:hint="eastAsia"/>
          <w:bCs w:val="0"/>
          <w:szCs w:val="32"/>
        </w:rPr>
        <w:t>人</w:t>
      </w:r>
      <w:r w:rsidRPr="00766374">
        <w:rPr>
          <w:rFonts w:hAnsi="標楷體" w:hint="eastAsia"/>
          <w:bCs w:val="0"/>
          <w:spacing w:val="-10"/>
          <w:kern w:val="0"/>
          <w:szCs w:val="32"/>
        </w:rPr>
        <w:t>未達良好</w:t>
      </w:r>
      <w:r w:rsidRPr="00766374">
        <w:rPr>
          <w:rFonts w:hAnsi="標楷體" w:hint="eastAsia"/>
          <w:bCs w:val="0"/>
          <w:szCs w:val="32"/>
        </w:rPr>
        <w:t>/</w:t>
      </w:r>
      <w:r w:rsidRPr="00766374">
        <w:rPr>
          <w:rFonts w:hAnsi="標楷體"/>
          <w:bCs w:val="0"/>
          <w:szCs w:val="32"/>
        </w:rPr>
        <w:t>137</w:t>
      </w:r>
      <w:r w:rsidRPr="00766374">
        <w:rPr>
          <w:rFonts w:hAnsi="標楷體" w:hint="eastAsia"/>
          <w:bCs w:val="0"/>
          <w:szCs w:val="32"/>
        </w:rPr>
        <w:t>人總人數）、臺灣高雄地方法院0.7%（1人</w:t>
      </w:r>
      <w:r w:rsidRPr="00766374">
        <w:rPr>
          <w:rFonts w:hAnsi="標楷體" w:hint="eastAsia"/>
          <w:bCs w:val="0"/>
          <w:spacing w:val="-10"/>
          <w:kern w:val="0"/>
          <w:szCs w:val="32"/>
        </w:rPr>
        <w:t>未達良好</w:t>
      </w:r>
      <w:r w:rsidRPr="00766374">
        <w:rPr>
          <w:rFonts w:hAnsi="標楷體" w:hint="eastAsia"/>
          <w:bCs w:val="0"/>
          <w:szCs w:val="32"/>
        </w:rPr>
        <w:t>/138人總人數）</w:t>
      </w:r>
      <w:r w:rsidRPr="00766374">
        <w:rPr>
          <w:rFonts w:hAnsi="標楷體" w:hint="eastAsia"/>
          <w:szCs w:val="32"/>
        </w:rPr>
        <w:t>；</w:t>
      </w:r>
      <w:r w:rsidRPr="00766374">
        <w:rPr>
          <w:rFonts w:hAnsi="標楷體" w:hint="eastAsia"/>
          <w:bCs w:val="0"/>
          <w:spacing w:val="-10"/>
          <w:kern w:val="0"/>
          <w:szCs w:val="32"/>
        </w:rPr>
        <w:t>未達良好</w:t>
      </w:r>
      <w:r w:rsidRPr="00766374">
        <w:rPr>
          <w:rFonts w:hAnsi="標楷體" w:hint="eastAsia"/>
          <w:bCs w:val="0"/>
          <w:szCs w:val="32"/>
        </w:rPr>
        <w:t>之人數為0人，最高行政法院0%（0人</w:t>
      </w:r>
      <w:r w:rsidR="008E3CD8" w:rsidRPr="00766374">
        <w:rPr>
          <w:rFonts w:hAnsi="標楷體" w:hint="eastAsia"/>
          <w:bCs w:val="0"/>
          <w:spacing w:val="-10"/>
          <w:kern w:val="0"/>
          <w:szCs w:val="32"/>
        </w:rPr>
        <w:t>未達良好</w:t>
      </w:r>
      <w:r w:rsidRPr="00766374">
        <w:rPr>
          <w:rFonts w:hAnsi="標楷體" w:hint="eastAsia"/>
          <w:bCs w:val="0"/>
          <w:szCs w:val="32"/>
        </w:rPr>
        <w:t>/21人總人數）等20法院。平均比率</w:t>
      </w:r>
      <w:r w:rsidRPr="00766374">
        <w:rPr>
          <w:rFonts w:hAnsi="標楷體"/>
          <w:bCs w:val="0"/>
          <w:szCs w:val="32"/>
        </w:rPr>
        <w:t>2</w:t>
      </w:r>
      <w:r w:rsidRPr="00766374">
        <w:rPr>
          <w:rFonts w:hAnsi="標楷體" w:hint="eastAsia"/>
          <w:bCs w:val="0"/>
          <w:szCs w:val="32"/>
        </w:rPr>
        <w:t>.</w:t>
      </w:r>
      <w:r w:rsidRPr="00766374">
        <w:rPr>
          <w:rFonts w:hAnsi="標楷體"/>
          <w:bCs w:val="0"/>
          <w:szCs w:val="32"/>
        </w:rPr>
        <w:t>3</w:t>
      </w:r>
      <w:r w:rsidRPr="00766374">
        <w:rPr>
          <w:rFonts w:hAnsi="標楷體" w:hint="eastAsia"/>
          <w:bCs w:val="0"/>
          <w:szCs w:val="32"/>
        </w:rPr>
        <w:t>%（</w:t>
      </w:r>
      <w:r w:rsidRPr="00766374">
        <w:rPr>
          <w:rFonts w:hAnsi="標楷體"/>
          <w:bCs w:val="0"/>
          <w:szCs w:val="32"/>
        </w:rPr>
        <w:t>42</w:t>
      </w:r>
      <w:r w:rsidRPr="00766374">
        <w:rPr>
          <w:rFonts w:hAnsi="標楷體" w:hint="eastAsia"/>
          <w:bCs w:val="0"/>
          <w:szCs w:val="32"/>
        </w:rPr>
        <w:t>人</w:t>
      </w:r>
      <w:r w:rsidRPr="00766374">
        <w:rPr>
          <w:rFonts w:hAnsi="標楷體" w:hint="eastAsia"/>
          <w:bCs w:val="0"/>
          <w:spacing w:val="-10"/>
          <w:kern w:val="0"/>
          <w:szCs w:val="32"/>
        </w:rPr>
        <w:t>未達良好</w:t>
      </w:r>
      <w:r w:rsidRPr="00766374">
        <w:rPr>
          <w:rFonts w:hAnsi="標楷體" w:hint="eastAsia"/>
          <w:bCs w:val="0"/>
          <w:szCs w:val="32"/>
        </w:rPr>
        <w:t>/</w:t>
      </w:r>
      <w:r w:rsidRPr="00766374">
        <w:rPr>
          <w:rFonts w:hAnsi="標楷體" w:hint="eastAsia"/>
          <w:szCs w:val="32"/>
        </w:rPr>
        <w:t>1,</w:t>
      </w:r>
      <w:r w:rsidRPr="00766374">
        <w:rPr>
          <w:rFonts w:hAnsi="標楷體"/>
          <w:szCs w:val="32"/>
        </w:rPr>
        <w:t>836</w:t>
      </w:r>
      <w:r w:rsidRPr="00766374">
        <w:rPr>
          <w:rFonts w:hAnsi="標楷體" w:hint="eastAsia"/>
          <w:szCs w:val="32"/>
        </w:rPr>
        <w:t>人總人數</w:t>
      </w:r>
      <w:r w:rsidRPr="00766374">
        <w:rPr>
          <w:rFonts w:hAnsi="標楷體" w:hint="eastAsia"/>
          <w:bCs w:val="0"/>
          <w:szCs w:val="32"/>
        </w:rPr>
        <w:t>）。</w:t>
      </w:r>
    </w:p>
    <w:p w:rsidR="005E1C1E" w:rsidRPr="00766374" w:rsidRDefault="005E1C1E" w:rsidP="00E07859">
      <w:pPr>
        <w:pStyle w:val="5"/>
        <w:ind w:left="2042" w:hanging="851"/>
        <w:rPr>
          <w:szCs w:val="32"/>
        </w:rPr>
      </w:pPr>
      <w:r w:rsidRPr="00766374">
        <w:rPr>
          <w:rFonts w:hAnsi="標楷體" w:hint="eastAsia"/>
          <w:szCs w:val="32"/>
        </w:rPr>
        <w:t>10</w:t>
      </w:r>
      <w:r w:rsidRPr="00766374">
        <w:rPr>
          <w:rFonts w:hAnsi="標楷體"/>
          <w:szCs w:val="32"/>
        </w:rPr>
        <w:t>2</w:t>
      </w:r>
      <w:r w:rsidRPr="00766374">
        <w:rPr>
          <w:rFonts w:hAnsi="標楷體" w:hint="eastAsia"/>
          <w:szCs w:val="32"/>
        </w:rPr>
        <w:t>年</w:t>
      </w:r>
      <w:r w:rsidRPr="00766374">
        <w:rPr>
          <w:rFonts w:hAnsi="標楷體" w:hint="eastAsia"/>
          <w:bCs w:val="0"/>
          <w:spacing w:val="-10"/>
          <w:kern w:val="0"/>
          <w:szCs w:val="32"/>
        </w:rPr>
        <w:t>法官考績情形，未達良好</w:t>
      </w:r>
      <w:r w:rsidRPr="00766374">
        <w:rPr>
          <w:rFonts w:hAnsi="標楷體" w:hint="eastAsia"/>
          <w:bCs w:val="0"/>
          <w:szCs w:val="32"/>
        </w:rPr>
        <w:t>比率最高，最高法院</w:t>
      </w:r>
      <w:r w:rsidRPr="00766374">
        <w:rPr>
          <w:rFonts w:hAnsi="標楷體"/>
          <w:bCs w:val="0"/>
          <w:szCs w:val="32"/>
        </w:rPr>
        <w:t>23</w:t>
      </w:r>
      <w:r w:rsidRPr="00766374">
        <w:rPr>
          <w:rFonts w:hAnsi="標楷體" w:hint="eastAsia"/>
          <w:bCs w:val="0"/>
          <w:szCs w:val="32"/>
        </w:rPr>
        <w:t>.</w:t>
      </w:r>
      <w:r w:rsidRPr="00766374">
        <w:rPr>
          <w:rFonts w:hAnsi="標楷體"/>
          <w:bCs w:val="0"/>
          <w:szCs w:val="32"/>
        </w:rPr>
        <w:t>5</w:t>
      </w:r>
      <w:r w:rsidRPr="00766374">
        <w:rPr>
          <w:rFonts w:hAnsi="標楷體" w:hint="eastAsia"/>
          <w:bCs w:val="0"/>
          <w:szCs w:val="32"/>
        </w:rPr>
        <w:t>%（1</w:t>
      </w:r>
      <w:r w:rsidRPr="00766374">
        <w:rPr>
          <w:rFonts w:hAnsi="標楷體"/>
          <w:bCs w:val="0"/>
          <w:szCs w:val="32"/>
        </w:rPr>
        <w:t>9</w:t>
      </w:r>
      <w:r w:rsidRPr="00766374">
        <w:rPr>
          <w:rFonts w:hAnsi="標楷體" w:hint="eastAsia"/>
          <w:bCs w:val="0"/>
          <w:szCs w:val="32"/>
        </w:rPr>
        <w:t>人</w:t>
      </w:r>
      <w:r w:rsidRPr="00766374">
        <w:rPr>
          <w:rFonts w:hAnsi="標楷體" w:hint="eastAsia"/>
          <w:bCs w:val="0"/>
          <w:spacing w:val="-10"/>
          <w:kern w:val="0"/>
          <w:szCs w:val="32"/>
        </w:rPr>
        <w:t>未達良好</w:t>
      </w:r>
      <w:r w:rsidRPr="00766374">
        <w:rPr>
          <w:rFonts w:hAnsi="標楷體" w:hint="eastAsia"/>
          <w:bCs w:val="0"/>
          <w:szCs w:val="32"/>
        </w:rPr>
        <w:t>/8</w:t>
      </w:r>
      <w:r w:rsidRPr="00766374">
        <w:rPr>
          <w:rFonts w:hAnsi="標楷體"/>
          <w:bCs w:val="0"/>
          <w:szCs w:val="32"/>
        </w:rPr>
        <w:t>1</w:t>
      </w:r>
      <w:r w:rsidRPr="00766374">
        <w:rPr>
          <w:rFonts w:hAnsi="標楷體" w:hint="eastAsia"/>
          <w:bCs w:val="0"/>
          <w:szCs w:val="32"/>
        </w:rPr>
        <w:t>人總人數）</w:t>
      </w:r>
      <w:r w:rsidRPr="00766374">
        <w:rPr>
          <w:rFonts w:hAnsi="標楷體" w:hint="eastAsia"/>
          <w:szCs w:val="32"/>
        </w:rPr>
        <w:t>；</w:t>
      </w:r>
      <w:r w:rsidRPr="00766374">
        <w:rPr>
          <w:rFonts w:hAnsi="標楷體" w:hint="eastAsia"/>
          <w:bCs w:val="0"/>
          <w:spacing w:val="-10"/>
          <w:kern w:val="0"/>
          <w:szCs w:val="32"/>
        </w:rPr>
        <w:t>未達良好</w:t>
      </w:r>
      <w:r w:rsidRPr="00766374">
        <w:rPr>
          <w:rFonts w:hAnsi="標楷體" w:hint="eastAsia"/>
          <w:bCs w:val="0"/>
          <w:szCs w:val="32"/>
        </w:rPr>
        <w:t>比率較低，臺灣高院臺中分院</w:t>
      </w:r>
      <w:r w:rsidRPr="00766374">
        <w:rPr>
          <w:rFonts w:hAnsi="標楷體"/>
          <w:bCs w:val="0"/>
          <w:szCs w:val="32"/>
        </w:rPr>
        <w:t>1</w:t>
      </w:r>
      <w:r w:rsidRPr="00766374">
        <w:rPr>
          <w:rFonts w:hAnsi="標楷體" w:hint="eastAsia"/>
          <w:bCs w:val="0"/>
          <w:szCs w:val="32"/>
        </w:rPr>
        <w:t>%（1人</w:t>
      </w:r>
      <w:r w:rsidRPr="00766374">
        <w:rPr>
          <w:rFonts w:hAnsi="標楷體" w:hint="eastAsia"/>
          <w:bCs w:val="0"/>
          <w:spacing w:val="-10"/>
          <w:kern w:val="0"/>
          <w:szCs w:val="32"/>
        </w:rPr>
        <w:t>未達良好</w:t>
      </w:r>
      <w:r w:rsidRPr="00766374">
        <w:rPr>
          <w:rFonts w:hAnsi="標楷體" w:hint="eastAsia"/>
          <w:bCs w:val="0"/>
          <w:szCs w:val="32"/>
        </w:rPr>
        <w:t>/</w:t>
      </w:r>
      <w:r w:rsidRPr="00766374">
        <w:rPr>
          <w:rFonts w:hAnsi="標楷體"/>
          <w:bCs w:val="0"/>
          <w:szCs w:val="32"/>
        </w:rPr>
        <w:t>96</w:t>
      </w:r>
      <w:r w:rsidRPr="00766374">
        <w:rPr>
          <w:rFonts w:hAnsi="標楷體" w:hint="eastAsia"/>
          <w:bCs w:val="0"/>
          <w:szCs w:val="32"/>
        </w:rPr>
        <w:t>人總人數）、臺灣臺南地方法院</w:t>
      </w:r>
      <w:r w:rsidRPr="00766374">
        <w:rPr>
          <w:rFonts w:hAnsi="標楷體"/>
          <w:bCs w:val="0"/>
          <w:szCs w:val="32"/>
        </w:rPr>
        <w:t>1</w:t>
      </w:r>
      <w:r w:rsidRPr="00766374">
        <w:rPr>
          <w:rFonts w:hAnsi="標楷體" w:hint="eastAsia"/>
          <w:bCs w:val="0"/>
          <w:szCs w:val="32"/>
        </w:rPr>
        <w:t>%（1人</w:t>
      </w:r>
      <w:r w:rsidRPr="00766374">
        <w:rPr>
          <w:rFonts w:hAnsi="標楷體" w:hint="eastAsia"/>
          <w:bCs w:val="0"/>
          <w:spacing w:val="-10"/>
          <w:kern w:val="0"/>
          <w:szCs w:val="32"/>
        </w:rPr>
        <w:t>未達良好</w:t>
      </w:r>
      <w:r w:rsidRPr="00766374">
        <w:rPr>
          <w:rFonts w:hAnsi="標楷體" w:hint="eastAsia"/>
          <w:bCs w:val="0"/>
          <w:szCs w:val="32"/>
        </w:rPr>
        <w:t>/</w:t>
      </w:r>
      <w:r w:rsidRPr="00766374">
        <w:rPr>
          <w:rFonts w:hAnsi="標楷體"/>
          <w:bCs w:val="0"/>
          <w:szCs w:val="32"/>
        </w:rPr>
        <w:t>96</w:t>
      </w:r>
      <w:r w:rsidRPr="00766374">
        <w:rPr>
          <w:rFonts w:hAnsi="標楷體" w:hint="eastAsia"/>
          <w:bCs w:val="0"/>
          <w:szCs w:val="32"/>
        </w:rPr>
        <w:t>人總人數）</w:t>
      </w:r>
      <w:r w:rsidRPr="00766374">
        <w:rPr>
          <w:rFonts w:hAnsi="標楷體" w:hint="eastAsia"/>
          <w:szCs w:val="32"/>
        </w:rPr>
        <w:t>；</w:t>
      </w:r>
      <w:r w:rsidRPr="00766374">
        <w:rPr>
          <w:rFonts w:hAnsi="標楷體" w:hint="eastAsia"/>
          <w:bCs w:val="0"/>
          <w:spacing w:val="-10"/>
          <w:kern w:val="0"/>
          <w:szCs w:val="32"/>
        </w:rPr>
        <w:t>未達良好</w:t>
      </w:r>
      <w:r w:rsidRPr="00766374">
        <w:rPr>
          <w:rFonts w:hAnsi="標楷體" w:hint="eastAsia"/>
          <w:bCs w:val="0"/>
          <w:szCs w:val="32"/>
        </w:rPr>
        <w:t>之人數為0人，最高行政法院0%（0人</w:t>
      </w:r>
      <w:r w:rsidR="008E3CD8" w:rsidRPr="00766374">
        <w:rPr>
          <w:rFonts w:hAnsi="標楷體" w:hint="eastAsia"/>
          <w:bCs w:val="0"/>
          <w:spacing w:val="-10"/>
          <w:kern w:val="0"/>
          <w:szCs w:val="32"/>
        </w:rPr>
        <w:t>未達良好</w:t>
      </w:r>
      <w:r w:rsidRPr="00766374">
        <w:rPr>
          <w:rFonts w:hAnsi="標楷體" w:hint="eastAsia"/>
          <w:bCs w:val="0"/>
          <w:szCs w:val="32"/>
        </w:rPr>
        <w:t>/2</w:t>
      </w:r>
      <w:r w:rsidRPr="00766374">
        <w:rPr>
          <w:rFonts w:hAnsi="標楷體"/>
          <w:bCs w:val="0"/>
          <w:szCs w:val="32"/>
        </w:rPr>
        <w:t>2</w:t>
      </w:r>
      <w:r w:rsidRPr="00766374">
        <w:rPr>
          <w:rFonts w:hAnsi="標楷體" w:hint="eastAsia"/>
          <w:bCs w:val="0"/>
          <w:szCs w:val="32"/>
        </w:rPr>
        <w:t>人總人數）等2</w:t>
      </w:r>
      <w:r w:rsidRPr="00766374">
        <w:rPr>
          <w:rFonts w:hAnsi="標楷體"/>
          <w:bCs w:val="0"/>
          <w:szCs w:val="32"/>
        </w:rPr>
        <w:t>1</w:t>
      </w:r>
      <w:r w:rsidRPr="00766374">
        <w:rPr>
          <w:rFonts w:hAnsi="標楷體" w:hint="eastAsia"/>
          <w:bCs w:val="0"/>
          <w:szCs w:val="32"/>
        </w:rPr>
        <w:t>法院。平均比率2.</w:t>
      </w:r>
      <w:r w:rsidRPr="00766374">
        <w:rPr>
          <w:rFonts w:hAnsi="標楷體"/>
          <w:bCs w:val="0"/>
          <w:szCs w:val="32"/>
        </w:rPr>
        <w:t>7</w:t>
      </w:r>
      <w:r w:rsidRPr="00766374">
        <w:rPr>
          <w:rFonts w:hAnsi="標楷體" w:hint="eastAsia"/>
          <w:bCs w:val="0"/>
          <w:szCs w:val="32"/>
        </w:rPr>
        <w:t>%（</w:t>
      </w:r>
      <w:r w:rsidRPr="00766374">
        <w:rPr>
          <w:rFonts w:hAnsi="標楷體"/>
          <w:bCs w:val="0"/>
          <w:szCs w:val="32"/>
        </w:rPr>
        <w:t>51</w:t>
      </w:r>
      <w:r w:rsidRPr="00766374">
        <w:rPr>
          <w:rFonts w:hAnsi="標楷體" w:hint="eastAsia"/>
          <w:bCs w:val="0"/>
          <w:szCs w:val="32"/>
        </w:rPr>
        <w:t>人</w:t>
      </w:r>
      <w:r w:rsidRPr="00766374">
        <w:rPr>
          <w:rFonts w:hAnsi="標楷體" w:hint="eastAsia"/>
          <w:bCs w:val="0"/>
          <w:spacing w:val="-10"/>
          <w:kern w:val="0"/>
          <w:szCs w:val="32"/>
        </w:rPr>
        <w:t>未達良好</w:t>
      </w:r>
      <w:r w:rsidRPr="00766374">
        <w:rPr>
          <w:rFonts w:hAnsi="標楷體" w:hint="eastAsia"/>
          <w:bCs w:val="0"/>
          <w:szCs w:val="32"/>
        </w:rPr>
        <w:t>/</w:t>
      </w:r>
      <w:r w:rsidRPr="00766374">
        <w:rPr>
          <w:rFonts w:hAnsi="標楷體" w:hint="eastAsia"/>
          <w:szCs w:val="32"/>
        </w:rPr>
        <w:t>1,</w:t>
      </w:r>
      <w:r w:rsidRPr="00766374">
        <w:rPr>
          <w:rFonts w:hAnsi="標楷體"/>
          <w:szCs w:val="32"/>
        </w:rPr>
        <w:t>919</w:t>
      </w:r>
      <w:r w:rsidRPr="00766374">
        <w:rPr>
          <w:rFonts w:hAnsi="標楷體" w:hint="eastAsia"/>
          <w:szCs w:val="32"/>
        </w:rPr>
        <w:t>人總人數</w:t>
      </w:r>
      <w:r w:rsidRPr="00766374">
        <w:rPr>
          <w:rFonts w:hAnsi="標楷體" w:hint="eastAsia"/>
          <w:bCs w:val="0"/>
          <w:szCs w:val="32"/>
        </w:rPr>
        <w:t>）。</w:t>
      </w:r>
    </w:p>
    <w:p w:rsidR="005E1C1E" w:rsidRPr="00766374" w:rsidRDefault="005E1C1E" w:rsidP="00E07859">
      <w:pPr>
        <w:pStyle w:val="5"/>
        <w:ind w:left="2042" w:hanging="851"/>
        <w:rPr>
          <w:szCs w:val="32"/>
        </w:rPr>
      </w:pPr>
      <w:r w:rsidRPr="00766374">
        <w:rPr>
          <w:rFonts w:hAnsi="標楷體" w:hint="eastAsia"/>
          <w:szCs w:val="32"/>
        </w:rPr>
        <w:t>10</w:t>
      </w:r>
      <w:r w:rsidRPr="00766374">
        <w:rPr>
          <w:rFonts w:hAnsi="標楷體"/>
          <w:szCs w:val="32"/>
        </w:rPr>
        <w:t>3</w:t>
      </w:r>
      <w:r w:rsidRPr="00766374">
        <w:rPr>
          <w:rFonts w:hAnsi="標楷體" w:hint="eastAsia"/>
          <w:szCs w:val="32"/>
        </w:rPr>
        <w:t>年</w:t>
      </w:r>
      <w:r w:rsidRPr="00766374">
        <w:rPr>
          <w:rFonts w:hAnsi="標楷體" w:hint="eastAsia"/>
          <w:bCs w:val="0"/>
          <w:spacing w:val="-10"/>
          <w:kern w:val="0"/>
          <w:szCs w:val="32"/>
        </w:rPr>
        <w:t>法官考績情形，未達良好</w:t>
      </w:r>
      <w:r w:rsidRPr="00766374">
        <w:rPr>
          <w:rFonts w:hAnsi="標楷體" w:hint="eastAsia"/>
          <w:bCs w:val="0"/>
          <w:szCs w:val="32"/>
        </w:rPr>
        <w:t>比率最高，最高法院2</w:t>
      </w:r>
      <w:r w:rsidRPr="00766374">
        <w:rPr>
          <w:rFonts w:hAnsi="標楷體"/>
          <w:bCs w:val="0"/>
          <w:szCs w:val="32"/>
        </w:rPr>
        <w:t>3</w:t>
      </w:r>
      <w:r w:rsidRPr="00766374">
        <w:rPr>
          <w:rFonts w:hAnsi="標楷體" w:hint="eastAsia"/>
          <w:bCs w:val="0"/>
          <w:szCs w:val="32"/>
        </w:rPr>
        <w:t>.5%（19人</w:t>
      </w:r>
      <w:r w:rsidRPr="00766374">
        <w:rPr>
          <w:rFonts w:hAnsi="標楷體" w:hint="eastAsia"/>
          <w:bCs w:val="0"/>
          <w:spacing w:val="-10"/>
          <w:kern w:val="0"/>
          <w:szCs w:val="32"/>
        </w:rPr>
        <w:t>未達良好</w:t>
      </w:r>
      <w:r w:rsidRPr="00766374">
        <w:rPr>
          <w:rFonts w:hAnsi="標楷體" w:hint="eastAsia"/>
          <w:bCs w:val="0"/>
          <w:szCs w:val="32"/>
        </w:rPr>
        <w:t>/81人總人數）</w:t>
      </w:r>
      <w:r w:rsidRPr="00766374">
        <w:rPr>
          <w:rFonts w:hAnsi="標楷體" w:hint="eastAsia"/>
          <w:szCs w:val="32"/>
        </w:rPr>
        <w:t>；</w:t>
      </w:r>
      <w:r w:rsidRPr="00766374">
        <w:rPr>
          <w:rFonts w:hAnsi="標楷體" w:hint="eastAsia"/>
          <w:bCs w:val="0"/>
          <w:spacing w:val="-10"/>
          <w:kern w:val="0"/>
          <w:szCs w:val="32"/>
        </w:rPr>
        <w:t>未達良好</w:t>
      </w:r>
      <w:r w:rsidRPr="00766374">
        <w:rPr>
          <w:rFonts w:hAnsi="標楷體" w:hint="eastAsia"/>
          <w:bCs w:val="0"/>
          <w:szCs w:val="32"/>
        </w:rPr>
        <w:t>比率較低，臺灣高雄地方法院</w:t>
      </w:r>
      <w:r w:rsidRPr="00766374">
        <w:rPr>
          <w:rFonts w:hAnsi="標楷體"/>
          <w:bCs w:val="0"/>
          <w:szCs w:val="32"/>
        </w:rPr>
        <w:t>0</w:t>
      </w:r>
      <w:r w:rsidRPr="00766374">
        <w:rPr>
          <w:rFonts w:hint="eastAsia"/>
          <w:bCs w:val="0"/>
        </w:rPr>
        <w:t>.</w:t>
      </w:r>
      <w:r w:rsidRPr="00766374">
        <w:rPr>
          <w:bCs w:val="0"/>
        </w:rPr>
        <w:t>6</w:t>
      </w:r>
      <w:r w:rsidRPr="00766374">
        <w:rPr>
          <w:rFonts w:hAnsi="標楷體" w:hint="eastAsia"/>
          <w:bCs w:val="0"/>
          <w:szCs w:val="32"/>
        </w:rPr>
        <w:t>%（1人</w:t>
      </w:r>
      <w:r w:rsidRPr="00766374">
        <w:rPr>
          <w:rFonts w:hAnsi="標楷體" w:hint="eastAsia"/>
          <w:bCs w:val="0"/>
          <w:spacing w:val="-10"/>
          <w:kern w:val="0"/>
          <w:szCs w:val="32"/>
        </w:rPr>
        <w:t>未達良好</w:t>
      </w:r>
      <w:r w:rsidRPr="00766374">
        <w:rPr>
          <w:rFonts w:hAnsi="標楷體" w:hint="eastAsia"/>
          <w:bCs w:val="0"/>
          <w:szCs w:val="32"/>
        </w:rPr>
        <w:t>/</w:t>
      </w:r>
      <w:r w:rsidRPr="00766374">
        <w:rPr>
          <w:rFonts w:hAnsi="標楷體"/>
          <w:bCs w:val="0"/>
          <w:szCs w:val="32"/>
        </w:rPr>
        <w:t>165</w:t>
      </w:r>
      <w:r w:rsidRPr="00766374">
        <w:rPr>
          <w:rFonts w:hAnsi="標楷體" w:hint="eastAsia"/>
          <w:bCs w:val="0"/>
          <w:szCs w:val="32"/>
        </w:rPr>
        <w:t>人總人數）</w:t>
      </w:r>
      <w:r w:rsidRPr="00766374">
        <w:rPr>
          <w:rFonts w:hAnsi="標楷體" w:hint="eastAsia"/>
          <w:szCs w:val="32"/>
        </w:rPr>
        <w:t>；</w:t>
      </w:r>
      <w:r w:rsidRPr="00766374">
        <w:rPr>
          <w:rFonts w:hAnsi="標楷體" w:hint="eastAsia"/>
          <w:bCs w:val="0"/>
          <w:spacing w:val="-10"/>
          <w:kern w:val="0"/>
          <w:szCs w:val="32"/>
        </w:rPr>
        <w:t>未達良好</w:t>
      </w:r>
      <w:r w:rsidRPr="00766374">
        <w:rPr>
          <w:rFonts w:hAnsi="標楷體" w:hint="eastAsia"/>
          <w:bCs w:val="0"/>
          <w:szCs w:val="32"/>
        </w:rPr>
        <w:t>之人數為0人，最高行政法院0%（0人</w:t>
      </w:r>
      <w:r w:rsidR="008E3CD8" w:rsidRPr="00766374">
        <w:rPr>
          <w:rFonts w:hAnsi="標楷體" w:hint="eastAsia"/>
          <w:bCs w:val="0"/>
          <w:spacing w:val="-10"/>
          <w:kern w:val="0"/>
          <w:szCs w:val="32"/>
        </w:rPr>
        <w:t>未達良好</w:t>
      </w:r>
      <w:r w:rsidRPr="00766374">
        <w:rPr>
          <w:rFonts w:hAnsi="標楷體" w:hint="eastAsia"/>
          <w:bCs w:val="0"/>
          <w:szCs w:val="32"/>
        </w:rPr>
        <w:t>/2</w:t>
      </w:r>
      <w:r w:rsidRPr="00766374">
        <w:rPr>
          <w:rFonts w:hAnsi="標楷體"/>
          <w:bCs w:val="0"/>
          <w:szCs w:val="32"/>
        </w:rPr>
        <w:t>1</w:t>
      </w:r>
      <w:r w:rsidRPr="00766374">
        <w:rPr>
          <w:rFonts w:hAnsi="標楷體" w:hint="eastAsia"/>
          <w:bCs w:val="0"/>
          <w:szCs w:val="32"/>
        </w:rPr>
        <w:t>人總人數）等</w:t>
      </w:r>
      <w:r w:rsidRPr="00766374">
        <w:rPr>
          <w:rFonts w:hAnsi="標楷體"/>
          <w:bCs w:val="0"/>
          <w:szCs w:val="32"/>
        </w:rPr>
        <w:t>19</w:t>
      </w:r>
      <w:r w:rsidRPr="00766374">
        <w:rPr>
          <w:rFonts w:hAnsi="標楷體" w:hint="eastAsia"/>
          <w:bCs w:val="0"/>
          <w:szCs w:val="32"/>
        </w:rPr>
        <w:t>法院。平均比率2.</w:t>
      </w:r>
      <w:r w:rsidRPr="00766374">
        <w:rPr>
          <w:rFonts w:hAnsi="標楷體"/>
          <w:bCs w:val="0"/>
          <w:szCs w:val="32"/>
        </w:rPr>
        <w:t>5</w:t>
      </w:r>
      <w:r w:rsidRPr="00766374">
        <w:rPr>
          <w:rFonts w:hAnsi="標楷體" w:hint="eastAsia"/>
          <w:bCs w:val="0"/>
          <w:szCs w:val="32"/>
        </w:rPr>
        <w:t>%（5</w:t>
      </w:r>
      <w:r w:rsidRPr="00766374">
        <w:rPr>
          <w:rFonts w:hAnsi="標楷體"/>
          <w:bCs w:val="0"/>
          <w:szCs w:val="32"/>
        </w:rPr>
        <w:t>0</w:t>
      </w:r>
      <w:r w:rsidRPr="00766374">
        <w:rPr>
          <w:rFonts w:hAnsi="標楷體" w:hint="eastAsia"/>
          <w:bCs w:val="0"/>
          <w:szCs w:val="32"/>
        </w:rPr>
        <w:t>人</w:t>
      </w:r>
      <w:r w:rsidRPr="00766374">
        <w:rPr>
          <w:rFonts w:hAnsi="標楷體" w:hint="eastAsia"/>
          <w:bCs w:val="0"/>
          <w:spacing w:val="-10"/>
          <w:kern w:val="0"/>
          <w:szCs w:val="32"/>
        </w:rPr>
        <w:t>未達良好</w:t>
      </w:r>
      <w:r w:rsidRPr="00766374">
        <w:rPr>
          <w:rFonts w:hAnsi="標楷體" w:hint="eastAsia"/>
          <w:bCs w:val="0"/>
          <w:szCs w:val="32"/>
        </w:rPr>
        <w:t>/</w:t>
      </w:r>
      <w:r w:rsidRPr="00766374">
        <w:rPr>
          <w:rFonts w:hAnsi="標楷體" w:hint="eastAsia"/>
          <w:szCs w:val="32"/>
        </w:rPr>
        <w:t>1,9</w:t>
      </w:r>
      <w:r w:rsidRPr="00766374">
        <w:rPr>
          <w:rFonts w:hAnsi="標楷體"/>
          <w:szCs w:val="32"/>
        </w:rPr>
        <w:t>70</w:t>
      </w:r>
      <w:r w:rsidRPr="00766374">
        <w:rPr>
          <w:rFonts w:hAnsi="標楷體" w:hint="eastAsia"/>
          <w:szCs w:val="32"/>
        </w:rPr>
        <w:t>人總人數</w:t>
      </w:r>
      <w:r w:rsidRPr="00766374">
        <w:rPr>
          <w:rFonts w:hAnsi="標楷體" w:hint="eastAsia"/>
          <w:bCs w:val="0"/>
          <w:szCs w:val="32"/>
        </w:rPr>
        <w:t>）。</w:t>
      </w:r>
    </w:p>
    <w:p w:rsidR="000E7ACC" w:rsidRPr="00766374" w:rsidRDefault="000E7ACC" w:rsidP="004C1277">
      <w:pPr>
        <w:pStyle w:val="4"/>
        <w:ind w:left="1701"/>
        <w:rPr>
          <w:szCs w:val="32"/>
        </w:rPr>
      </w:pPr>
      <w:r w:rsidRPr="00766374">
        <w:rPr>
          <w:rFonts w:hint="eastAsia"/>
          <w:szCs w:val="32"/>
        </w:rPr>
        <w:t>查附表</w:t>
      </w:r>
      <w:r w:rsidR="005E0DD5" w:rsidRPr="00766374">
        <w:rPr>
          <w:rFonts w:hint="eastAsia"/>
          <w:szCs w:val="32"/>
        </w:rPr>
        <w:t>三</w:t>
      </w:r>
      <w:r w:rsidRPr="00766374">
        <w:rPr>
          <w:rFonts w:hint="eastAsia"/>
          <w:szCs w:val="32"/>
        </w:rPr>
        <w:t>，</w:t>
      </w:r>
      <w:r w:rsidRPr="00766374">
        <w:rPr>
          <w:rFonts w:hAnsi="標楷體" w:hint="eastAsia"/>
          <w:bCs/>
          <w:spacing w:val="-10"/>
          <w:kern w:val="0"/>
          <w:szCs w:val="32"/>
        </w:rPr>
        <w:t>104-107年法官考績表</w:t>
      </w:r>
      <w:r w:rsidR="00C26F6F" w:rsidRPr="00766374">
        <w:rPr>
          <w:rFonts w:hAnsi="標楷體" w:hint="eastAsia"/>
          <w:bCs/>
          <w:spacing w:val="-10"/>
          <w:kern w:val="0"/>
          <w:szCs w:val="32"/>
        </w:rPr>
        <w:t>：</w:t>
      </w:r>
    </w:p>
    <w:p w:rsidR="00DC7372" w:rsidRPr="00766374" w:rsidRDefault="00671B5B" w:rsidP="00DC7372">
      <w:pPr>
        <w:pStyle w:val="5"/>
        <w:ind w:left="2042" w:hanging="851"/>
      </w:pPr>
      <w:r w:rsidRPr="00766374">
        <w:rPr>
          <w:rFonts w:hAnsi="標楷體" w:hint="eastAsia"/>
          <w:szCs w:val="32"/>
        </w:rPr>
        <w:t>10</w:t>
      </w:r>
      <w:r w:rsidRPr="00766374">
        <w:rPr>
          <w:rFonts w:hAnsi="標楷體"/>
          <w:szCs w:val="32"/>
        </w:rPr>
        <w:t>4</w:t>
      </w:r>
      <w:r w:rsidRPr="00766374">
        <w:rPr>
          <w:rFonts w:hAnsi="標楷體" w:hint="eastAsia"/>
          <w:szCs w:val="32"/>
        </w:rPr>
        <w:t>年</w:t>
      </w:r>
      <w:r w:rsidRPr="00766374">
        <w:rPr>
          <w:rFonts w:hAnsi="標楷體" w:hint="eastAsia"/>
          <w:bCs w:val="0"/>
          <w:spacing w:val="-10"/>
          <w:kern w:val="0"/>
          <w:szCs w:val="32"/>
        </w:rPr>
        <w:t>法官考績情形，未達良好</w:t>
      </w:r>
      <w:r w:rsidRPr="00766374">
        <w:rPr>
          <w:rFonts w:hAnsi="標楷體" w:hint="eastAsia"/>
          <w:bCs w:val="0"/>
          <w:szCs w:val="32"/>
        </w:rPr>
        <w:t>比率最高，最高法院23.</w:t>
      </w:r>
      <w:r w:rsidRPr="00766374">
        <w:rPr>
          <w:rFonts w:hAnsi="標楷體"/>
          <w:bCs w:val="0"/>
          <w:szCs w:val="32"/>
        </w:rPr>
        <w:t>9</w:t>
      </w:r>
      <w:r w:rsidRPr="00766374">
        <w:rPr>
          <w:rFonts w:hAnsi="標楷體" w:hint="eastAsia"/>
          <w:bCs w:val="0"/>
          <w:szCs w:val="32"/>
        </w:rPr>
        <w:t>%（1</w:t>
      </w:r>
      <w:r w:rsidRPr="00766374">
        <w:rPr>
          <w:rFonts w:hAnsi="標楷體"/>
          <w:bCs w:val="0"/>
          <w:szCs w:val="32"/>
        </w:rPr>
        <w:t>7</w:t>
      </w:r>
      <w:r w:rsidRPr="00766374">
        <w:rPr>
          <w:rFonts w:hAnsi="標楷體" w:hint="eastAsia"/>
          <w:bCs w:val="0"/>
          <w:szCs w:val="32"/>
        </w:rPr>
        <w:t>人</w:t>
      </w:r>
      <w:r w:rsidRPr="00766374">
        <w:rPr>
          <w:rFonts w:hAnsi="標楷體" w:hint="eastAsia"/>
          <w:bCs w:val="0"/>
          <w:spacing w:val="-10"/>
          <w:kern w:val="0"/>
          <w:szCs w:val="32"/>
        </w:rPr>
        <w:t>未達良好</w:t>
      </w:r>
      <w:r w:rsidRPr="00766374">
        <w:rPr>
          <w:rFonts w:hAnsi="標楷體" w:hint="eastAsia"/>
          <w:bCs w:val="0"/>
          <w:szCs w:val="32"/>
        </w:rPr>
        <w:t>/</w:t>
      </w:r>
      <w:r w:rsidRPr="00766374">
        <w:rPr>
          <w:rFonts w:hAnsi="標楷體"/>
          <w:bCs w:val="0"/>
          <w:szCs w:val="32"/>
        </w:rPr>
        <w:t>7</w:t>
      </w:r>
      <w:r w:rsidRPr="00766374">
        <w:rPr>
          <w:rFonts w:hAnsi="標楷體" w:hint="eastAsia"/>
          <w:bCs w:val="0"/>
          <w:szCs w:val="32"/>
        </w:rPr>
        <w:t>1人總人數）</w:t>
      </w:r>
      <w:r w:rsidRPr="00766374">
        <w:rPr>
          <w:rFonts w:hAnsi="標楷體" w:hint="eastAsia"/>
          <w:szCs w:val="32"/>
        </w:rPr>
        <w:t>；</w:t>
      </w:r>
      <w:r w:rsidRPr="00766374">
        <w:rPr>
          <w:rFonts w:hAnsi="標楷體" w:hint="eastAsia"/>
          <w:bCs w:val="0"/>
          <w:spacing w:val="-10"/>
          <w:kern w:val="0"/>
          <w:szCs w:val="32"/>
        </w:rPr>
        <w:t>未達良好</w:t>
      </w:r>
      <w:r w:rsidRPr="00766374">
        <w:rPr>
          <w:rFonts w:hAnsi="標楷體" w:hint="eastAsia"/>
          <w:bCs w:val="0"/>
          <w:szCs w:val="32"/>
        </w:rPr>
        <w:t>比率較低，臺灣臺中地方法院0</w:t>
      </w:r>
      <w:r w:rsidRPr="00766374">
        <w:rPr>
          <w:rFonts w:hint="eastAsia"/>
          <w:bCs w:val="0"/>
        </w:rPr>
        <w:t>.6</w:t>
      </w:r>
      <w:r w:rsidRPr="00766374">
        <w:rPr>
          <w:rFonts w:hAnsi="標楷體" w:hint="eastAsia"/>
          <w:bCs w:val="0"/>
          <w:szCs w:val="32"/>
        </w:rPr>
        <w:t>%（1人</w:t>
      </w:r>
      <w:r w:rsidRPr="00766374">
        <w:rPr>
          <w:rFonts w:hAnsi="標楷體" w:hint="eastAsia"/>
          <w:bCs w:val="0"/>
          <w:spacing w:val="-10"/>
          <w:kern w:val="0"/>
          <w:szCs w:val="32"/>
        </w:rPr>
        <w:t>未達良好</w:t>
      </w:r>
      <w:r w:rsidRPr="00766374">
        <w:rPr>
          <w:rFonts w:hAnsi="標楷體" w:hint="eastAsia"/>
          <w:bCs w:val="0"/>
          <w:szCs w:val="32"/>
        </w:rPr>
        <w:t>/1</w:t>
      </w:r>
      <w:r w:rsidR="00755F0A" w:rsidRPr="00766374">
        <w:rPr>
          <w:rFonts w:hAnsi="標楷體"/>
          <w:bCs w:val="0"/>
          <w:szCs w:val="32"/>
        </w:rPr>
        <w:t>56</w:t>
      </w:r>
      <w:r w:rsidRPr="00766374">
        <w:rPr>
          <w:rFonts w:hAnsi="標楷體" w:hint="eastAsia"/>
          <w:bCs w:val="0"/>
          <w:szCs w:val="32"/>
        </w:rPr>
        <w:t>人總人數）</w:t>
      </w:r>
      <w:r w:rsidRPr="00766374">
        <w:rPr>
          <w:rFonts w:hAnsi="標楷體" w:hint="eastAsia"/>
          <w:szCs w:val="32"/>
        </w:rPr>
        <w:t>；</w:t>
      </w:r>
      <w:r w:rsidRPr="00766374">
        <w:rPr>
          <w:rFonts w:hAnsi="標楷體" w:hint="eastAsia"/>
          <w:bCs w:val="0"/>
          <w:spacing w:val="-10"/>
          <w:kern w:val="0"/>
          <w:szCs w:val="32"/>
        </w:rPr>
        <w:t>未達良好</w:t>
      </w:r>
      <w:r w:rsidRPr="00766374">
        <w:rPr>
          <w:rFonts w:hAnsi="標楷體" w:hint="eastAsia"/>
          <w:bCs w:val="0"/>
          <w:szCs w:val="32"/>
        </w:rPr>
        <w:t>之人數為0人，最高行政法院0%（0人</w:t>
      </w:r>
      <w:r w:rsidR="008E3CD8" w:rsidRPr="00766374">
        <w:rPr>
          <w:rFonts w:hAnsi="標楷體" w:hint="eastAsia"/>
          <w:bCs w:val="0"/>
          <w:spacing w:val="-10"/>
          <w:kern w:val="0"/>
          <w:szCs w:val="32"/>
        </w:rPr>
        <w:t>未達良好</w:t>
      </w:r>
      <w:r w:rsidRPr="00766374">
        <w:rPr>
          <w:rFonts w:hAnsi="標楷體" w:hint="eastAsia"/>
          <w:bCs w:val="0"/>
          <w:szCs w:val="32"/>
        </w:rPr>
        <w:t>/21人總人數）等</w:t>
      </w:r>
      <w:r w:rsidR="00755F0A" w:rsidRPr="00766374">
        <w:rPr>
          <w:rFonts w:hAnsi="標楷體"/>
          <w:bCs w:val="0"/>
          <w:szCs w:val="32"/>
        </w:rPr>
        <w:lastRenderedPageBreak/>
        <w:t>23</w:t>
      </w:r>
      <w:r w:rsidRPr="00766374">
        <w:rPr>
          <w:rFonts w:hAnsi="標楷體" w:hint="eastAsia"/>
          <w:bCs w:val="0"/>
          <w:szCs w:val="32"/>
        </w:rPr>
        <w:t>法院。平均比率</w:t>
      </w:r>
      <w:r w:rsidR="00755F0A" w:rsidRPr="00766374">
        <w:rPr>
          <w:rFonts w:hAnsi="標楷體"/>
          <w:bCs w:val="0"/>
          <w:szCs w:val="32"/>
        </w:rPr>
        <w:t>1</w:t>
      </w:r>
      <w:r w:rsidRPr="00766374">
        <w:rPr>
          <w:rFonts w:hAnsi="標楷體" w:hint="eastAsia"/>
          <w:bCs w:val="0"/>
          <w:szCs w:val="32"/>
        </w:rPr>
        <w:t>.</w:t>
      </w:r>
      <w:r w:rsidR="00755F0A" w:rsidRPr="00766374">
        <w:rPr>
          <w:rFonts w:hAnsi="標楷體"/>
          <w:bCs w:val="0"/>
          <w:szCs w:val="32"/>
        </w:rPr>
        <w:t>8</w:t>
      </w:r>
      <w:r w:rsidRPr="00766374">
        <w:rPr>
          <w:rFonts w:hAnsi="標楷體" w:hint="eastAsia"/>
          <w:bCs w:val="0"/>
          <w:szCs w:val="32"/>
        </w:rPr>
        <w:t>%（</w:t>
      </w:r>
      <w:r w:rsidR="00755F0A" w:rsidRPr="00766374">
        <w:rPr>
          <w:rFonts w:hAnsi="標楷體"/>
          <w:bCs w:val="0"/>
          <w:szCs w:val="32"/>
        </w:rPr>
        <w:t>37</w:t>
      </w:r>
      <w:r w:rsidRPr="00766374">
        <w:rPr>
          <w:rFonts w:hAnsi="標楷體" w:hint="eastAsia"/>
          <w:bCs w:val="0"/>
          <w:szCs w:val="32"/>
        </w:rPr>
        <w:t>人</w:t>
      </w:r>
      <w:r w:rsidRPr="00766374">
        <w:rPr>
          <w:rFonts w:hAnsi="標楷體" w:hint="eastAsia"/>
          <w:bCs w:val="0"/>
          <w:spacing w:val="-10"/>
          <w:kern w:val="0"/>
          <w:szCs w:val="32"/>
        </w:rPr>
        <w:t>未達良好</w:t>
      </w:r>
      <w:r w:rsidRPr="00766374">
        <w:rPr>
          <w:rFonts w:hAnsi="標楷體" w:hint="eastAsia"/>
          <w:bCs w:val="0"/>
          <w:szCs w:val="32"/>
        </w:rPr>
        <w:t>/</w:t>
      </w:r>
      <w:r w:rsidR="00755F0A" w:rsidRPr="00766374">
        <w:rPr>
          <w:rFonts w:hAnsi="標楷體"/>
          <w:szCs w:val="32"/>
        </w:rPr>
        <w:t>2</w:t>
      </w:r>
      <w:r w:rsidRPr="00766374">
        <w:rPr>
          <w:rFonts w:hAnsi="標楷體" w:hint="eastAsia"/>
          <w:szCs w:val="32"/>
        </w:rPr>
        <w:t>,</w:t>
      </w:r>
      <w:r w:rsidR="00755F0A" w:rsidRPr="00766374">
        <w:rPr>
          <w:rFonts w:hAnsi="標楷體"/>
          <w:szCs w:val="32"/>
        </w:rPr>
        <w:t>003</w:t>
      </w:r>
      <w:r w:rsidRPr="00766374">
        <w:rPr>
          <w:rFonts w:hAnsi="標楷體" w:hint="eastAsia"/>
          <w:szCs w:val="32"/>
        </w:rPr>
        <w:t>人總人數</w:t>
      </w:r>
      <w:r w:rsidRPr="00766374">
        <w:rPr>
          <w:rFonts w:hAnsi="標楷體" w:hint="eastAsia"/>
          <w:bCs w:val="0"/>
          <w:szCs w:val="32"/>
        </w:rPr>
        <w:t>）。</w:t>
      </w:r>
    </w:p>
    <w:p w:rsidR="00755F0A" w:rsidRPr="00766374" w:rsidRDefault="008E3CD8" w:rsidP="00DC7372">
      <w:pPr>
        <w:pStyle w:val="5"/>
        <w:ind w:left="2042" w:hanging="851"/>
      </w:pPr>
      <w:r w:rsidRPr="00766374">
        <w:rPr>
          <w:rFonts w:hAnsi="標楷體" w:hint="eastAsia"/>
          <w:szCs w:val="32"/>
        </w:rPr>
        <w:t>10</w:t>
      </w:r>
      <w:r w:rsidRPr="00766374">
        <w:rPr>
          <w:rFonts w:hAnsi="標楷體"/>
          <w:szCs w:val="32"/>
        </w:rPr>
        <w:t>5</w:t>
      </w:r>
      <w:r w:rsidRPr="00766374">
        <w:rPr>
          <w:rFonts w:hAnsi="標楷體" w:hint="eastAsia"/>
          <w:szCs w:val="32"/>
        </w:rPr>
        <w:t>年</w:t>
      </w:r>
      <w:r w:rsidRPr="00766374">
        <w:rPr>
          <w:rFonts w:hAnsi="標楷體" w:hint="eastAsia"/>
          <w:bCs w:val="0"/>
          <w:spacing w:val="-10"/>
          <w:kern w:val="0"/>
          <w:szCs w:val="32"/>
        </w:rPr>
        <w:t>法官考績情形，未達良好</w:t>
      </w:r>
      <w:r w:rsidRPr="00766374">
        <w:rPr>
          <w:rFonts w:hAnsi="標楷體" w:hint="eastAsia"/>
          <w:bCs w:val="0"/>
          <w:szCs w:val="32"/>
        </w:rPr>
        <w:t>比率最高，最高法院23.</w:t>
      </w:r>
      <w:r w:rsidRPr="00766374">
        <w:rPr>
          <w:rFonts w:hAnsi="標楷體"/>
          <w:bCs w:val="0"/>
          <w:szCs w:val="32"/>
        </w:rPr>
        <w:t>5</w:t>
      </w:r>
      <w:r w:rsidRPr="00766374">
        <w:rPr>
          <w:rFonts w:hAnsi="標楷體" w:hint="eastAsia"/>
          <w:bCs w:val="0"/>
          <w:szCs w:val="32"/>
        </w:rPr>
        <w:t>%（1</w:t>
      </w:r>
      <w:r w:rsidRPr="00766374">
        <w:rPr>
          <w:rFonts w:hAnsi="標楷體"/>
          <w:bCs w:val="0"/>
          <w:szCs w:val="32"/>
        </w:rPr>
        <w:t>6</w:t>
      </w:r>
      <w:r w:rsidRPr="00766374">
        <w:rPr>
          <w:rFonts w:hAnsi="標楷體" w:hint="eastAsia"/>
          <w:bCs w:val="0"/>
          <w:szCs w:val="32"/>
        </w:rPr>
        <w:t>人</w:t>
      </w:r>
      <w:r w:rsidRPr="00766374">
        <w:rPr>
          <w:rFonts w:hAnsi="標楷體" w:hint="eastAsia"/>
          <w:bCs w:val="0"/>
          <w:spacing w:val="-10"/>
          <w:kern w:val="0"/>
          <w:szCs w:val="32"/>
        </w:rPr>
        <w:t>未達良好</w:t>
      </w:r>
      <w:r w:rsidRPr="00766374">
        <w:rPr>
          <w:rFonts w:hAnsi="標楷體" w:hint="eastAsia"/>
          <w:bCs w:val="0"/>
          <w:szCs w:val="32"/>
        </w:rPr>
        <w:t>/</w:t>
      </w:r>
      <w:r w:rsidRPr="00766374">
        <w:rPr>
          <w:rFonts w:hAnsi="標楷體"/>
          <w:bCs w:val="0"/>
          <w:szCs w:val="32"/>
        </w:rPr>
        <w:t>68</w:t>
      </w:r>
      <w:r w:rsidRPr="00766374">
        <w:rPr>
          <w:rFonts w:hAnsi="標楷體" w:hint="eastAsia"/>
          <w:bCs w:val="0"/>
          <w:szCs w:val="32"/>
        </w:rPr>
        <w:t>人總人數）</w:t>
      </w:r>
      <w:r w:rsidRPr="00766374">
        <w:rPr>
          <w:rFonts w:hAnsi="標楷體" w:hint="eastAsia"/>
          <w:szCs w:val="32"/>
        </w:rPr>
        <w:t>；</w:t>
      </w:r>
      <w:r w:rsidRPr="00766374">
        <w:rPr>
          <w:rFonts w:hAnsi="標楷體" w:hint="eastAsia"/>
          <w:bCs w:val="0"/>
          <w:spacing w:val="-10"/>
          <w:kern w:val="0"/>
          <w:szCs w:val="32"/>
        </w:rPr>
        <w:t>未達良好</w:t>
      </w:r>
      <w:r w:rsidRPr="00766374">
        <w:rPr>
          <w:rFonts w:hAnsi="標楷體" w:hint="eastAsia"/>
          <w:bCs w:val="0"/>
          <w:szCs w:val="32"/>
        </w:rPr>
        <w:t>比率較低，臺灣臺中地方法院0</w:t>
      </w:r>
      <w:r w:rsidRPr="00766374">
        <w:rPr>
          <w:rFonts w:hint="eastAsia"/>
          <w:bCs w:val="0"/>
        </w:rPr>
        <w:t>.</w:t>
      </w:r>
      <w:r w:rsidRPr="00766374">
        <w:rPr>
          <w:bCs w:val="0"/>
        </w:rPr>
        <w:t>7</w:t>
      </w:r>
      <w:r w:rsidRPr="00766374">
        <w:rPr>
          <w:rFonts w:hAnsi="標楷體" w:hint="eastAsia"/>
          <w:bCs w:val="0"/>
          <w:szCs w:val="32"/>
        </w:rPr>
        <w:t>%（1人</w:t>
      </w:r>
      <w:r w:rsidRPr="00766374">
        <w:rPr>
          <w:rFonts w:hAnsi="標楷體" w:hint="eastAsia"/>
          <w:bCs w:val="0"/>
          <w:spacing w:val="-10"/>
          <w:kern w:val="0"/>
          <w:szCs w:val="32"/>
        </w:rPr>
        <w:t>未達良好</w:t>
      </w:r>
      <w:r w:rsidRPr="00766374">
        <w:rPr>
          <w:rFonts w:hAnsi="標楷體" w:hint="eastAsia"/>
          <w:bCs w:val="0"/>
          <w:szCs w:val="32"/>
        </w:rPr>
        <w:t>/15</w:t>
      </w:r>
      <w:r w:rsidRPr="00766374">
        <w:rPr>
          <w:rFonts w:hAnsi="標楷體"/>
          <w:bCs w:val="0"/>
          <w:szCs w:val="32"/>
        </w:rPr>
        <w:t>3</w:t>
      </w:r>
      <w:r w:rsidRPr="00766374">
        <w:rPr>
          <w:rFonts w:hAnsi="標楷體" w:hint="eastAsia"/>
          <w:bCs w:val="0"/>
          <w:szCs w:val="32"/>
        </w:rPr>
        <w:t>人總人數）</w:t>
      </w:r>
      <w:r w:rsidRPr="00766374">
        <w:rPr>
          <w:rFonts w:hAnsi="標楷體" w:hint="eastAsia"/>
          <w:szCs w:val="32"/>
        </w:rPr>
        <w:t>；</w:t>
      </w:r>
      <w:r w:rsidRPr="00766374">
        <w:rPr>
          <w:rFonts w:hAnsi="標楷體" w:hint="eastAsia"/>
          <w:bCs w:val="0"/>
          <w:spacing w:val="-10"/>
          <w:kern w:val="0"/>
          <w:szCs w:val="32"/>
        </w:rPr>
        <w:t>未達良好</w:t>
      </w:r>
      <w:r w:rsidRPr="00766374">
        <w:rPr>
          <w:rFonts w:hAnsi="標楷體" w:hint="eastAsia"/>
          <w:bCs w:val="0"/>
          <w:szCs w:val="32"/>
        </w:rPr>
        <w:t>之人數為0人，最高行政法院0%（0人</w:t>
      </w:r>
      <w:r w:rsidRPr="00766374">
        <w:rPr>
          <w:rFonts w:hAnsi="標楷體" w:hint="eastAsia"/>
          <w:bCs w:val="0"/>
          <w:spacing w:val="-10"/>
          <w:kern w:val="0"/>
          <w:szCs w:val="32"/>
        </w:rPr>
        <w:t>未達良好</w:t>
      </w:r>
      <w:r w:rsidRPr="00766374">
        <w:rPr>
          <w:rFonts w:hAnsi="標楷體" w:hint="eastAsia"/>
          <w:bCs w:val="0"/>
          <w:szCs w:val="32"/>
        </w:rPr>
        <w:t>/</w:t>
      </w:r>
      <w:r w:rsidRPr="00766374">
        <w:rPr>
          <w:rFonts w:hAnsi="標楷體"/>
          <w:bCs w:val="0"/>
          <w:szCs w:val="32"/>
        </w:rPr>
        <w:t>15</w:t>
      </w:r>
      <w:r w:rsidRPr="00766374">
        <w:rPr>
          <w:rFonts w:hAnsi="標楷體" w:hint="eastAsia"/>
          <w:bCs w:val="0"/>
          <w:szCs w:val="32"/>
        </w:rPr>
        <w:t>人總人數）等23法院。平均比率</w:t>
      </w:r>
      <w:r w:rsidRPr="00766374">
        <w:rPr>
          <w:rFonts w:hAnsi="標楷體"/>
          <w:bCs w:val="0"/>
          <w:szCs w:val="32"/>
        </w:rPr>
        <w:t>2</w:t>
      </w:r>
      <w:r w:rsidRPr="00766374">
        <w:rPr>
          <w:rFonts w:hAnsi="標楷體" w:hint="eastAsia"/>
          <w:bCs w:val="0"/>
          <w:szCs w:val="32"/>
        </w:rPr>
        <w:t>.</w:t>
      </w:r>
      <w:r w:rsidRPr="00766374">
        <w:rPr>
          <w:rFonts w:hAnsi="標楷體"/>
          <w:bCs w:val="0"/>
          <w:szCs w:val="32"/>
        </w:rPr>
        <w:t>0</w:t>
      </w:r>
      <w:r w:rsidRPr="00766374">
        <w:rPr>
          <w:rFonts w:hAnsi="標楷體" w:hint="eastAsia"/>
          <w:bCs w:val="0"/>
          <w:szCs w:val="32"/>
        </w:rPr>
        <w:t>%（</w:t>
      </w:r>
      <w:r w:rsidRPr="00766374">
        <w:rPr>
          <w:rFonts w:hAnsi="標楷體"/>
          <w:bCs w:val="0"/>
          <w:szCs w:val="32"/>
        </w:rPr>
        <w:t>40</w:t>
      </w:r>
      <w:r w:rsidRPr="00766374">
        <w:rPr>
          <w:rFonts w:hAnsi="標楷體" w:hint="eastAsia"/>
          <w:bCs w:val="0"/>
          <w:szCs w:val="32"/>
        </w:rPr>
        <w:t>人</w:t>
      </w:r>
      <w:r w:rsidRPr="00766374">
        <w:rPr>
          <w:rFonts w:hAnsi="標楷體" w:hint="eastAsia"/>
          <w:bCs w:val="0"/>
          <w:spacing w:val="-10"/>
          <w:kern w:val="0"/>
          <w:szCs w:val="32"/>
        </w:rPr>
        <w:t>未達良好</w:t>
      </w:r>
      <w:r w:rsidRPr="00766374">
        <w:rPr>
          <w:rFonts w:hAnsi="標楷體" w:hint="eastAsia"/>
          <w:bCs w:val="0"/>
          <w:szCs w:val="32"/>
        </w:rPr>
        <w:t>/</w:t>
      </w:r>
      <w:r w:rsidRPr="00766374">
        <w:rPr>
          <w:rFonts w:hAnsi="標楷體"/>
          <w:szCs w:val="32"/>
        </w:rPr>
        <w:t>1</w:t>
      </w:r>
      <w:r w:rsidRPr="00766374">
        <w:rPr>
          <w:rFonts w:hAnsi="標楷體" w:hint="eastAsia"/>
          <w:szCs w:val="32"/>
        </w:rPr>
        <w:t>,</w:t>
      </w:r>
      <w:r w:rsidRPr="00766374">
        <w:rPr>
          <w:rFonts w:hAnsi="標楷體"/>
          <w:szCs w:val="32"/>
        </w:rPr>
        <w:t>977</w:t>
      </w:r>
      <w:r w:rsidRPr="00766374">
        <w:rPr>
          <w:rFonts w:hAnsi="標楷體" w:hint="eastAsia"/>
          <w:szCs w:val="32"/>
        </w:rPr>
        <w:t>人總人數</w:t>
      </w:r>
      <w:r w:rsidRPr="00766374">
        <w:rPr>
          <w:rFonts w:hAnsi="標楷體" w:hint="eastAsia"/>
          <w:bCs w:val="0"/>
          <w:szCs w:val="32"/>
        </w:rPr>
        <w:t>）。</w:t>
      </w:r>
    </w:p>
    <w:p w:rsidR="008E3CD8" w:rsidRPr="00766374" w:rsidRDefault="008E3CD8" w:rsidP="00DC7372">
      <w:pPr>
        <w:pStyle w:val="5"/>
        <w:ind w:left="2042" w:hanging="851"/>
      </w:pPr>
      <w:r w:rsidRPr="00766374">
        <w:rPr>
          <w:rFonts w:hAnsi="標楷體" w:hint="eastAsia"/>
          <w:szCs w:val="32"/>
        </w:rPr>
        <w:t>10</w:t>
      </w:r>
      <w:r w:rsidRPr="00766374">
        <w:rPr>
          <w:rFonts w:hAnsi="標楷體"/>
          <w:szCs w:val="32"/>
        </w:rPr>
        <w:t>6</w:t>
      </w:r>
      <w:r w:rsidRPr="00766374">
        <w:rPr>
          <w:rFonts w:hAnsi="標楷體" w:hint="eastAsia"/>
          <w:szCs w:val="32"/>
        </w:rPr>
        <w:t>年</w:t>
      </w:r>
      <w:r w:rsidRPr="00766374">
        <w:rPr>
          <w:rFonts w:hAnsi="標楷體" w:hint="eastAsia"/>
          <w:bCs w:val="0"/>
          <w:spacing w:val="-10"/>
          <w:kern w:val="0"/>
          <w:szCs w:val="32"/>
        </w:rPr>
        <w:t>法官考績情形，未達良好</w:t>
      </w:r>
      <w:r w:rsidRPr="00766374">
        <w:rPr>
          <w:rFonts w:hAnsi="標楷體" w:hint="eastAsia"/>
          <w:bCs w:val="0"/>
          <w:szCs w:val="32"/>
        </w:rPr>
        <w:t>比率最高，最高法院2</w:t>
      </w:r>
      <w:r w:rsidRPr="00766374">
        <w:rPr>
          <w:rFonts w:hAnsi="標楷體"/>
          <w:bCs w:val="0"/>
          <w:szCs w:val="32"/>
        </w:rPr>
        <w:t>4</w:t>
      </w:r>
      <w:r w:rsidRPr="00766374">
        <w:rPr>
          <w:rFonts w:hAnsi="標楷體" w:hint="eastAsia"/>
          <w:bCs w:val="0"/>
          <w:szCs w:val="32"/>
        </w:rPr>
        <w:t>.</w:t>
      </w:r>
      <w:r w:rsidRPr="00766374">
        <w:rPr>
          <w:rFonts w:hAnsi="標楷體"/>
          <w:bCs w:val="0"/>
          <w:szCs w:val="32"/>
        </w:rPr>
        <w:t>6</w:t>
      </w:r>
      <w:r w:rsidRPr="00766374">
        <w:rPr>
          <w:rFonts w:hAnsi="標楷體" w:hint="eastAsia"/>
          <w:bCs w:val="0"/>
          <w:szCs w:val="32"/>
        </w:rPr>
        <w:t>%（17人</w:t>
      </w:r>
      <w:r w:rsidRPr="00766374">
        <w:rPr>
          <w:rFonts w:hAnsi="標楷體" w:hint="eastAsia"/>
          <w:bCs w:val="0"/>
          <w:spacing w:val="-10"/>
          <w:kern w:val="0"/>
          <w:szCs w:val="32"/>
        </w:rPr>
        <w:t>未達良好</w:t>
      </w:r>
      <w:r w:rsidRPr="00766374">
        <w:rPr>
          <w:rFonts w:hAnsi="標楷體" w:hint="eastAsia"/>
          <w:bCs w:val="0"/>
          <w:szCs w:val="32"/>
        </w:rPr>
        <w:t>/</w:t>
      </w:r>
      <w:r w:rsidRPr="00766374">
        <w:rPr>
          <w:rFonts w:hAnsi="標楷體"/>
          <w:bCs w:val="0"/>
          <w:szCs w:val="32"/>
        </w:rPr>
        <w:t>69</w:t>
      </w:r>
      <w:r w:rsidRPr="00766374">
        <w:rPr>
          <w:rFonts w:hAnsi="標楷體" w:hint="eastAsia"/>
          <w:bCs w:val="0"/>
          <w:szCs w:val="32"/>
        </w:rPr>
        <w:t>人總人數）</w:t>
      </w:r>
      <w:r w:rsidRPr="00766374">
        <w:rPr>
          <w:rFonts w:hAnsi="標楷體" w:hint="eastAsia"/>
          <w:szCs w:val="32"/>
        </w:rPr>
        <w:t>；</w:t>
      </w:r>
      <w:r w:rsidRPr="00766374">
        <w:rPr>
          <w:rFonts w:hAnsi="標楷體" w:hint="eastAsia"/>
          <w:bCs w:val="0"/>
          <w:spacing w:val="-10"/>
          <w:kern w:val="0"/>
          <w:szCs w:val="32"/>
        </w:rPr>
        <w:t>未達良好</w:t>
      </w:r>
      <w:r w:rsidRPr="00766374">
        <w:rPr>
          <w:rFonts w:hAnsi="標楷體" w:hint="eastAsia"/>
          <w:bCs w:val="0"/>
          <w:szCs w:val="32"/>
        </w:rPr>
        <w:t>比率較低，臺灣桃園地方法院0</w:t>
      </w:r>
      <w:r w:rsidRPr="00766374">
        <w:rPr>
          <w:rFonts w:hint="eastAsia"/>
          <w:bCs w:val="0"/>
        </w:rPr>
        <w:t>.</w:t>
      </w:r>
      <w:r w:rsidRPr="00766374">
        <w:rPr>
          <w:bCs w:val="0"/>
        </w:rPr>
        <w:t>8</w:t>
      </w:r>
      <w:r w:rsidRPr="00766374">
        <w:rPr>
          <w:rFonts w:hAnsi="標楷體" w:hint="eastAsia"/>
          <w:bCs w:val="0"/>
          <w:szCs w:val="32"/>
        </w:rPr>
        <w:t>%（1人</w:t>
      </w:r>
      <w:r w:rsidRPr="00766374">
        <w:rPr>
          <w:rFonts w:hAnsi="標楷體" w:hint="eastAsia"/>
          <w:bCs w:val="0"/>
          <w:spacing w:val="-10"/>
          <w:kern w:val="0"/>
          <w:szCs w:val="32"/>
        </w:rPr>
        <w:t>未達良好</w:t>
      </w:r>
      <w:r w:rsidRPr="00766374">
        <w:rPr>
          <w:rFonts w:hAnsi="標楷體" w:hint="eastAsia"/>
          <w:bCs w:val="0"/>
          <w:szCs w:val="32"/>
        </w:rPr>
        <w:t>/1</w:t>
      </w:r>
      <w:r w:rsidRPr="00766374">
        <w:rPr>
          <w:rFonts w:hAnsi="標楷體"/>
          <w:bCs w:val="0"/>
          <w:szCs w:val="32"/>
        </w:rPr>
        <w:t>23</w:t>
      </w:r>
      <w:r w:rsidRPr="00766374">
        <w:rPr>
          <w:rFonts w:hAnsi="標楷體" w:hint="eastAsia"/>
          <w:bCs w:val="0"/>
          <w:szCs w:val="32"/>
        </w:rPr>
        <w:t>人總人數）</w:t>
      </w:r>
      <w:r w:rsidRPr="00766374">
        <w:rPr>
          <w:rFonts w:hAnsi="標楷體" w:hint="eastAsia"/>
          <w:szCs w:val="32"/>
        </w:rPr>
        <w:t>；</w:t>
      </w:r>
      <w:r w:rsidRPr="00766374">
        <w:rPr>
          <w:rFonts w:hAnsi="標楷體" w:hint="eastAsia"/>
          <w:bCs w:val="0"/>
          <w:spacing w:val="-10"/>
          <w:kern w:val="0"/>
          <w:szCs w:val="32"/>
        </w:rPr>
        <w:t>未達良好</w:t>
      </w:r>
      <w:r w:rsidRPr="00766374">
        <w:rPr>
          <w:rFonts w:hAnsi="標楷體" w:hint="eastAsia"/>
          <w:bCs w:val="0"/>
          <w:szCs w:val="32"/>
        </w:rPr>
        <w:t>之人數為0人，最高行政法院0%（0人</w:t>
      </w:r>
      <w:r w:rsidR="00B114BB" w:rsidRPr="00766374">
        <w:rPr>
          <w:rFonts w:hAnsi="標楷體" w:hint="eastAsia"/>
          <w:bCs w:val="0"/>
          <w:spacing w:val="-10"/>
          <w:kern w:val="0"/>
          <w:szCs w:val="32"/>
        </w:rPr>
        <w:t>未達良好</w:t>
      </w:r>
      <w:r w:rsidRPr="00766374">
        <w:rPr>
          <w:rFonts w:hAnsi="標楷體" w:hint="eastAsia"/>
          <w:bCs w:val="0"/>
          <w:szCs w:val="32"/>
        </w:rPr>
        <w:t>/</w:t>
      </w:r>
      <w:r w:rsidRPr="00766374">
        <w:rPr>
          <w:rFonts w:hAnsi="標楷體"/>
          <w:bCs w:val="0"/>
          <w:szCs w:val="32"/>
        </w:rPr>
        <w:t>16</w:t>
      </w:r>
      <w:r w:rsidRPr="00766374">
        <w:rPr>
          <w:rFonts w:hAnsi="標楷體" w:hint="eastAsia"/>
          <w:bCs w:val="0"/>
          <w:szCs w:val="32"/>
        </w:rPr>
        <w:t>人總人數）等2</w:t>
      </w:r>
      <w:r w:rsidRPr="00766374">
        <w:rPr>
          <w:rFonts w:hAnsi="標楷體"/>
          <w:bCs w:val="0"/>
          <w:szCs w:val="32"/>
        </w:rPr>
        <w:t>0</w:t>
      </w:r>
      <w:r w:rsidRPr="00766374">
        <w:rPr>
          <w:rFonts w:hAnsi="標楷體" w:hint="eastAsia"/>
          <w:bCs w:val="0"/>
          <w:szCs w:val="32"/>
        </w:rPr>
        <w:t>法院。平均比率</w:t>
      </w:r>
      <w:r w:rsidRPr="00766374">
        <w:rPr>
          <w:rFonts w:hAnsi="標楷體"/>
          <w:bCs w:val="0"/>
          <w:szCs w:val="32"/>
        </w:rPr>
        <w:t>2</w:t>
      </w:r>
      <w:r w:rsidRPr="00766374">
        <w:rPr>
          <w:rFonts w:hAnsi="標楷體" w:hint="eastAsia"/>
          <w:bCs w:val="0"/>
          <w:szCs w:val="32"/>
        </w:rPr>
        <w:t>.</w:t>
      </w:r>
      <w:r w:rsidRPr="00766374">
        <w:rPr>
          <w:rFonts w:hAnsi="標楷體"/>
          <w:bCs w:val="0"/>
          <w:szCs w:val="32"/>
        </w:rPr>
        <w:t>4</w:t>
      </w:r>
      <w:r w:rsidRPr="00766374">
        <w:rPr>
          <w:rFonts w:hAnsi="標楷體" w:hint="eastAsia"/>
          <w:bCs w:val="0"/>
          <w:szCs w:val="32"/>
        </w:rPr>
        <w:t>%（</w:t>
      </w:r>
      <w:r w:rsidRPr="00766374">
        <w:rPr>
          <w:rFonts w:hAnsi="標楷體"/>
          <w:bCs w:val="0"/>
          <w:szCs w:val="32"/>
        </w:rPr>
        <w:t>48</w:t>
      </w:r>
      <w:r w:rsidRPr="00766374">
        <w:rPr>
          <w:rFonts w:hAnsi="標楷體" w:hint="eastAsia"/>
          <w:bCs w:val="0"/>
          <w:szCs w:val="32"/>
        </w:rPr>
        <w:t>人</w:t>
      </w:r>
      <w:r w:rsidRPr="00766374">
        <w:rPr>
          <w:rFonts w:hAnsi="標楷體" w:hint="eastAsia"/>
          <w:bCs w:val="0"/>
          <w:spacing w:val="-10"/>
          <w:kern w:val="0"/>
          <w:szCs w:val="32"/>
        </w:rPr>
        <w:t>未達良好</w:t>
      </w:r>
      <w:r w:rsidRPr="00766374">
        <w:rPr>
          <w:rFonts w:hAnsi="標楷體" w:hint="eastAsia"/>
          <w:bCs w:val="0"/>
          <w:szCs w:val="32"/>
        </w:rPr>
        <w:t>/</w:t>
      </w:r>
      <w:r w:rsidRPr="00766374">
        <w:rPr>
          <w:rFonts w:hAnsi="標楷體" w:hint="eastAsia"/>
          <w:szCs w:val="32"/>
        </w:rPr>
        <w:t>2,0</w:t>
      </w:r>
      <w:r w:rsidRPr="00766374">
        <w:rPr>
          <w:rFonts w:hAnsi="標楷體"/>
          <w:szCs w:val="32"/>
        </w:rPr>
        <w:t>20</w:t>
      </w:r>
      <w:r w:rsidRPr="00766374">
        <w:rPr>
          <w:rFonts w:hAnsi="標楷體" w:hint="eastAsia"/>
          <w:szCs w:val="32"/>
        </w:rPr>
        <w:t>人總人數</w:t>
      </w:r>
      <w:r w:rsidRPr="00766374">
        <w:rPr>
          <w:rFonts w:hAnsi="標楷體" w:hint="eastAsia"/>
          <w:bCs w:val="0"/>
          <w:szCs w:val="32"/>
        </w:rPr>
        <w:t>）。</w:t>
      </w:r>
    </w:p>
    <w:p w:rsidR="008E3CD8" w:rsidRPr="00766374" w:rsidRDefault="008E3CD8" w:rsidP="00DC7372">
      <w:pPr>
        <w:pStyle w:val="5"/>
        <w:ind w:left="2042" w:hanging="851"/>
      </w:pPr>
      <w:r w:rsidRPr="00766374">
        <w:rPr>
          <w:rFonts w:hAnsi="標楷體" w:hint="eastAsia"/>
          <w:szCs w:val="32"/>
        </w:rPr>
        <w:t>10</w:t>
      </w:r>
      <w:r w:rsidRPr="00766374">
        <w:rPr>
          <w:rFonts w:hAnsi="標楷體"/>
          <w:szCs w:val="32"/>
        </w:rPr>
        <w:t>7</w:t>
      </w:r>
      <w:r w:rsidRPr="00766374">
        <w:rPr>
          <w:rFonts w:hAnsi="標楷體" w:hint="eastAsia"/>
          <w:szCs w:val="32"/>
        </w:rPr>
        <w:t>年</w:t>
      </w:r>
      <w:r w:rsidRPr="00766374">
        <w:rPr>
          <w:rFonts w:hAnsi="標楷體" w:hint="eastAsia"/>
          <w:bCs w:val="0"/>
          <w:spacing w:val="-10"/>
          <w:kern w:val="0"/>
          <w:szCs w:val="32"/>
        </w:rPr>
        <w:t>法官考績情形，未達良好</w:t>
      </w:r>
      <w:r w:rsidRPr="00766374">
        <w:rPr>
          <w:rFonts w:hAnsi="標楷體" w:hint="eastAsia"/>
          <w:bCs w:val="0"/>
          <w:szCs w:val="32"/>
        </w:rPr>
        <w:t>比率最高，最高法院2</w:t>
      </w:r>
      <w:r w:rsidRPr="00766374">
        <w:rPr>
          <w:rFonts w:hAnsi="標楷體"/>
          <w:bCs w:val="0"/>
          <w:szCs w:val="32"/>
        </w:rPr>
        <w:t>2</w:t>
      </w:r>
      <w:r w:rsidRPr="00766374">
        <w:rPr>
          <w:rFonts w:hAnsi="標楷體" w:hint="eastAsia"/>
          <w:bCs w:val="0"/>
          <w:szCs w:val="32"/>
        </w:rPr>
        <w:t>.</w:t>
      </w:r>
      <w:r w:rsidRPr="00766374">
        <w:rPr>
          <w:rFonts w:hAnsi="標楷體"/>
          <w:bCs w:val="0"/>
          <w:szCs w:val="32"/>
        </w:rPr>
        <w:t>4</w:t>
      </w:r>
      <w:r w:rsidRPr="00766374">
        <w:rPr>
          <w:rFonts w:hAnsi="標楷體" w:hint="eastAsia"/>
          <w:bCs w:val="0"/>
          <w:szCs w:val="32"/>
        </w:rPr>
        <w:t>%（1</w:t>
      </w:r>
      <w:r w:rsidRPr="00766374">
        <w:rPr>
          <w:rFonts w:hAnsi="標楷體"/>
          <w:bCs w:val="0"/>
          <w:szCs w:val="32"/>
        </w:rPr>
        <w:t>5</w:t>
      </w:r>
      <w:r w:rsidRPr="00766374">
        <w:rPr>
          <w:rFonts w:hAnsi="標楷體" w:hint="eastAsia"/>
          <w:bCs w:val="0"/>
          <w:szCs w:val="32"/>
        </w:rPr>
        <w:t>人</w:t>
      </w:r>
      <w:r w:rsidRPr="00766374">
        <w:rPr>
          <w:rFonts w:hAnsi="標楷體" w:hint="eastAsia"/>
          <w:bCs w:val="0"/>
          <w:spacing w:val="-10"/>
          <w:kern w:val="0"/>
          <w:szCs w:val="32"/>
        </w:rPr>
        <w:t>未達良好</w:t>
      </w:r>
      <w:r w:rsidRPr="00766374">
        <w:rPr>
          <w:rFonts w:hAnsi="標楷體" w:hint="eastAsia"/>
          <w:bCs w:val="0"/>
          <w:szCs w:val="32"/>
        </w:rPr>
        <w:t>/</w:t>
      </w:r>
      <w:r w:rsidRPr="00766374">
        <w:rPr>
          <w:rFonts w:hAnsi="標楷體"/>
          <w:bCs w:val="0"/>
          <w:szCs w:val="32"/>
        </w:rPr>
        <w:t>67</w:t>
      </w:r>
      <w:r w:rsidRPr="00766374">
        <w:rPr>
          <w:rFonts w:hAnsi="標楷體" w:hint="eastAsia"/>
          <w:bCs w:val="0"/>
          <w:szCs w:val="32"/>
        </w:rPr>
        <w:t>人總人數）</w:t>
      </w:r>
      <w:r w:rsidRPr="00766374">
        <w:rPr>
          <w:rFonts w:hAnsi="標楷體" w:hint="eastAsia"/>
          <w:szCs w:val="32"/>
        </w:rPr>
        <w:t>；</w:t>
      </w:r>
      <w:r w:rsidRPr="00766374">
        <w:rPr>
          <w:rFonts w:hAnsi="標楷體" w:hint="eastAsia"/>
          <w:bCs w:val="0"/>
          <w:spacing w:val="-10"/>
          <w:kern w:val="0"/>
          <w:szCs w:val="32"/>
        </w:rPr>
        <w:t>未達良好</w:t>
      </w:r>
      <w:r w:rsidRPr="00766374">
        <w:rPr>
          <w:rFonts w:hAnsi="標楷體" w:hint="eastAsia"/>
          <w:bCs w:val="0"/>
          <w:szCs w:val="32"/>
        </w:rPr>
        <w:t>比率較低，臺灣高雄地方法院0</w:t>
      </w:r>
      <w:r w:rsidRPr="00766374">
        <w:rPr>
          <w:rFonts w:hint="eastAsia"/>
          <w:bCs w:val="0"/>
        </w:rPr>
        <w:t>.</w:t>
      </w:r>
      <w:r w:rsidRPr="00766374">
        <w:rPr>
          <w:bCs w:val="0"/>
        </w:rPr>
        <w:t>9</w:t>
      </w:r>
      <w:r w:rsidRPr="00766374">
        <w:rPr>
          <w:rFonts w:hAnsi="標楷體" w:hint="eastAsia"/>
          <w:bCs w:val="0"/>
          <w:szCs w:val="32"/>
        </w:rPr>
        <w:t>%（1人</w:t>
      </w:r>
      <w:r w:rsidRPr="00766374">
        <w:rPr>
          <w:rFonts w:hAnsi="標楷體" w:hint="eastAsia"/>
          <w:bCs w:val="0"/>
          <w:spacing w:val="-10"/>
          <w:kern w:val="0"/>
          <w:szCs w:val="32"/>
        </w:rPr>
        <w:t>未達良好</w:t>
      </w:r>
      <w:r w:rsidRPr="00766374">
        <w:rPr>
          <w:rFonts w:hAnsi="標楷體" w:hint="eastAsia"/>
          <w:bCs w:val="0"/>
          <w:szCs w:val="32"/>
        </w:rPr>
        <w:t>/1</w:t>
      </w:r>
      <w:r w:rsidRPr="00766374">
        <w:rPr>
          <w:rFonts w:hAnsi="標楷體"/>
          <w:bCs w:val="0"/>
          <w:szCs w:val="32"/>
        </w:rPr>
        <w:t>14</w:t>
      </w:r>
      <w:r w:rsidRPr="00766374">
        <w:rPr>
          <w:rFonts w:hAnsi="標楷體" w:hint="eastAsia"/>
          <w:bCs w:val="0"/>
          <w:szCs w:val="32"/>
        </w:rPr>
        <w:t>人總人數）</w:t>
      </w:r>
      <w:r w:rsidRPr="00766374">
        <w:rPr>
          <w:rFonts w:hAnsi="標楷體" w:hint="eastAsia"/>
          <w:szCs w:val="32"/>
        </w:rPr>
        <w:t>；</w:t>
      </w:r>
      <w:r w:rsidRPr="00766374">
        <w:rPr>
          <w:rFonts w:hAnsi="標楷體" w:hint="eastAsia"/>
          <w:bCs w:val="0"/>
          <w:spacing w:val="-10"/>
          <w:kern w:val="0"/>
          <w:szCs w:val="32"/>
        </w:rPr>
        <w:t>未達良好</w:t>
      </w:r>
      <w:r w:rsidRPr="00766374">
        <w:rPr>
          <w:rFonts w:hAnsi="標楷體" w:hint="eastAsia"/>
          <w:bCs w:val="0"/>
          <w:szCs w:val="32"/>
        </w:rPr>
        <w:t>之人數為0人，最高行政法院0%（0人</w:t>
      </w:r>
      <w:r w:rsidRPr="00766374">
        <w:rPr>
          <w:rFonts w:hAnsi="標楷體" w:hint="eastAsia"/>
          <w:bCs w:val="0"/>
          <w:spacing w:val="-10"/>
          <w:kern w:val="0"/>
          <w:szCs w:val="32"/>
        </w:rPr>
        <w:t>未達良好</w:t>
      </w:r>
      <w:r w:rsidRPr="00766374">
        <w:rPr>
          <w:rFonts w:hAnsi="標楷體" w:hint="eastAsia"/>
          <w:bCs w:val="0"/>
          <w:szCs w:val="32"/>
        </w:rPr>
        <w:t>/</w:t>
      </w:r>
      <w:r w:rsidRPr="00766374">
        <w:rPr>
          <w:rFonts w:hAnsi="標楷體"/>
          <w:bCs w:val="0"/>
          <w:szCs w:val="32"/>
        </w:rPr>
        <w:t>15</w:t>
      </w:r>
      <w:r w:rsidRPr="00766374">
        <w:rPr>
          <w:rFonts w:hAnsi="標楷體" w:hint="eastAsia"/>
          <w:bCs w:val="0"/>
          <w:szCs w:val="32"/>
        </w:rPr>
        <w:t>人總人數）等2</w:t>
      </w:r>
      <w:r w:rsidRPr="00766374">
        <w:rPr>
          <w:rFonts w:hAnsi="標楷體"/>
          <w:bCs w:val="0"/>
          <w:szCs w:val="32"/>
        </w:rPr>
        <w:t>0</w:t>
      </w:r>
      <w:r w:rsidRPr="00766374">
        <w:rPr>
          <w:rFonts w:hAnsi="標楷體" w:hint="eastAsia"/>
          <w:bCs w:val="0"/>
          <w:szCs w:val="32"/>
        </w:rPr>
        <w:t>法院。平均比率</w:t>
      </w:r>
      <w:r w:rsidRPr="00766374">
        <w:rPr>
          <w:rFonts w:hAnsi="標楷體"/>
          <w:bCs w:val="0"/>
          <w:szCs w:val="32"/>
        </w:rPr>
        <w:t>2</w:t>
      </w:r>
      <w:r w:rsidRPr="00766374">
        <w:rPr>
          <w:rFonts w:hAnsi="標楷體" w:hint="eastAsia"/>
          <w:bCs w:val="0"/>
          <w:szCs w:val="32"/>
        </w:rPr>
        <w:t>.</w:t>
      </w:r>
      <w:r w:rsidRPr="00766374">
        <w:rPr>
          <w:rFonts w:hAnsi="標楷體"/>
          <w:bCs w:val="0"/>
          <w:szCs w:val="32"/>
        </w:rPr>
        <w:t>1</w:t>
      </w:r>
      <w:r w:rsidRPr="00766374">
        <w:rPr>
          <w:rFonts w:hAnsi="標楷體" w:hint="eastAsia"/>
          <w:bCs w:val="0"/>
          <w:szCs w:val="32"/>
        </w:rPr>
        <w:t>%（</w:t>
      </w:r>
      <w:r w:rsidRPr="00766374">
        <w:rPr>
          <w:rFonts w:hAnsi="標楷體"/>
          <w:bCs w:val="0"/>
          <w:szCs w:val="32"/>
        </w:rPr>
        <w:t>43</w:t>
      </w:r>
      <w:r w:rsidRPr="00766374">
        <w:rPr>
          <w:rFonts w:hAnsi="標楷體" w:hint="eastAsia"/>
          <w:bCs w:val="0"/>
          <w:szCs w:val="32"/>
        </w:rPr>
        <w:t>人</w:t>
      </w:r>
      <w:r w:rsidRPr="00766374">
        <w:rPr>
          <w:rFonts w:hAnsi="標楷體" w:hint="eastAsia"/>
          <w:bCs w:val="0"/>
          <w:spacing w:val="-10"/>
          <w:kern w:val="0"/>
          <w:szCs w:val="32"/>
        </w:rPr>
        <w:t>未達良好</w:t>
      </w:r>
      <w:r w:rsidRPr="00766374">
        <w:rPr>
          <w:rFonts w:hAnsi="標楷體" w:hint="eastAsia"/>
          <w:bCs w:val="0"/>
          <w:szCs w:val="32"/>
        </w:rPr>
        <w:t>/</w:t>
      </w:r>
      <w:r w:rsidRPr="00766374">
        <w:rPr>
          <w:rFonts w:hAnsi="標楷體" w:hint="eastAsia"/>
          <w:szCs w:val="32"/>
        </w:rPr>
        <w:t>2,0</w:t>
      </w:r>
      <w:r w:rsidRPr="00766374">
        <w:rPr>
          <w:rFonts w:hAnsi="標楷體"/>
          <w:szCs w:val="32"/>
        </w:rPr>
        <w:t>14</w:t>
      </w:r>
      <w:r w:rsidRPr="00766374">
        <w:rPr>
          <w:rFonts w:hAnsi="標楷體" w:hint="eastAsia"/>
          <w:szCs w:val="32"/>
        </w:rPr>
        <w:t>人總人數</w:t>
      </w:r>
      <w:r w:rsidRPr="00766374">
        <w:rPr>
          <w:rFonts w:hAnsi="標楷體" w:hint="eastAsia"/>
          <w:bCs w:val="0"/>
          <w:szCs w:val="32"/>
        </w:rPr>
        <w:t>）。</w:t>
      </w:r>
    </w:p>
    <w:p w:rsidR="00775FD9" w:rsidRPr="00766374" w:rsidRDefault="00775FD9" w:rsidP="00DC7372">
      <w:pPr>
        <w:pStyle w:val="5"/>
        <w:ind w:left="2042" w:hanging="851"/>
      </w:pPr>
      <w:r w:rsidRPr="00766374">
        <w:rPr>
          <w:rFonts w:hAnsi="標楷體" w:hint="eastAsia"/>
          <w:bCs w:val="0"/>
          <w:szCs w:val="32"/>
        </w:rPr>
        <w:t>是則，法官法</w:t>
      </w:r>
      <w:r w:rsidR="00887786">
        <w:rPr>
          <w:rFonts w:hAnsi="標楷體" w:hint="eastAsia"/>
          <w:bCs w:val="0"/>
          <w:szCs w:val="32"/>
        </w:rPr>
        <w:t>施</w:t>
      </w:r>
      <w:r w:rsidRPr="00766374">
        <w:rPr>
          <w:rFonts w:hAnsi="標楷體" w:hint="eastAsia"/>
          <w:bCs w:val="0"/>
          <w:szCs w:val="32"/>
        </w:rPr>
        <w:t>行以前，96-100年法官乙等平均比率係9.</w:t>
      </w:r>
      <w:r w:rsidRPr="00766374">
        <w:rPr>
          <w:rFonts w:hAnsi="標楷體"/>
          <w:bCs w:val="0"/>
          <w:szCs w:val="32"/>
        </w:rPr>
        <w:t>9%-10</w:t>
      </w:r>
      <w:r w:rsidRPr="00766374">
        <w:rPr>
          <w:rFonts w:hint="eastAsia"/>
          <w:bCs w:val="0"/>
        </w:rPr>
        <w:t>.</w:t>
      </w:r>
      <w:r w:rsidRPr="00766374">
        <w:rPr>
          <w:bCs w:val="0"/>
        </w:rPr>
        <w:t>15</w:t>
      </w:r>
      <w:r w:rsidR="005910E1" w:rsidRPr="00766374">
        <w:rPr>
          <w:bCs w:val="0"/>
        </w:rPr>
        <w:t>%</w:t>
      </w:r>
      <w:r w:rsidRPr="00766374">
        <w:rPr>
          <w:rFonts w:hint="eastAsia"/>
          <w:bCs w:val="0"/>
        </w:rPr>
        <w:t>，而</w:t>
      </w:r>
      <w:r w:rsidRPr="00766374">
        <w:rPr>
          <w:rFonts w:hAnsi="標楷體" w:hint="eastAsia"/>
          <w:bCs w:val="0"/>
          <w:szCs w:val="32"/>
        </w:rPr>
        <w:t>法官法</w:t>
      </w:r>
      <w:r w:rsidR="00887786">
        <w:rPr>
          <w:rFonts w:hAnsi="標楷體" w:hint="eastAsia"/>
          <w:bCs w:val="0"/>
          <w:szCs w:val="32"/>
        </w:rPr>
        <w:t>施</w:t>
      </w:r>
      <w:r w:rsidRPr="00766374">
        <w:rPr>
          <w:rFonts w:hAnsi="標楷體" w:hint="eastAsia"/>
          <w:bCs w:val="0"/>
          <w:szCs w:val="32"/>
        </w:rPr>
        <w:t>行以後，</w:t>
      </w:r>
      <w:r w:rsidRPr="00766374">
        <w:rPr>
          <w:rFonts w:hAnsi="標楷體"/>
          <w:bCs w:val="0"/>
          <w:szCs w:val="32"/>
        </w:rPr>
        <w:t>101</w:t>
      </w:r>
      <w:r w:rsidRPr="00766374">
        <w:rPr>
          <w:rFonts w:hAnsi="標楷體" w:hint="eastAsia"/>
          <w:bCs w:val="0"/>
          <w:szCs w:val="32"/>
        </w:rPr>
        <w:t>-10</w:t>
      </w:r>
      <w:r w:rsidRPr="00766374">
        <w:rPr>
          <w:rFonts w:hAnsi="標楷體"/>
          <w:bCs w:val="0"/>
          <w:szCs w:val="32"/>
        </w:rPr>
        <w:t>7</w:t>
      </w:r>
      <w:r w:rsidRPr="00766374">
        <w:rPr>
          <w:rFonts w:hAnsi="標楷體" w:hint="eastAsia"/>
          <w:bCs w:val="0"/>
          <w:szCs w:val="32"/>
        </w:rPr>
        <w:t>年法官</w:t>
      </w:r>
      <w:r w:rsidRPr="00766374">
        <w:rPr>
          <w:rFonts w:hAnsi="標楷體" w:hint="eastAsia"/>
          <w:bCs w:val="0"/>
          <w:spacing w:val="-10"/>
          <w:kern w:val="0"/>
          <w:szCs w:val="32"/>
        </w:rPr>
        <w:t>未達良好</w:t>
      </w:r>
      <w:r w:rsidRPr="00766374">
        <w:rPr>
          <w:rFonts w:hAnsi="標楷體" w:hint="eastAsia"/>
          <w:bCs w:val="0"/>
          <w:szCs w:val="32"/>
        </w:rPr>
        <w:t>平均比率係</w:t>
      </w:r>
      <w:r w:rsidRPr="00766374">
        <w:rPr>
          <w:rFonts w:hAnsi="標楷體"/>
          <w:bCs w:val="0"/>
          <w:szCs w:val="32"/>
        </w:rPr>
        <w:t>1</w:t>
      </w:r>
      <w:r w:rsidRPr="00766374">
        <w:rPr>
          <w:rFonts w:hAnsi="標楷體" w:hint="eastAsia"/>
          <w:bCs w:val="0"/>
          <w:szCs w:val="32"/>
        </w:rPr>
        <w:t>.</w:t>
      </w:r>
      <w:r w:rsidRPr="00766374">
        <w:rPr>
          <w:rFonts w:hAnsi="標楷體"/>
          <w:bCs w:val="0"/>
          <w:szCs w:val="32"/>
        </w:rPr>
        <w:t>8</w:t>
      </w:r>
      <w:r w:rsidRPr="00766374">
        <w:rPr>
          <w:rFonts w:hAnsi="標楷體" w:hint="eastAsia"/>
          <w:bCs w:val="0"/>
          <w:szCs w:val="32"/>
        </w:rPr>
        <w:t>%-</w:t>
      </w:r>
      <w:r w:rsidRPr="00766374">
        <w:rPr>
          <w:rFonts w:hAnsi="標楷體"/>
          <w:bCs w:val="0"/>
          <w:szCs w:val="32"/>
        </w:rPr>
        <w:t>2</w:t>
      </w:r>
      <w:r w:rsidRPr="00766374">
        <w:rPr>
          <w:rFonts w:hint="eastAsia"/>
          <w:bCs w:val="0"/>
        </w:rPr>
        <w:t>.</w:t>
      </w:r>
      <w:r w:rsidRPr="00766374">
        <w:rPr>
          <w:bCs w:val="0"/>
        </w:rPr>
        <w:t>7</w:t>
      </w:r>
      <w:r w:rsidR="005910E1" w:rsidRPr="00766374">
        <w:rPr>
          <w:bCs w:val="0"/>
        </w:rPr>
        <w:t>%</w:t>
      </w:r>
      <w:r w:rsidRPr="00766374">
        <w:rPr>
          <w:rFonts w:hint="eastAsia"/>
          <w:bCs w:val="0"/>
        </w:rPr>
        <w:t>，</w:t>
      </w:r>
      <w:r w:rsidR="002A6DA8" w:rsidRPr="00766374">
        <w:rPr>
          <w:rFonts w:hAnsi="標楷體" w:hint="eastAsia"/>
          <w:bCs w:val="0"/>
          <w:szCs w:val="32"/>
        </w:rPr>
        <w:t>法官法</w:t>
      </w:r>
      <w:r w:rsidR="00887786">
        <w:rPr>
          <w:rFonts w:hAnsi="標楷體" w:hint="eastAsia"/>
          <w:bCs w:val="0"/>
          <w:szCs w:val="32"/>
        </w:rPr>
        <w:t>施</w:t>
      </w:r>
      <w:r w:rsidR="002A6DA8" w:rsidRPr="00766374">
        <w:rPr>
          <w:rFonts w:hAnsi="標楷體" w:hint="eastAsia"/>
          <w:bCs w:val="0"/>
          <w:szCs w:val="32"/>
        </w:rPr>
        <w:t>行前後之乙等或</w:t>
      </w:r>
      <w:r w:rsidR="002A6DA8" w:rsidRPr="00766374">
        <w:rPr>
          <w:rFonts w:hAnsi="標楷體" w:hint="eastAsia"/>
          <w:bCs w:val="0"/>
          <w:spacing w:val="-10"/>
          <w:kern w:val="0"/>
          <w:szCs w:val="32"/>
        </w:rPr>
        <w:t>未達良好之比率</w:t>
      </w:r>
      <w:r w:rsidR="002A6DA8" w:rsidRPr="00766374">
        <w:rPr>
          <w:rFonts w:hAnsi="標楷體" w:hint="eastAsia"/>
          <w:bCs w:val="0"/>
          <w:szCs w:val="32"/>
        </w:rPr>
        <w:t>，相差甚大。</w:t>
      </w:r>
    </w:p>
    <w:p w:rsidR="003A5927" w:rsidRDefault="00CD31D0" w:rsidP="00B114BB">
      <w:pPr>
        <w:pStyle w:val="3"/>
        <w:ind w:left="1360" w:hanging="680"/>
      </w:pPr>
      <w:r w:rsidRPr="00766374">
        <w:rPr>
          <w:rFonts w:hint="eastAsia"/>
        </w:rPr>
        <w:t>綜上，</w:t>
      </w:r>
      <w:r w:rsidR="00AA7840" w:rsidRPr="00766374">
        <w:rPr>
          <w:rFonts w:hint="eastAsia"/>
        </w:rPr>
        <w:t>有關上開</w:t>
      </w:r>
      <w:r w:rsidR="003A102A" w:rsidRPr="00766374">
        <w:rPr>
          <w:rFonts w:hint="eastAsia"/>
        </w:rPr>
        <w:t>法官、檢察官</w:t>
      </w:r>
      <w:r w:rsidR="00AA7840" w:rsidRPr="00766374">
        <w:rPr>
          <w:rFonts w:hint="eastAsia"/>
        </w:rPr>
        <w:t>之審判品質不佳，例如：</w:t>
      </w:r>
      <w:r w:rsidR="00AA7840" w:rsidRPr="00766374">
        <w:rPr>
          <w:rFonts w:hAnsi="標楷體" w:cs="新細明體" w:hint="eastAsia"/>
          <w:kern w:val="0"/>
          <w:szCs w:val="32"/>
        </w:rPr>
        <w:t>「確定裁判經非常上訴判決認審判違背法令，</w:t>
      </w:r>
      <w:r w:rsidR="00AA7840" w:rsidRPr="00766374">
        <w:rPr>
          <w:rFonts w:hAnsi="標楷體" w:cs="新細明體" w:hint="eastAsia"/>
          <w:kern w:val="0"/>
          <w:szCs w:val="32"/>
        </w:rPr>
        <w:lastRenderedPageBreak/>
        <w:t>其疏失情節嚴重者」、「判決誤載或誤算</w:t>
      </w:r>
      <w:r w:rsidR="00AA7840" w:rsidRPr="00766374">
        <w:rPr>
          <w:rFonts w:hint="eastAsia"/>
          <w:szCs w:val="32"/>
        </w:rPr>
        <w:t>者」、</w:t>
      </w:r>
      <w:r w:rsidR="00AA7840" w:rsidRPr="00766374">
        <w:rPr>
          <w:rFonts w:hAnsi="標楷體" w:hint="eastAsia"/>
          <w:kern w:val="0"/>
          <w:szCs w:val="32"/>
        </w:rPr>
        <w:t>「訴訟指揮違反法定程序者」、「訴外裁判……者」，</w:t>
      </w:r>
      <w:r w:rsidR="00AA7840" w:rsidRPr="00766374">
        <w:rPr>
          <w:rFonts w:hint="eastAsia"/>
        </w:rPr>
        <w:t>怠於執行職務，例如：</w:t>
      </w:r>
      <w:r w:rsidR="00AA7840" w:rsidRPr="00766374">
        <w:rPr>
          <w:rFonts w:hAnsi="標楷體" w:hint="eastAsia"/>
          <w:kern w:val="0"/>
          <w:szCs w:val="32"/>
        </w:rPr>
        <w:t>「滯延案件者，因判決寫不出來，無理由再開辯論。」、「外務太多，不務法官本業者」、「俗稱帶便當法官」，</w:t>
      </w:r>
      <w:r w:rsidR="00AA7840" w:rsidRPr="00766374">
        <w:rPr>
          <w:rFonts w:hint="eastAsia"/>
        </w:rPr>
        <w:t>品行不佳，例如：</w:t>
      </w:r>
      <w:r w:rsidR="00AA7840" w:rsidRPr="00766374">
        <w:rPr>
          <w:rFonts w:hAnsi="標楷體" w:cs="新細明體" w:hint="eastAsia"/>
          <w:kern w:val="0"/>
          <w:szCs w:val="32"/>
        </w:rPr>
        <w:t>「接受他人關說者」、「言行不檢者」</w:t>
      </w:r>
      <w:r w:rsidR="00AA7840" w:rsidRPr="00766374">
        <w:rPr>
          <w:rFonts w:hint="eastAsia"/>
        </w:rPr>
        <w:t>及未詳查事證率予起訴等，應予自律之案例及態樣，除各級審檢之自律機制外，</w:t>
      </w:r>
      <w:r w:rsidR="00B114BB" w:rsidRPr="00766374">
        <w:rPr>
          <w:rFonts w:hint="eastAsia"/>
        </w:rPr>
        <w:t>司法院及法務部應嚴促</w:t>
      </w:r>
      <w:r w:rsidR="00AA7840" w:rsidRPr="00BA2046">
        <w:rPr>
          <w:rFonts w:hint="eastAsia"/>
        </w:rPr>
        <w:t>各級審檢首長</w:t>
      </w:r>
      <w:r w:rsidR="00B114BB" w:rsidRPr="00BA2046">
        <w:rPr>
          <w:rFonts w:hint="eastAsia"/>
        </w:rPr>
        <w:t>嚴格</w:t>
      </w:r>
      <w:r w:rsidR="00AA7840" w:rsidRPr="00BA2046">
        <w:rPr>
          <w:rFonts w:hint="eastAsia"/>
        </w:rPr>
        <w:t>落實職務監督</w:t>
      </w:r>
      <w:r w:rsidR="00CF01B9" w:rsidRPr="00BA2046">
        <w:rPr>
          <w:rFonts w:hAnsi="標楷體" w:hint="eastAsia"/>
          <w:kern w:val="0"/>
          <w:szCs w:val="32"/>
        </w:rPr>
        <w:t>，以淘汰不適格之</w:t>
      </w:r>
      <w:r w:rsidR="003A102A">
        <w:rPr>
          <w:rFonts w:hint="eastAsia"/>
        </w:rPr>
        <w:t>法官、檢察官</w:t>
      </w:r>
      <w:r w:rsidR="00AA7840" w:rsidRPr="00BA2046">
        <w:rPr>
          <w:rFonts w:hint="eastAsia"/>
        </w:rPr>
        <w:t>。另法官法</w:t>
      </w:r>
      <w:r w:rsidR="00887786">
        <w:rPr>
          <w:rFonts w:hint="eastAsia"/>
        </w:rPr>
        <w:t>施</w:t>
      </w:r>
      <w:r w:rsidR="00AA7840" w:rsidRPr="00BA2046">
        <w:rPr>
          <w:rFonts w:hint="eastAsia"/>
        </w:rPr>
        <w:t>行以前，96-100年法官考列乙等平均比率係9.9%-10.15%，而法官法</w:t>
      </w:r>
      <w:r w:rsidR="00887786">
        <w:rPr>
          <w:rFonts w:hint="eastAsia"/>
        </w:rPr>
        <w:t>施</w:t>
      </w:r>
      <w:r w:rsidR="00AA7840" w:rsidRPr="00BA2046">
        <w:rPr>
          <w:rFonts w:hint="eastAsia"/>
        </w:rPr>
        <w:t>行以後，101-107年法官未達良好平均比率係1.8%-2.7%，</w:t>
      </w:r>
      <w:r w:rsidR="005910E1" w:rsidRPr="00BA2046">
        <w:rPr>
          <w:rFonts w:hint="eastAsia"/>
        </w:rPr>
        <w:t>兩者</w:t>
      </w:r>
      <w:r w:rsidR="00AA7840" w:rsidRPr="00BA2046">
        <w:rPr>
          <w:rFonts w:hint="eastAsia"/>
        </w:rPr>
        <w:t>相差甚大，司法院應研討</w:t>
      </w:r>
      <w:r w:rsidR="005910E1" w:rsidRPr="00BA2046">
        <w:rPr>
          <w:rFonts w:hint="eastAsia"/>
        </w:rPr>
        <w:t>其</w:t>
      </w:r>
      <w:r w:rsidR="00AA7840" w:rsidRPr="00BA2046">
        <w:rPr>
          <w:rFonts w:hint="eastAsia"/>
        </w:rPr>
        <w:t>差異，並強化對法官的考核</w:t>
      </w:r>
      <w:r w:rsidR="000E7AF2" w:rsidRPr="00BA2046">
        <w:rPr>
          <w:rFonts w:hint="eastAsia"/>
        </w:rPr>
        <w:t>，又法務部亦應落實及強化對檢察官的考核。</w:t>
      </w:r>
    </w:p>
    <w:p w:rsidR="00877081" w:rsidRDefault="00877081" w:rsidP="00877081">
      <w:pPr>
        <w:pStyle w:val="1"/>
      </w:pPr>
      <w:r>
        <w:rPr>
          <w:rFonts w:hint="eastAsia"/>
        </w:rPr>
        <w:t xml:space="preserve">處理辦法： </w:t>
      </w:r>
    </w:p>
    <w:p w:rsidR="00877081" w:rsidRDefault="00877081" w:rsidP="00F26D2D">
      <w:pPr>
        <w:pStyle w:val="1"/>
        <w:numPr>
          <w:ilvl w:val="0"/>
          <w:numId w:val="0"/>
        </w:numPr>
        <w:ind w:leftChars="126" w:left="1133" w:hangingChars="207" w:hanging="704"/>
      </w:pPr>
      <w:r>
        <w:rPr>
          <w:rFonts w:hint="eastAsia"/>
        </w:rPr>
        <w:t>一、調查意見二、五，函請法務部確實檢討改進見復，調查意見四，高明哲是否涉及違反刑法第124條枉法裁判罪之虞，請研議重啟偵查之必要。</w:t>
      </w:r>
    </w:p>
    <w:p w:rsidR="00877081" w:rsidRDefault="00877081" w:rsidP="00F26D2D">
      <w:pPr>
        <w:pStyle w:val="1"/>
        <w:numPr>
          <w:ilvl w:val="0"/>
          <w:numId w:val="0"/>
        </w:numPr>
        <w:ind w:leftChars="126" w:left="1133" w:hangingChars="207" w:hanging="704"/>
      </w:pPr>
      <w:r>
        <w:rPr>
          <w:rFonts w:hint="eastAsia"/>
        </w:rPr>
        <w:t>二、調查意見三、五，函請司法院確實檢討改進見復。</w:t>
      </w:r>
    </w:p>
    <w:p w:rsidR="00877081" w:rsidRDefault="00877081" w:rsidP="00F26D2D">
      <w:pPr>
        <w:pStyle w:val="1"/>
        <w:numPr>
          <w:ilvl w:val="0"/>
          <w:numId w:val="0"/>
        </w:numPr>
        <w:ind w:leftChars="126" w:left="1133" w:hangingChars="207" w:hanging="704"/>
      </w:pPr>
      <w:r>
        <w:rPr>
          <w:rFonts w:hint="eastAsia"/>
        </w:rPr>
        <w:t>三、調</w:t>
      </w:r>
      <w:bookmarkStart w:id="52" w:name="_GoBack"/>
      <w:bookmarkEnd w:id="52"/>
      <w:r>
        <w:rPr>
          <w:rFonts w:hint="eastAsia"/>
        </w:rPr>
        <w:t>查意見一至五，函復陳訴人。</w:t>
      </w:r>
    </w:p>
    <w:p w:rsidR="00877081" w:rsidRPr="004E3D0A" w:rsidRDefault="00877081" w:rsidP="00877081">
      <w:pPr>
        <w:pStyle w:val="1"/>
        <w:numPr>
          <w:ilvl w:val="0"/>
          <w:numId w:val="0"/>
        </w:numPr>
        <w:spacing w:beforeLines="50" w:before="228"/>
        <w:ind w:left="2381" w:firstLine="1162"/>
        <w:rPr>
          <w:sz w:val="40"/>
          <w:szCs w:val="40"/>
        </w:rPr>
      </w:pPr>
      <w:r w:rsidRPr="004E3D0A">
        <w:rPr>
          <w:rFonts w:hint="eastAsia"/>
          <w:sz w:val="40"/>
          <w:szCs w:val="40"/>
        </w:rPr>
        <w:t>調查委員：</w:t>
      </w:r>
      <w:r w:rsidR="004E3D0A" w:rsidRPr="004E3D0A">
        <w:rPr>
          <w:rFonts w:hint="eastAsia"/>
          <w:sz w:val="40"/>
          <w:szCs w:val="40"/>
        </w:rPr>
        <w:t>高涌誠</w:t>
      </w:r>
    </w:p>
    <w:p w:rsidR="00416721" w:rsidRPr="00F7033D" w:rsidRDefault="00E25849" w:rsidP="00F7033D">
      <w:pPr>
        <w:ind w:leftChars="-125" w:left="129" w:hangingChars="163" w:hanging="554"/>
        <w:rPr>
          <w:bCs/>
        </w:rPr>
      </w:pPr>
      <w:bookmarkStart w:id="53" w:name="_Toc524895648"/>
      <w:bookmarkStart w:id="54" w:name="_Toc524896194"/>
      <w:bookmarkStart w:id="55" w:name="_Toc524896224"/>
      <w:bookmarkStart w:id="56" w:name="_Toc524902734"/>
      <w:bookmarkStart w:id="57" w:name="_Toc525066148"/>
      <w:bookmarkStart w:id="58" w:name="_Toc525070839"/>
      <w:bookmarkStart w:id="59" w:name="_Toc525938379"/>
      <w:bookmarkStart w:id="60" w:name="_Toc525939227"/>
      <w:bookmarkStart w:id="61" w:name="_Toc525939732"/>
      <w:bookmarkStart w:id="62" w:name="_Toc529218272"/>
      <w:bookmarkEnd w:id="49"/>
      <w:r w:rsidRPr="00BA2046">
        <w:br w:type="page"/>
      </w:r>
      <w:bookmarkEnd w:id="53"/>
      <w:bookmarkEnd w:id="54"/>
      <w:bookmarkEnd w:id="55"/>
      <w:bookmarkEnd w:id="56"/>
      <w:bookmarkEnd w:id="57"/>
      <w:bookmarkEnd w:id="58"/>
      <w:bookmarkEnd w:id="59"/>
      <w:bookmarkEnd w:id="60"/>
      <w:bookmarkEnd w:id="61"/>
      <w:bookmarkEnd w:id="62"/>
      <w:r w:rsidR="00F7033D" w:rsidRPr="00F7033D">
        <w:rPr>
          <w:rFonts w:ascii="Times New Roman"/>
          <w:b/>
          <w:bCs/>
          <w:kern w:val="0"/>
          <w:sz w:val="40"/>
        </w:rPr>
        <w:lastRenderedPageBreak/>
        <w:t xml:space="preserve"> </w:t>
      </w:r>
    </w:p>
    <w:bookmarkStart w:id="63" w:name="_Toc421794883"/>
    <w:bookmarkStart w:id="64" w:name="_Toc4467127"/>
    <w:bookmarkEnd w:id="63"/>
    <w:p w:rsidR="00B77D18" w:rsidRPr="00BA2046" w:rsidRDefault="00B41328" w:rsidP="00717F7A">
      <w:pPr>
        <w:pStyle w:val="a0"/>
        <w:numPr>
          <w:ilvl w:val="0"/>
          <w:numId w:val="3"/>
        </w:numPr>
        <w:tabs>
          <w:tab w:val="clear" w:pos="1440"/>
        </w:tabs>
        <w:ind w:left="1361" w:hanging="1361"/>
        <w:rPr>
          <w:bCs/>
        </w:rPr>
      </w:pPr>
      <w:r w:rsidRPr="00BA2046">
        <w:rPr>
          <w:rFonts w:hAnsi="標楷體" w:hint="eastAsia"/>
          <w:bCs/>
          <w:noProof/>
          <w:spacing w:val="-10"/>
          <w:kern w:val="0"/>
          <w:sz w:val="28"/>
          <w:szCs w:val="32"/>
        </w:rPr>
        <mc:AlternateContent>
          <mc:Choice Requires="wps">
            <w:drawing>
              <wp:anchor distT="0" distB="0" distL="114300" distR="114300" simplePos="0" relativeHeight="251666432" behindDoc="0" locked="0" layoutInCell="1" allowOverlap="1">
                <wp:simplePos x="0" y="0"/>
                <wp:positionH relativeFrom="column">
                  <wp:posOffset>-267335</wp:posOffset>
                </wp:positionH>
                <wp:positionV relativeFrom="paragraph">
                  <wp:posOffset>291465</wp:posOffset>
                </wp:positionV>
                <wp:extent cx="1043940" cy="243840"/>
                <wp:effectExtent l="0" t="0" r="22860" b="22860"/>
                <wp:wrapNone/>
                <wp:docPr id="11" name="直線接點 11"/>
                <wp:cNvGraphicFramePr/>
                <a:graphic xmlns:a="http://schemas.openxmlformats.org/drawingml/2006/main">
                  <a:graphicData uri="http://schemas.microsoft.com/office/word/2010/wordprocessingShape">
                    <wps:wsp>
                      <wps:cNvCnPr/>
                      <wps:spPr>
                        <a:xfrm>
                          <a:off x="0" y="0"/>
                          <a:ext cx="1043940" cy="2438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7F0667DE" id="直線接點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5pt,22.95pt" to="61.15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" strokecolor="black [3040]"/>
            </w:pict>
          </mc:Fallback>
        </mc:AlternateContent>
      </w:r>
      <w:r w:rsidRPr="00BA2046">
        <w:rPr>
          <w:rFonts w:hAnsi="標楷體" w:hint="eastAsia"/>
          <w:bCs/>
          <w:spacing w:val="-10"/>
          <w:kern w:val="0"/>
          <w:sz w:val="28"/>
          <w:szCs w:val="32"/>
        </w:rPr>
        <w:t>96-99年法官考績表</w:t>
      </w:r>
    </w:p>
    <w:tbl>
      <w:tblPr>
        <w:tblStyle w:val="13"/>
        <w:tblW w:w="10310" w:type="dxa"/>
        <w:tblInd w:w="-431" w:type="dxa"/>
        <w:tblLook w:val="04A0" w:firstRow="1" w:lastRow="0" w:firstColumn="1" w:lastColumn="0" w:noHBand="0" w:noVBand="1"/>
      </w:tblPr>
      <w:tblGrid>
        <w:gridCol w:w="1653"/>
        <w:gridCol w:w="577"/>
        <w:gridCol w:w="767"/>
        <w:gridCol w:w="815"/>
        <w:gridCol w:w="577"/>
        <w:gridCol w:w="767"/>
        <w:gridCol w:w="815"/>
        <w:gridCol w:w="577"/>
        <w:gridCol w:w="767"/>
        <w:gridCol w:w="815"/>
        <w:gridCol w:w="577"/>
        <w:gridCol w:w="767"/>
        <w:gridCol w:w="836"/>
      </w:tblGrid>
      <w:tr w:rsidR="00B41328" w:rsidRPr="00BA2046" w:rsidTr="00B41328">
        <w:trPr>
          <w:trHeight w:val="384"/>
        </w:trPr>
        <w:tc>
          <w:tcPr>
            <w:tcW w:w="1653" w:type="dxa"/>
            <w:vMerge w:val="restart"/>
            <w:tcBorders>
              <w:top w:val="single" w:sz="4" w:space="0" w:color="auto"/>
              <w:left w:val="single" w:sz="4" w:space="0" w:color="auto"/>
              <w:bottom w:val="single" w:sz="4" w:space="0" w:color="auto"/>
              <w:right w:val="single" w:sz="4" w:space="0" w:color="auto"/>
            </w:tcBorders>
            <w:hideMark/>
          </w:tcPr>
          <w:p w:rsidR="00B41328" w:rsidRPr="00BA2046" w:rsidRDefault="00B41328">
            <w:pPr>
              <w:tabs>
                <w:tab w:val="left" w:pos="504"/>
              </w:tabs>
              <w:overflowPunct/>
              <w:autoSpaceDE/>
              <w:spacing w:line="280" w:lineRule="exact"/>
              <w:ind w:leftChars="-105" w:left="108" w:hangingChars="211" w:hanging="465"/>
              <w:jc w:val="left"/>
              <w:rPr>
                <w:rFonts w:hAnsi="標楷體"/>
                <w:sz w:val="20"/>
                <w:szCs w:val="20"/>
              </w:rPr>
            </w:pPr>
            <w:r w:rsidRPr="00BA2046">
              <w:rPr>
                <w:rFonts w:ascii="Calibri" w:eastAsia="Times New Roman"/>
                <w:noProof/>
                <w:sz w:val="20"/>
              </w:rPr>
              <mc:AlternateContent>
                <mc:Choice Requires="wps">
                  <w:drawing>
                    <wp:anchor distT="0" distB="0" distL="114300" distR="114300" simplePos="0" relativeHeight="251667456" behindDoc="0" locked="0" layoutInCell="1" allowOverlap="1">
                      <wp:simplePos x="0" y="0"/>
                      <wp:positionH relativeFrom="column">
                        <wp:posOffset>-73025</wp:posOffset>
                      </wp:positionH>
                      <wp:positionV relativeFrom="paragraph">
                        <wp:posOffset>2540</wp:posOffset>
                      </wp:positionV>
                      <wp:extent cx="1051560" cy="541020"/>
                      <wp:effectExtent l="0" t="0" r="34290" b="30480"/>
                      <wp:wrapNone/>
                      <wp:docPr id="12" name="直線接點 12"/>
                      <wp:cNvGraphicFramePr/>
                      <a:graphic xmlns:a="http://schemas.openxmlformats.org/drawingml/2006/main">
                        <a:graphicData uri="http://schemas.microsoft.com/office/word/2010/wordprocessingShape">
                          <wps:wsp>
                            <wps:cNvCnPr/>
                            <wps:spPr>
                              <a:xfrm>
                                <a:off x="0" y="0"/>
                                <a:ext cx="1051560" cy="5410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61A6B627" id="直線接點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2pt" to="77.05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" strokecolor="#4579b8 [3044]"/>
                  </w:pict>
                </mc:Fallback>
              </mc:AlternateContent>
            </w:r>
            <w:r w:rsidRPr="00BA2046">
              <w:rPr>
                <w:rFonts w:ascii="Calibri" w:eastAsia="Times New Roman"/>
                <w:sz w:val="20"/>
                <w:szCs w:val="20"/>
              </w:rPr>
              <w:t xml:space="preserve">            </w:t>
            </w:r>
            <w:r w:rsidRPr="00BA2046">
              <w:rPr>
                <w:rFonts w:hAnsi="標楷體" w:hint="eastAsia"/>
                <w:sz w:val="20"/>
                <w:szCs w:val="20"/>
              </w:rPr>
              <w:t>年度</w:t>
            </w:r>
          </w:p>
          <w:p w:rsidR="00B41328" w:rsidRPr="00BA2046" w:rsidRDefault="00B41328" w:rsidP="00B41328">
            <w:pPr>
              <w:tabs>
                <w:tab w:val="left" w:pos="504"/>
              </w:tabs>
              <w:overflowPunct/>
              <w:autoSpaceDE/>
              <w:spacing w:line="280" w:lineRule="exact"/>
              <w:jc w:val="left"/>
              <w:rPr>
                <w:rFonts w:hAnsi="標楷體"/>
                <w:sz w:val="20"/>
                <w:szCs w:val="20"/>
              </w:rPr>
            </w:pPr>
            <w:r w:rsidRPr="00BA2046">
              <w:rPr>
                <w:rFonts w:hAnsi="標楷體" w:hint="eastAsia"/>
                <w:sz w:val="20"/>
                <w:szCs w:val="20"/>
              </w:rPr>
              <w:t xml:space="preserve">         比率</w:t>
            </w:r>
          </w:p>
          <w:p w:rsidR="00B41328" w:rsidRPr="00BA2046" w:rsidRDefault="00B41328" w:rsidP="00B41328">
            <w:pPr>
              <w:tabs>
                <w:tab w:val="left" w:pos="504"/>
              </w:tabs>
              <w:overflowPunct/>
              <w:autoSpaceDE/>
              <w:spacing w:line="280" w:lineRule="exact"/>
              <w:ind w:firstLineChars="100" w:firstLine="220"/>
              <w:jc w:val="left"/>
              <w:rPr>
                <w:rFonts w:ascii="Calibri" w:eastAsia="新細明體"/>
                <w:sz w:val="20"/>
                <w:szCs w:val="20"/>
              </w:rPr>
            </w:pPr>
            <w:r w:rsidRPr="00BA2046">
              <w:rPr>
                <w:rFonts w:hAnsi="標楷體" w:hint="eastAsia"/>
                <w:sz w:val="20"/>
                <w:szCs w:val="20"/>
              </w:rPr>
              <w:t>法院</w:t>
            </w:r>
          </w:p>
        </w:tc>
        <w:tc>
          <w:tcPr>
            <w:tcW w:w="2159" w:type="dxa"/>
            <w:gridSpan w:val="3"/>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center"/>
              <w:rPr>
                <w:rFonts w:hAnsi="標楷體"/>
                <w:sz w:val="20"/>
                <w:szCs w:val="20"/>
              </w:rPr>
            </w:pPr>
            <w:r w:rsidRPr="00BA2046">
              <w:rPr>
                <w:rFonts w:hAnsi="標楷體" w:hint="eastAsia"/>
                <w:sz w:val="20"/>
                <w:szCs w:val="20"/>
              </w:rPr>
              <w:t>96</w:t>
            </w:r>
          </w:p>
        </w:tc>
        <w:tc>
          <w:tcPr>
            <w:tcW w:w="2159" w:type="dxa"/>
            <w:gridSpan w:val="3"/>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center"/>
              <w:rPr>
                <w:rFonts w:hAnsi="標楷體"/>
                <w:sz w:val="20"/>
                <w:szCs w:val="20"/>
              </w:rPr>
            </w:pPr>
            <w:r w:rsidRPr="00BA2046">
              <w:rPr>
                <w:rFonts w:hAnsi="標楷體" w:hint="eastAsia"/>
                <w:sz w:val="20"/>
                <w:szCs w:val="20"/>
              </w:rPr>
              <w:t>97</w:t>
            </w:r>
          </w:p>
        </w:tc>
        <w:tc>
          <w:tcPr>
            <w:tcW w:w="2159" w:type="dxa"/>
            <w:gridSpan w:val="3"/>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center"/>
              <w:rPr>
                <w:rFonts w:hAnsi="標楷體"/>
                <w:sz w:val="20"/>
                <w:szCs w:val="20"/>
              </w:rPr>
            </w:pPr>
            <w:r w:rsidRPr="00BA2046">
              <w:rPr>
                <w:rFonts w:hAnsi="標楷體" w:hint="eastAsia"/>
                <w:sz w:val="20"/>
                <w:szCs w:val="20"/>
              </w:rPr>
              <w:t>98</w:t>
            </w:r>
          </w:p>
        </w:tc>
        <w:tc>
          <w:tcPr>
            <w:tcW w:w="2180" w:type="dxa"/>
            <w:gridSpan w:val="3"/>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center"/>
              <w:rPr>
                <w:rFonts w:hAnsi="標楷體"/>
                <w:sz w:val="20"/>
                <w:szCs w:val="20"/>
              </w:rPr>
            </w:pPr>
            <w:r w:rsidRPr="00BA2046">
              <w:rPr>
                <w:rFonts w:hAnsi="標楷體" w:hint="eastAsia"/>
                <w:sz w:val="20"/>
                <w:szCs w:val="20"/>
              </w:rPr>
              <w:t>99</w:t>
            </w:r>
          </w:p>
        </w:tc>
      </w:tr>
      <w:tr w:rsidR="00B41328" w:rsidRPr="00BA2046" w:rsidTr="00B41328">
        <w:tc>
          <w:tcPr>
            <w:tcW w:w="0" w:type="auto"/>
            <w:vMerge/>
            <w:tcBorders>
              <w:top w:val="single" w:sz="4" w:space="0" w:color="auto"/>
              <w:left w:val="single" w:sz="4" w:space="0" w:color="auto"/>
              <w:bottom w:val="single" w:sz="4" w:space="0" w:color="auto"/>
              <w:right w:val="single" w:sz="4" w:space="0" w:color="auto"/>
            </w:tcBorders>
            <w:vAlign w:val="center"/>
            <w:hideMark/>
          </w:tcPr>
          <w:p w:rsidR="00B41328" w:rsidRPr="00BA2046" w:rsidRDefault="00B41328">
            <w:pPr>
              <w:widowControl/>
              <w:overflowPunct/>
              <w:autoSpaceDE/>
              <w:autoSpaceDN/>
              <w:jc w:val="left"/>
              <w:rPr>
                <w:rFonts w:ascii="Calibri" w:eastAsia="新細明體"/>
                <w:sz w:val="20"/>
                <w:szCs w:val="20"/>
              </w:rPr>
            </w:pP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hAnsi="標楷體"/>
                <w:sz w:val="20"/>
                <w:szCs w:val="20"/>
              </w:rPr>
            </w:pPr>
            <w:r w:rsidRPr="00BA2046">
              <w:rPr>
                <w:rFonts w:hAnsi="標楷體" w:hint="eastAsia"/>
                <w:sz w:val="20"/>
                <w:szCs w:val="20"/>
              </w:rPr>
              <w:t>乙等</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hAnsi="標楷體"/>
                <w:sz w:val="20"/>
                <w:szCs w:val="20"/>
              </w:rPr>
            </w:pPr>
            <w:r w:rsidRPr="00BA2046">
              <w:rPr>
                <w:rFonts w:hAnsi="標楷體" w:hint="eastAsia"/>
                <w:sz w:val="20"/>
                <w:szCs w:val="20"/>
              </w:rPr>
              <w:t>總人數</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hAnsi="標楷體"/>
                <w:sz w:val="20"/>
                <w:szCs w:val="20"/>
              </w:rPr>
            </w:pPr>
            <w:r w:rsidRPr="00BA2046">
              <w:rPr>
                <w:rFonts w:hAnsi="標楷體" w:hint="eastAsia"/>
                <w:sz w:val="20"/>
                <w:szCs w:val="20"/>
              </w:rPr>
              <w:t>比率</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hAnsi="標楷體"/>
                <w:kern w:val="0"/>
                <w:sz w:val="20"/>
                <w:szCs w:val="20"/>
              </w:rPr>
            </w:pPr>
            <w:r w:rsidRPr="00BA2046">
              <w:rPr>
                <w:rFonts w:hAnsi="標楷體" w:hint="eastAsia"/>
                <w:kern w:val="0"/>
                <w:sz w:val="20"/>
                <w:szCs w:val="20"/>
              </w:rPr>
              <w:t>乙等</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hAnsi="標楷體"/>
                <w:sz w:val="20"/>
                <w:szCs w:val="20"/>
              </w:rPr>
            </w:pPr>
            <w:r w:rsidRPr="00BA2046">
              <w:rPr>
                <w:rFonts w:hAnsi="標楷體" w:hint="eastAsia"/>
                <w:sz w:val="20"/>
                <w:szCs w:val="20"/>
              </w:rPr>
              <w:t>總人數</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hAnsi="標楷體"/>
                <w:sz w:val="20"/>
                <w:szCs w:val="20"/>
              </w:rPr>
            </w:pPr>
            <w:r w:rsidRPr="00BA2046">
              <w:rPr>
                <w:rFonts w:hAnsi="標楷體" w:hint="eastAsia"/>
                <w:sz w:val="20"/>
                <w:szCs w:val="20"/>
              </w:rPr>
              <w:t>比率</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hAnsi="標楷體"/>
                <w:kern w:val="0"/>
                <w:sz w:val="20"/>
                <w:szCs w:val="20"/>
              </w:rPr>
            </w:pPr>
            <w:r w:rsidRPr="00BA2046">
              <w:rPr>
                <w:rFonts w:hAnsi="標楷體" w:hint="eastAsia"/>
                <w:kern w:val="0"/>
                <w:sz w:val="20"/>
                <w:szCs w:val="20"/>
              </w:rPr>
              <w:t>乙等</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hAnsi="標楷體"/>
                <w:sz w:val="20"/>
                <w:szCs w:val="20"/>
              </w:rPr>
            </w:pPr>
            <w:r w:rsidRPr="00BA2046">
              <w:rPr>
                <w:rFonts w:hAnsi="標楷體" w:hint="eastAsia"/>
                <w:sz w:val="20"/>
                <w:szCs w:val="20"/>
              </w:rPr>
              <w:t>總人數</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hAnsi="標楷體"/>
                <w:sz w:val="20"/>
                <w:szCs w:val="20"/>
              </w:rPr>
            </w:pPr>
            <w:r w:rsidRPr="00BA2046">
              <w:rPr>
                <w:rFonts w:hAnsi="標楷體" w:hint="eastAsia"/>
                <w:sz w:val="20"/>
                <w:szCs w:val="20"/>
              </w:rPr>
              <w:t>比率</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hAnsi="標楷體"/>
                <w:kern w:val="0"/>
                <w:sz w:val="20"/>
                <w:szCs w:val="20"/>
              </w:rPr>
            </w:pPr>
            <w:r w:rsidRPr="00BA2046">
              <w:rPr>
                <w:rFonts w:hAnsi="標楷體" w:hint="eastAsia"/>
                <w:kern w:val="0"/>
                <w:sz w:val="20"/>
                <w:szCs w:val="20"/>
              </w:rPr>
              <w:t>乙等</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hAnsi="標楷體"/>
                <w:sz w:val="20"/>
                <w:szCs w:val="20"/>
              </w:rPr>
            </w:pPr>
            <w:r w:rsidRPr="00BA2046">
              <w:rPr>
                <w:rFonts w:hAnsi="標楷體" w:hint="eastAsia"/>
                <w:sz w:val="20"/>
                <w:szCs w:val="20"/>
              </w:rPr>
              <w:t>總人數</w:t>
            </w:r>
          </w:p>
        </w:tc>
        <w:tc>
          <w:tcPr>
            <w:tcW w:w="836"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hAnsi="標楷體"/>
                <w:sz w:val="20"/>
                <w:szCs w:val="20"/>
              </w:rPr>
            </w:pPr>
            <w:r w:rsidRPr="00BA2046">
              <w:rPr>
                <w:rFonts w:hAnsi="標楷體" w:hint="eastAsia"/>
                <w:sz w:val="20"/>
                <w:szCs w:val="20"/>
              </w:rPr>
              <w:t>比率</w:t>
            </w:r>
          </w:p>
        </w:tc>
      </w:tr>
      <w:tr w:rsidR="00B41328" w:rsidRPr="00BA2046" w:rsidTr="00B41328">
        <w:tc>
          <w:tcPr>
            <w:tcW w:w="1653" w:type="dxa"/>
            <w:tcBorders>
              <w:top w:val="single" w:sz="4" w:space="0" w:color="auto"/>
              <w:left w:val="single" w:sz="4" w:space="0" w:color="auto"/>
              <w:bottom w:val="single" w:sz="4" w:space="0" w:color="auto"/>
              <w:right w:val="single" w:sz="4" w:space="0" w:color="auto"/>
            </w:tcBorders>
            <w:vAlign w:val="center"/>
            <w:hideMark/>
          </w:tcPr>
          <w:p w:rsidR="00B41328" w:rsidRPr="00BA2046" w:rsidRDefault="00B41328">
            <w:pPr>
              <w:widowControl/>
              <w:overflowPunct/>
              <w:autoSpaceDE/>
              <w:spacing w:line="280" w:lineRule="exact"/>
              <w:jc w:val="left"/>
              <w:rPr>
                <w:rFonts w:ascii="Times New Roman" w:eastAsia="新細明體"/>
                <w:sz w:val="20"/>
                <w:szCs w:val="20"/>
              </w:rPr>
            </w:pPr>
            <w:r w:rsidRPr="00BA2046">
              <w:rPr>
                <w:rFonts w:hAnsi="標楷體" w:hint="eastAsia"/>
                <w:sz w:val="20"/>
                <w:szCs w:val="20"/>
              </w:rPr>
              <w:t>最高法院</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10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66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15.2%</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9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69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13%</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9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77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11.7%</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10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79 </w:t>
            </w:r>
          </w:p>
        </w:tc>
        <w:tc>
          <w:tcPr>
            <w:tcW w:w="836"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12.7%</w:t>
            </w:r>
          </w:p>
        </w:tc>
      </w:tr>
      <w:tr w:rsidR="00B41328" w:rsidRPr="00BA2046" w:rsidTr="00B41328">
        <w:tc>
          <w:tcPr>
            <w:tcW w:w="1653" w:type="dxa"/>
            <w:tcBorders>
              <w:top w:val="single" w:sz="4" w:space="0" w:color="auto"/>
              <w:left w:val="single" w:sz="4" w:space="0" w:color="auto"/>
              <w:bottom w:val="single" w:sz="4" w:space="0" w:color="auto"/>
              <w:right w:val="single" w:sz="4" w:space="0" w:color="auto"/>
            </w:tcBorders>
            <w:vAlign w:val="center"/>
            <w:hideMark/>
          </w:tcPr>
          <w:p w:rsidR="00B41328" w:rsidRPr="00BA2046" w:rsidRDefault="00B41328">
            <w:pPr>
              <w:overflowPunct/>
              <w:autoSpaceDE/>
              <w:spacing w:line="280" w:lineRule="exact"/>
              <w:jc w:val="left"/>
              <w:rPr>
                <w:rFonts w:ascii="Times New Roman" w:eastAsia="Times New Roman"/>
                <w:sz w:val="20"/>
                <w:szCs w:val="20"/>
              </w:rPr>
            </w:pPr>
            <w:r w:rsidRPr="00BA2046">
              <w:rPr>
                <w:rFonts w:hAnsi="標楷體" w:hint="eastAsia"/>
                <w:sz w:val="20"/>
                <w:szCs w:val="20"/>
              </w:rPr>
              <w:t>最高行政法院</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12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8.3%</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13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7.7%</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20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5%</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20 </w:t>
            </w:r>
          </w:p>
        </w:tc>
        <w:tc>
          <w:tcPr>
            <w:tcW w:w="836"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 </w:t>
            </w:r>
          </w:p>
        </w:tc>
      </w:tr>
      <w:tr w:rsidR="00B41328" w:rsidRPr="00BA2046" w:rsidTr="00B41328">
        <w:tc>
          <w:tcPr>
            <w:tcW w:w="1653" w:type="dxa"/>
            <w:tcBorders>
              <w:top w:val="single" w:sz="4" w:space="0" w:color="auto"/>
              <w:left w:val="single" w:sz="4" w:space="0" w:color="auto"/>
              <w:bottom w:val="single" w:sz="4" w:space="0" w:color="auto"/>
              <w:right w:val="single" w:sz="4" w:space="0" w:color="auto"/>
            </w:tcBorders>
            <w:vAlign w:val="center"/>
            <w:hideMark/>
          </w:tcPr>
          <w:p w:rsidR="00B41328" w:rsidRPr="00BA2046" w:rsidRDefault="00B41328">
            <w:pPr>
              <w:overflowPunct/>
              <w:autoSpaceDE/>
              <w:spacing w:line="280" w:lineRule="exact"/>
              <w:jc w:val="left"/>
              <w:rPr>
                <w:rFonts w:hAnsi="標楷體" w:cs="新細明體"/>
                <w:sz w:val="20"/>
                <w:szCs w:val="20"/>
              </w:rPr>
            </w:pPr>
            <w:r w:rsidRPr="00BA2046">
              <w:rPr>
                <w:rFonts w:hAnsi="標楷體" w:hint="eastAsia"/>
                <w:sz w:val="20"/>
                <w:szCs w:val="20"/>
              </w:rPr>
              <w:t>公懲會</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新細明體"/>
                <w:sz w:val="20"/>
                <w:szCs w:val="20"/>
              </w:rPr>
            </w:pPr>
            <w:r w:rsidRPr="00BA2046">
              <w:rPr>
                <w:rFonts w:ascii="Calibri" w:eastAsia="Times New Roman"/>
                <w:sz w:val="20"/>
                <w:szCs w:val="20"/>
              </w:rPr>
              <w:t xml:space="preserve"> 1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8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12.5%</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10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10%</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2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11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18.2%</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3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14 </w:t>
            </w:r>
          </w:p>
        </w:tc>
        <w:tc>
          <w:tcPr>
            <w:tcW w:w="836"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21.4%</w:t>
            </w:r>
          </w:p>
        </w:tc>
      </w:tr>
      <w:tr w:rsidR="00B41328" w:rsidRPr="00BA2046" w:rsidTr="00B41328">
        <w:tc>
          <w:tcPr>
            <w:tcW w:w="1653" w:type="dxa"/>
            <w:tcBorders>
              <w:top w:val="single" w:sz="4" w:space="0" w:color="auto"/>
              <w:left w:val="single" w:sz="4" w:space="0" w:color="auto"/>
              <w:bottom w:val="single" w:sz="4" w:space="0" w:color="auto"/>
              <w:right w:val="single" w:sz="4" w:space="0" w:color="auto"/>
            </w:tcBorders>
            <w:vAlign w:val="center"/>
            <w:hideMark/>
          </w:tcPr>
          <w:p w:rsidR="00B41328" w:rsidRPr="00BA2046" w:rsidRDefault="00B41328">
            <w:pPr>
              <w:overflowPunct/>
              <w:autoSpaceDE/>
              <w:spacing w:line="280" w:lineRule="exact"/>
              <w:jc w:val="left"/>
              <w:rPr>
                <w:rFonts w:hAnsi="標楷體"/>
                <w:sz w:val="20"/>
                <w:szCs w:val="20"/>
              </w:rPr>
            </w:pPr>
            <w:r w:rsidRPr="00BA2046">
              <w:rPr>
                <w:rFonts w:hAnsi="標楷體" w:hint="eastAsia"/>
                <w:sz w:val="20"/>
                <w:szCs w:val="20"/>
              </w:rPr>
              <w:t>北行</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新細明體"/>
                <w:sz w:val="20"/>
                <w:szCs w:val="20"/>
              </w:rPr>
            </w:pPr>
            <w:r w:rsidRPr="00BA2046">
              <w:rPr>
                <w:rFonts w:ascii="Calibri" w:eastAsia="Times New Roman"/>
                <w:sz w:val="20"/>
                <w:szCs w:val="20"/>
              </w:rPr>
              <w:t xml:space="preserve"> 1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27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3.7%</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26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 </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2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26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7.7%</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25 </w:t>
            </w:r>
          </w:p>
        </w:tc>
        <w:tc>
          <w:tcPr>
            <w:tcW w:w="836"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 </w:t>
            </w:r>
          </w:p>
        </w:tc>
      </w:tr>
      <w:tr w:rsidR="00B41328" w:rsidRPr="00BA2046" w:rsidTr="00B41328">
        <w:tc>
          <w:tcPr>
            <w:tcW w:w="1653" w:type="dxa"/>
            <w:tcBorders>
              <w:top w:val="single" w:sz="4" w:space="0" w:color="auto"/>
              <w:left w:val="single" w:sz="4" w:space="0" w:color="auto"/>
              <w:bottom w:val="single" w:sz="4" w:space="0" w:color="auto"/>
              <w:right w:val="single" w:sz="4" w:space="0" w:color="auto"/>
            </w:tcBorders>
            <w:vAlign w:val="center"/>
            <w:hideMark/>
          </w:tcPr>
          <w:p w:rsidR="00B41328" w:rsidRPr="00BA2046" w:rsidRDefault="00B41328">
            <w:pPr>
              <w:overflowPunct/>
              <w:autoSpaceDE/>
              <w:spacing w:line="280" w:lineRule="exact"/>
              <w:jc w:val="left"/>
              <w:rPr>
                <w:rFonts w:hAnsi="標楷體"/>
                <w:sz w:val="20"/>
                <w:szCs w:val="20"/>
              </w:rPr>
            </w:pPr>
            <w:r w:rsidRPr="00BA2046">
              <w:rPr>
                <w:rFonts w:hAnsi="標楷體" w:hint="eastAsia"/>
                <w:sz w:val="20"/>
                <w:szCs w:val="20"/>
              </w:rPr>
              <w:t>中行</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新細明體"/>
                <w:sz w:val="20"/>
                <w:szCs w:val="20"/>
              </w:rPr>
            </w:pPr>
            <w:r w:rsidRPr="00BA2046">
              <w:rPr>
                <w:rFonts w:ascii="Calibri" w:eastAsia="Times New Roman"/>
                <w:sz w:val="20"/>
                <w:szCs w:val="20"/>
              </w:rPr>
              <w:t xml:space="preserve"> 1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14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7.1%</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2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13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15.4%</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2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14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14.3%</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2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13 </w:t>
            </w:r>
          </w:p>
        </w:tc>
        <w:tc>
          <w:tcPr>
            <w:tcW w:w="836"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15.4%</w:t>
            </w:r>
          </w:p>
        </w:tc>
      </w:tr>
      <w:tr w:rsidR="00B41328" w:rsidRPr="00BA2046" w:rsidTr="00B41328">
        <w:tc>
          <w:tcPr>
            <w:tcW w:w="1653" w:type="dxa"/>
            <w:tcBorders>
              <w:top w:val="single" w:sz="4" w:space="0" w:color="auto"/>
              <w:left w:val="single" w:sz="4" w:space="0" w:color="auto"/>
              <w:bottom w:val="single" w:sz="4" w:space="0" w:color="auto"/>
              <w:right w:val="single" w:sz="4" w:space="0" w:color="auto"/>
            </w:tcBorders>
            <w:vAlign w:val="center"/>
            <w:hideMark/>
          </w:tcPr>
          <w:p w:rsidR="00B41328" w:rsidRPr="00BA2046" w:rsidRDefault="00B41328">
            <w:pPr>
              <w:overflowPunct/>
              <w:autoSpaceDE/>
              <w:spacing w:line="280" w:lineRule="exact"/>
              <w:jc w:val="left"/>
              <w:rPr>
                <w:rFonts w:hAnsi="標楷體"/>
                <w:sz w:val="20"/>
                <w:szCs w:val="20"/>
              </w:rPr>
            </w:pPr>
            <w:r w:rsidRPr="00BA2046">
              <w:rPr>
                <w:rFonts w:hAnsi="標楷體" w:hint="eastAsia"/>
                <w:sz w:val="20"/>
                <w:szCs w:val="20"/>
              </w:rPr>
              <w:t>雄行</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新細明體"/>
                <w:sz w:val="20"/>
                <w:szCs w:val="20"/>
              </w:rPr>
            </w:pPr>
            <w:r w:rsidRPr="00BA2046">
              <w:rPr>
                <w:rFonts w:ascii="Calibri" w:eastAsia="Times New Roman"/>
                <w:sz w:val="20"/>
                <w:szCs w:val="20"/>
              </w:rPr>
              <w:t xml:space="preserve"> 2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20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10%</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3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19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15.8%</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2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15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13.3%</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3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17 </w:t>
            </w:r>
          </w:p>
        </w:tc>
        <w:tc>
          <w:tcPr>
            <w:tcW w:w="836"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17.6%</w:t>
            </w:r>
          </w:p>
        </w:tc>
      </w:tr>
      <w:tr w:rsidR="00B41328" w:rsidRPr="00BA2046" w:rsidTr="00B41328">
        <w:tc>
          <w:tcPr>
            <w:tcW w:w="1653" w:type="dxa"/>
            <w:tcBorders>
              <w:top w:val="single" w:sz="4" w:space="0" w:color="auto"/>
              <w:left w:val="single" w:sz="4" w:space="0" w:color="auto"/>
              <w:bottom w:val="single" w:sz="4" w:space="0" w:color="auto"/>
              <w:right w:val="single" w:sz="4" w:space="0" w:color="auto"/>
            </w:tcBorders>
            <w:vAlign w:val="center"/>
            <w:hideMark/>
          </w:tcPr>
          <w:p w:rsidR="00B41328" w:rsidRPr="00BA2046" w:rsidRDefault="00B41328">
            <w:pPr>
              <w:overflowPunct/>
              <w:autoSpaceDE/>
              <w:spacing w:line="280" w:lineRule="exact"/>
              <w:jc w:val="left"/>
              <w:rPr>
                <w:rFonts w:hAnsi="標楷體"/>
                <w:sz w:val="20"/>
                <w:szCs w:val="20"/>
              </w:rPr>
            </w:pPr>
            <w:r w:rsidRPr="00BA2046">
              <w:rPr>
                <w:rFonts w:hAnsi="標楷體" w:hint="eastAsia"/>
                <w:sz w:val="20"/>
                <w:szCs w:val="20"/>
              </w:rPr>
              <w:t>智財法院</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新細明體"/>
                <w:sz w:val="20"/>
                <w:szCs w:val="20"/>
              </w:rPr>
            </w:pPr>
            <w:r w:rsidRPr="00BA2046">
              <w:rPr>
                <w:rFonts w:ascii="Calibri" w:eastAsia="Times New Roman"/>
                <w:sz w:val="20"/>
                <w:szCs w:val="20"/>
              </w:rPr>
              <w:t xml:space="preserve"> -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 </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9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11.1%</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9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11.1%</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10 </w:t>
            </w:r>
          </w:p>
        </w:tc>
        <w:tc>
          <w:tcPr>
            <w:tcW w:w="836"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10%</w:t>
            </w:r>
          </w:p>
        </w:tc>
      </w:tr>
      <w:tr w:rsidR="00B41328" w:rsidRPr="00BA2046" w:rsidTr="00B41328">
        <w:tc>
          <w:tcPr>
            <w:tcW w:w="1653" w:type="dxa"/>
            <w:tcBorders>
              <w:top w:val="single" w:sz="4" w:space="0" w:color="auto"/>
              <w:left w:val="single" w:sz="4" w:space="0" w:color="auto"/>
              <w:bottom w:val="single" w:sz="4" w:space="0" w:color="auto"/>
              <w:right w:val="single" w:sz="4" w:space="0" w:color="auto"/>
            </w:tcBorders>
            <w:vAlign w:val="center"/>
            <w:hideMark/>
          </w:tcPr>
          <w:p w:rsidR="00B41328" w:rsidRPr="00BA2046" w:rsidRDefault="00B41328">
            <w:pPr>
              <w:overflowPunct/>
              <w:autoSpaceDE/>
              <w:spacing w:line="280" w:lineRule="exact"/>
              <w:jc w:val="left"/>
              <w:rPr>
                <w:rFonts w:ascii="Times New Roman" w:eastAsia="Times New Roman"/>
                <w:sz w:val="20"/>
                <w:szCs w:val="20"/>
              </w:rPr>
            </w:pPr>
            <w:r w:rsidRPr="00BA2046">
              <w:rPr>
                <w:rFonts w:hAnsi="標楷體" w:hint="eastAsia"/>
                <w:sz w:val="20"/>
                <w:szCs w:val="20"/>
              </w:rPr>
              <w:t>金門高分院</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3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 </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3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33.3%</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3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 </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3 </w:t>
            </w:r>
          </w:p>
        </w:tc>
        <w:tc>
          <w:tcPr>
            <w:tcW w:w="836"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 </w:t>
            </w:r>
          </w:p>
        </w:tc>
      </w:tr>
      <w:tr w:rsidR="00B41328" w:rsidRPr="00BA2046" w:rsidTr="00B41328">
        <w:tc>
          <w:tcPr>
            <w:tcW w:w="1653" w:type="dxa"/>
            <w:tcBorders>
              <w:top w:val="single" w:sz="4" w:space="0" w:color="auto"/>
              <w:left w:val="single" w:sz="4" w:space="0" w:color="auto"/>
              <w:bottom w:val="single" w:sz="4" w:space="0" w:color="auto"/>
              <w:right w:val="single" w:sz="4" w:space="0" w:color="auto"/>
            </w:tcBorders>
            <w:vAlign w:val="center"/>
            <w:hideMark/>
          </w:tcPr>
          <w:p w:rsidR="00B41328" w:rsidRPr="00BA2046" w:rsidRDefault="00B41328">
            <w:pPr>
              <w:overflowPunct/>
              <w:autoSpaceDE/>
              <w:spacing w:line="280" w:lineRule="exact"/>
              <w:jc w:val="left"/>
              <w:rPr>
                <w:rFonts w:ascii="Times New Roman" w:eastAsia="Times New Roman"/>
                <w:sz w:val="20"/>
                <w:szCs w:val="20"/>
              </w:rPr>
            </w:pPr>
            <w:r w:rsidRPr="00BA2046">
              <w:rPr>
                <w:rFonts w:hAnsi="標楷體" w:hint="eastAsia"/>
                <w:sz w:val="20"/>
                <w:szCs w:val="20"/>
              </w:rPr>
              <w:t>金門地方法院</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5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20%</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4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25%</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5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20%</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3 </w:t>
            </w:r>
          </w:p>
        </w:tc>
        <w:tc>
          <w:tcPr>
            <w:tcW w:w="836"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 </w:t>
            </w:r>
          </w:p>
        </w:tc>
      </w:tr>
      <w:tr w:rsidR="00B41328" w:rsidRPr="00BA2046" w:rsidTr="00B41328">
        <w:tc>
          <w:tcPr>
            <w:tcW w:w="1653" w:type="dxa"/>
            <w:tcBorders>
              <w:top w:val="single" w:sz="4" w:space="0" w:color="auto"/>
              <w:left w:val="single" w:sz="4" w:space="0" w:color="auto"/>
              <w:bottom w:val="single" w:sz="4" w:space="0" w:color="auto"/>
              <w:right w:val="single" w:sz="4" w:space="0" w:color="auto"/>
            </w:tcBorders>
            <w:vAlign w:val="center"/>
            <w:hideMark/>
          </w:tcPr>
          <w:p w:rsidR="00B41328" w:rsidRPr="00BA2046" w:rsidRDefault="00B41328">
            <w:pPr>
              <w:overflowPunct/>
              <w:autoSpaceDE/>
              <w:spacing w:line="280" w:lineRule="exact"/>
              <w:jc w:val="left"/>
              <w:rPr>
                <w:rFonts w:ascii="Times New Roman" w:eastAsia="Times New Roman"/>
                <w:sz w:val="20"/>
                <w:szCs w:val="20"/>
              </w:rPr>
            </w:pPr>
            <w:r w:rsidRPr="00BA2046">
              <w:rPr>
                <w:rFonts w:hAnsi="標楷體" w:hint="eastAsia"/>
                <w:sz w:val="20"/>
                <w:szCs w:val="20"/>
              </w:rPr>
              <w:t>連江地方法院</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 </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 </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 </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 </w:t>
            </w:r>
          </w:p>
        </w:tc>
        <w:tc>
          <w:tcPr>
            <w:tcW w:w="836"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 </w:t>
            </w:r>
          </w:p>
        </w:tc>
      </w:tr>
      <w:tr w:rsidR="00B41328" w:rsidRPr="00BA2046" w:rsidTr="00B41328">
        <w:tc>
          <w:tcPr>
            <w:tcW w:w="1653" w:type="dxa"/>
            <w:tcBorders>
              <w:top w:val="single" w:sz="4" w:space="0" w:color="auto"/>
              <w:left w:val="single" w:sz="4" w:space="0" w:color="auto"/>
              <w:bottom w:val="single" w:sz="4" w:space="0" w:color="auto"/>
              <w:right w:val="single" w:sz="4" w:space="0" w:color="auto"/>
            </w:tcBorders>
            <w:vAlign w:val="center"/>
            <w:hideMark/>
          </w:tcPr>
          <w:p w:rsidR="00B41328" w:rsidRPr="00BA2046" w:rsidRDefault="00B41328">
            <w:pPr>
              <w:overflowPunct/>
              <w:autoSpaceDE/>
              <w:spacing w:line="280" w:lineRule="exact"/>
              <w:jc w:val="left"/>
              <w:rPr>
                <w:rFonts w:ascii="Times New Roman" w:eastAsia="Times New Roman"/>
                <w:sz w:val="20"/>
                <w:szCs w:val="20"/>
              </w:rPr>
            </w:pPr>
            <w:r w:rsidRPr="00BA2046">
              <w:rPr>
                <w:rFonts w:hAnsi="標楷體" w:hint="eastAsia"/>
                <w:sz w:val="20"/>
                <w:szCs w:val="20"/>
              </w:rPr>
              <w:t>臺灣高院</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13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166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7.8%</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15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181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8.3%</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15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190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7.9%</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16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181 </w:t>
            </w:r>
          </w:p>
        </w:tc>
        <w:tc>
          <w:tcPr>
            <w:tcW w:w="836"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8.8%</w:t>
            </w:r>
          </w:p>
        </w:tc>
      </w:tr>
      <w:tr w:rsidR="00B41328" w:rsidRPr="00BA2046" w:rsidTr="00B41328">
        <w:tc>
          <w:tcPr>
            <w:tcW w:w="1653" w:type="dxa"/>
            <w:tcBorders>
              <w:top w:val="single" w:sz="4" w:space="0" w:color="auto"/>
              <w:left w:val="single" w:sz="4" w:space="0" w:color="auto"/>
              <w:bottom w:val="single" w:sz="4" w:space="0" w:color="auto"/>
              <w:right w:val="single" w:sz="4" w:space="0" w:color="auto"/>
            </w:tcBorders>
            <w:vAlign w:val="center"/>
            <w:hideMark/>
          </w:tcPr>
          <w:p w:rsidR="00B41328" w:rsidRPr="00BA2046" w:rsidRDefault="00B41328">
            <w:pPr>
              <w:overflowPunct/>
              <w:autoSpaceDE/>
              <w:spacing w:line="280" w:lineRule="exact"/>
              <w:jc w:val="left"/>
              <w:rPr>
                <w:rFonts w:ascii="Times New Roman" w:eastAsia="Times New Roman"/>
                <w:sz w:val="20"/>
                <w:szCs w:val="20"/>
              </w:rPr>
            </w:pPr>
            <w:r w:rsidRPr="00BA2046">
              <w:rPr>
                <w:rFonts w:hAnsi="標楷體" w:hint="eastAsia"/>
                <w:sz w:val="20"/>
                <w:szCs w:val="20"/>
              </w:rPr>
              <w:t>臺中高分院</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6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71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8.5%</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7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73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9.6%</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8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74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10.8%</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10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83 </w:t>
            </w:r>
          </w:p>
        </w:tc>
        <w:tc>
          <w:tcPr>
            <w:tcW w:w="836"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12%</w:t>
            </w:r>
          </w:p>
        </w:tc>
      </w:tr>
      <w:tr w:rsidR="00B41328" w:rsidRPr="00BA2046" w:rsidTr="00B41328">
        <w:tc>
          <w:tcPr>
            <w:tcW w:w="1653" w:type="dxa"/>
            <w:tcBorders>
              <w:top w:val="single" w:sz="4" w:space="0" w:color="auto"/>
              <w:left w:val="single" w:sz="4" w:space="0" w:color="auto"/>
              <w:bottom w:val="single" w:sz="4" w:space="0" w:color="auto"/>
              <w:right w:val="single" w:sz="4" w:space="0" w:color="auto"/>
            </w:tcBorders>
            <w:vAlign w:val="center"/>
            <w:hideMark/>
          </w:tcPr>
          <w:p w:rsidR="00B41328" w:rsidRPr="00BA2046" w:rsidRDefault="00B41328">
            <w:pPr>
              <w:overflowPunct/>
              <w:autoSpaceDE/>
              <w:spacing w:line="280" w:lineRule="exact"/>
              <w:jc w:val="left"/>
              <w:rPr>
                <w:rFonts w:ascii="Times New Roman" w:eastAsia="Times New Roman"/>
                <w:sz w:val="20"/>
                <w:szCs w:val="20"/>
              </w:rPr>
            </w:pPr>
            <w:r w:rsidRPr="00BA2046">
              <w:rPr>
                <w:rFonts w:hAnsi="標楷體" w:hint="eastAsia"/>
                <w:sz w:val="20"/>
                <w:szCs w:val="20"/>
              </w:rPr>
              <w:t>臺南高分院</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4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41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9.8%</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3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40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7.5%</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5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42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11.9%</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5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48 </w:t>
            </w:r>
          </w:p>
        </w:tc>
        <w:tc>
          <w:tcPr>
            <w:tcW w:w="836"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10.4%</w:t>
            </w:r>
          </w:p>
        </w:tc>
      </w:tr>
      <w:tr w:rsidR="00B41328" w:rsidRPr="00BA2046" w:rsidTr="00B41328">
        <w:tc>
          <w:tcPr>
            <w:tcW w:w="1653" w:type="dxa"/>
            <w:tcBorders>
              <w:top w:val="single" w:sz="4" w:space="0" w:color="auto"/>
              <w:left w:val="single" w:sz="4" w:space="0" w:color="auto"/>
              <w:bottom w:val="single" w:sz="4" w:space="0" w:color="auto"/>
              <w:right w:val="single" w:sz="4" w:space="0" w:color="auto"/>
            </w:tcBorders>
            <w:vAlign w:val="center"/>
            <w:hideMark/>
          </w:tcPr>
          <w:p w:rsidR="00B41328" w:rsidRPr="00BA2046" w:rsidRDefault="00B41328">
            <w:pPr>
              <w:overflowPunct/>
              <w:autoSpaceDE/>
              <w:spacing w:line="280" w:lineRule="exact"/>
              <w:jc w:val="left"/>
              <w:rPr>
                <w:rFonts w:ascii="Times New Roman" w:eastAsia="Times New Roman"/>
                <w:sz w:val="20"/>
                <w:szCs w:val="20"/>
              </w:rPr>
            </w:pPr>
            <w:r w:rsidRPr="00BA2046">
              <w:rPr>
                <w:rFonts w:hAnsi="標楷體" w:hint="eastAsia"/>
                <w:sz w:val="20"/>
                <w:szCs w:val="20"/>
              </w:rPr>
              <w:t>高雄高分院</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4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49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8.2%</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6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52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11.5%</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5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55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9.1%</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5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56 </w:t>
            </w:r>
          </w:p>
        </w:tc>
        <w:tc>
          <w:tcPr>
            <w:tcW w:w="836"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8.9%</w:t>
            </w:r>
          </w:p>
        </w:tc>
      </w:tr>
      <w:tr w:rsidR="00B41328" w:rsidRPr="00BA2046" w:rsidTr="00B41328">
        <w:tc>
          <w:tcPr>
            <w:tcW w:w="1653" w:type="dxa"/>
            <w:tcBorders>
              <w:top w:val="single" w:sz="4" w:space="0" w:color="auto"/>
              <w:left w:val="single" w:sz="4" w:space="0" w:color="auto"/>
              <w:bottom w:val="single" w:sz="4" w:space="0" w:color="auto"/>
              <w:right w:val="single" w:sz="4" w:space="0" w:color="auto"/>
            </w:tcBorders>
            <w:vAlign w:val="center"/>
            <w:hideMark/>
          </w:tcPr>
          <w:p w:rsidR="00B41328" w:rsidRPr="00BA2046" w:rsidRDefault="00B41328">
            <w:pPr>
              <w:overflowPunct/>
              <w:autoSpaceDE/>
              <w:spacing w:line="280" w:lineRule="exact"/>
              <w:jc w:val="left"/>
              <w:rPr>
                <w:rFonts w:ascii="Times New Roman" w:eastAsia="Times New Roman"/>
                <w:sz w:val="20"/>
                <w:szCs w:val="20"/>
              </w:rPr>
            </w:pPr>
            <w:r w:rsidRPr="00BA2046">
              <w:rPr>
                <w:rFonts w:hAnsi="標楷體" w:hint="eastAsia"/>
                <w:sz w:val="20"/>
                <w:szCs w:val="20"/>
              </w:rPr>
              <w:t>花蓮高分院</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2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11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18.2%</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2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11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18.2%</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12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8.3%</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2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12 </w:t>
            </w:r>
          </w:p>
        </w:tc>
        <w:tc>
          <w:tcPr>
            <w:tcW w:w="836"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16.7%</w:t>
            </w:r>
          </w:p>
        </w:tc>
      </w:tr>
      <w:tr w:rsidR="00B41328" w:rsidRPr="00BA2046" w:rsidTr="00B41328">
        <w:tc>
          <w:tcPr>
            <w:tcW w:w="1653" w:type="dxa"/>
            <w:tcBorders>
              <w:top w:val="single" w:sz="4" w:space="0" w:color="auto"/>
              <w:left w:val="single" w:sz="4" w:space="0" w:color="auto"/>
              <w:bottom w:val="single" w:sz="4" w:space="0" w:color="auto"/>
              <w:right w:val="single" w:sz="4" w:space="0" w:color="auto"/>
            </w:tcBorders>
            <w:vAlign w:val="center"/>
            <w:hideMark/>
          </w:tcPr>
          <w:p w:rsidR="00B41328" w:rsidRPr="00BA2046" w:rsidRDefault="00B41328">
            <w:pPr>
              <w:overflowPunct/>
              <w:autoSpaceDE/>
              <w:spacing w:line="280" w:lineRule="exact"/>
              <w:jc w:val="left"/>
              <w:rPr>
                <w:rFonts w:ascii="Times New Roman" w:eastAsia="Times New Roman"/>
                <w:sz w:val="20"/>
                <w:szCs w:val="20"/>
              </w:rPr>
            </w:pPr>
            <w:r w:rsidRPr="00BA2046">
              <w:rPr>
                <w:rFonts w:hAnsi="標楷體" w:hint="eastAsia"/>
                <w:sz w:val="20"/>
                <w:szCs w:val="20"/>
              </w:rPr>
              <w:t>臺北地方法院</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15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157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9.6%</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14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143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9.8%</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15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157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9.6%</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16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160 </w:t>
            </w:r>
          </w:p>
        </w:tc>
        <w:tc>
          <w:tcPr>
            <w:tcW w:w="836"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10%</w:t>
            </w:r>
          </w:p>
        </w:tc>
      </w:tr>
      <w:tr w:rsidR="00B41328" w:rsidRPr="00BA2046" w:rsidTr="00B41328">
        <w:tc>
          <w:tcPr>
            <w:tcW w:w="1653" w:type="dxa"/>
            <w:tcBorders>
              <w:top w:val="single" w:sz="4" w:space="0" w:color="auto"/>
              <w:left w:val="single" w:sz="4" w:space="0" w:color="auto"/>
              <w:bottom w:val="single" w:sz="4" w:space="0" w:color="auto"/>
              <w:right w:val="single" w:sz="4" w:space="0" w:color="auto"/>
            </w:tcBorders>
            <w:vAlign w:val="center"/>
            <w:hideMark/>
          </w:tcPr>
          <w:p w:rsidR="00B41328" w:rsidRPr="00BA2046" w:rsidRDefault="00B41328">
            <w:pPr>
              <w:overflowPunct/>
              <w:autoSpaceDE/>
              <w:spacing w:line="280" w:lineRule="exact"/>
              <w:jc w:val="left"/>
              <w:rPr>
                <w:rFonts w:ascii="Times New Roman" w:eastAsia="Times New Roman"/>
                <w:sz w:val="20"/>
                <w:szCs w:val="20"/>
              </w:rPr>
            </w:pPr>
            <w:r w:rsidRPr="00BA2046">
              <w:rPr>
                <w:rFonts w:hAnsi="標楷體" w:hint="eastAsia"/>
                <w:sz w:val="20"/>
                <w:szCs w:val="20"/>
              </w:rPr>
              <w:t>新北地方法院</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11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117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9.4%</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11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113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9.7%</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11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119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9.2%</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11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123 </w:t>
            </w:r>
          </w:p>
        </w:tc>
        <w:tc>
          <w:tcPr>
            <w:tcW w:w="836"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8.9%</w:t>
            </w:r>
          </w:p>
        </w:tc>
      </w:tr>
      <w:tr w:rsidR="00B41328" w:rsidRPr="00BA2046" w:rsidTr="00B41328">
        <w:tc>
          <w:tcPr>
            <w:tcW w:w="1653" w:type="dxa"/>
            <w:tcBorders>
              <w:top w:val="single" w:sz="4" w:space="0" w:color="auto"/>
              <w:left w:val="single" w:sz="4" w:space="0" w:color="auto"/>
              <w:bottom w:val="single" w:sz="4" w:space="0" w:color="auto"/>
              <w:right w:val="single" w:sz="4" w:space="0" w:color="auto"/>
            </w:tcBorders>
            <w:vAlign w:val="center"/>
            <w:hideMark/>
          </w:tcPr>
          <w:p w:rsidR="00B41328" w:rsidRPr="00BA2046" w:rsidRDefault="00B41328">
            <w:pPr>
              <w:overflowPunct/>
              <w:autoSpaceDE/>
              <w:spacing w:line="280" w:lineRule="exact"/>
              <w:jc w:val="left"/>
              <w:rPr>
                <w:rFonts w:ascii="Times New Roman" w:eastAsia="Times New Roman"/>
                <w:sz w:val="20"/>
                <w:szCs w:val="20"/>
              </w:rPr>
            </w:pPr>
            <w:r w:rsidRPr="00BA2046">
              <w:rPr>
                <w:rFonts w:hAnsi="標楷體" w:hint="eastAsia"/>
                <w:sz w:val="20"/>
                <w:szCs w:val="20"/>
              </w:rPr>
              <w:t>士林地方法院</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7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63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11.1%</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7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65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10.8%</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6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65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9.2%</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8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69 </w:t>
            </w:r>
          </w:p>
        </w:tc>
        <w:tc>
          <w:tcPr>
            <w:tcW w:w="836"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11.6%</w:t>
            </w:r>
          </w:p>
        </w:tc>
      </w:tr>
      <w:tr w:rsidR="00B41328" w:rsidRPr="00BA2046" w:rsidTr="00B41328">
        <w:tc>
          <w:tcPr>
            <w:tcW w:w="1653" w:type="dxa"/>
            <w:tcBorders>
              <w:top w:val="single" w:sz="4" w:space="0" w:color="auto"/>
              <w:left w:val="single" w:sz="4" w:space="0" w:color="auto"/>
              <w:bottom w:val="single" w:sz="4" w:space="0" w:color="auto"/>
              <w:right w:val="single" w:sz="4" w:space="0" w:color="auto"/>
            </w:tcBorders>
            <w:vAlign w:val="center"/>
            <w:hideMark/>
          </w:tcPr>
          <w:p w:rsidR="00B41328" w:rsidRPr="00BA2046" w:rsidRDefault="00B41328">
            <w:pPr>
              <w:overflowPunct/>
              <w:autoSpaceDE/>
              <w:spacing w:line="280" w:lineRule="exact"/>
              <w:jc w:val="left"/>
              <w:rPr>
                <w:rFonts w:ascii="Times New Roman" w:eastAsia="Times New Roman"/>
                <w:sz w:val="20"/>
                <w:szCs w:val="20"/>
              </w:rPr>
            </w:pPr>
            <w:r w:rsidRPr="00BA2046">
              <w:rPr>
                <w:rFonts w:hAnsi="標楷體" w:hint="eastAsia"/>
                <w:sz w:val="20"/>
                <w:szCs w:val="20"/>
              </w:rPr>
              <w:t>桃園地方法院</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9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86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10.5%</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7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69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10.1%</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7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73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9.6%</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9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85 </w:t>
            </w:r>
          </w:p>
        </w:tc>
        <w:tc>
          <w:tcPr>
            <w:tcW w:w="836"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10.6%</w:t>
            </w:r>
          </w:p>
        </w:tc>
      </w:tr>
      <w:tr w:rsidR="00B41328" w:rsidRPr="00BA2046" w:rsidTr="00B41328">
        <w:tc>
          <w:tcPr>
            <w:tcW w:w="1653" w:type="dxa"/>
            <w:tcBorders>
              <w:top w:val="single" w:sz="4" w:space="0" w:color="auto"/>
              <w:left w:val="single" w:sz="4" w:space="0" w:color="auto"/>
              <w:bottom w:val="single" w:sz="4" w:space="0" w:color="auto"/>
              <w:right w:val="single" w:sz="4" w:space="0" w:color="auto"/>
            </w:tcBorders>
            <w:vAlign w:val="center"/>
            <w:hideMark/>
          </w:tcPr>
          <w:p w:rsidR="00B41328" w:rsidRPr="00BA2046" w:rsidRDefault="00B41328">
            <w:pPr>
              <w:overflowPunct/>
              <w:autoSpaceDE/>
              <w:spacing w:line="280" w:lineRule="exact"/>
              <w:jc w:val="left"/>
              <w:rPr>
                <w:rFonts w:ascii="Times New Roman" w:eastAsia="Times New Roman"/>
                <w:sz w:val="20"/>
                <w:szCs w:val="20"/>
              </w:rPr>
            </w:pPr>
            <w:r w:rsidRPr="00BA2046">
              <w:rPr>
                <w:rFonts w:hAnsi="標楷體" w:hint="eastAsia"/>
                <w:sz w:val="20"/>
                <w:szCs w:val="20"/>
              </w:rPr>
              <w:t>新竹地方法院</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4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41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9.8%</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3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38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7.9%</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4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39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10.3%</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4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44 </w:t>
            </w:r>
          </w:p>
        </w:tc>
        <w:tc>
          <w:tcPr>
            <w:tcW w:w="836"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9.1%</w:t>
            </w:r>
          </w:p>
        </w:tc>
      </w:tr>
      <w:tr w:rsidR="00B41328" w:rsidRPr="00BA2046" w:rsidTr="00B41328">
        <w:tc>
          <w:tcPr>
            <w:tcW w:w="1653" w:type="dxa"/>
            <w:tcBorders>
              <w:top w:val="single" w:sz="4" w:space="0" w:color="auto"/>
              <w:left w:val="single" w:sz="4" w:space="0" w:color="auto"/>
              <w:bottom w:val="single" w:sz="4" w:space="0" w:color="auto"/>
              <w:right w:val="single" w:sz="4" w:space="0" w:color="auto"/>
            </w:tcBorders>
            <w:vAlign w:val="center"/>
            <w:hideMark/>
          </w:tcPr>
          <w:p w:rsidR="00B41328" w:rsidRPr="00BA2046" w:rsidRDefault="00B41328">
            <w:pPr>
              <w:overflowPunct/>
              <w:autoSpaceDE/>
              <w:spacing w:line="280" w:lineRule="exact"/>
              <w:jc w:val="left"/>
              <w:rPr>
                <w:rFonts w:ascii="Times New Roman" w:eastAsia="Times New Roman"/>
                <w:sz w:val="20"/>
                <w:szCs w:val="20"/>
              </w:rPr>
            </w:pPr>
            <w:r w:rsidRPr="00BA2046">
              <w:rPr>
                <w:rFonts w:hAnsi="標楷體" w:hint="eastAsia"/>
                <w:sz w:val="20"/>
                <w:szCs w:val="20"/>
              </w:rPr>
              <w:t>苗栗地方法院</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3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28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10.7%</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3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26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11.5%</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3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26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11.5%</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3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26 </w:t>
            </w:r>
          </w:p>
        </w:tc>
        <w:tc>
          <w:tcPr>
            <w:tcW w:w="836"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11.5%</w:t>
            </w:r>
          </w:p>
        </w:tc>
      </w:tr>
      <w:tr w:rsidR="00B41328" w:rsidRPr="00BA2046" w:rsidTr="00B41328">
        <w:tc>
          <w:tcPr>
            <w:tcW w:w="1653" w:type="dxa"/>
            <w:tcBorders>
              <w:top w:val="single" w:sz="4" w:space="0" w:color="auto"/>
              <w:left w:val="single" w:sz="4" w:space="0" w:color="auto"/>
              <w:bottom w:val="single" w:sz="4" w:space="0" w:color="auto"/>
              <w:right w:val="single" w:sz="4" w:space="0" w:color="auto"/>
            </w:tcBorders>
            <w:vAlign w:val="center"/>
            <w:hideMark/>
          </w:tcPr>
          <w:p w:rsidR="00B41328" w:rsidRPr="00BA2046" w:rsidRDefault="00B41328">
            <w:pPr>
              <w:overflowPunct/>
              <w:autoSpaceDE/>
              <w:spacing w:line="280" w:lineRule="exact"/>
              <w:jc w:val="left"/>
              <w:rPr>
                <w:rFonts w:ascii="Times New Roman" w:eastAsia="Times New Roman"/>
                <w:sz w:val="20"/>
                <w:szCs w:val="20"/>
              </w:rPr>
            </w:pPr>
            <w:r w:rsidRPr="00BA2046">
              <w:rPr>
                <w:rFonts w:hAnsi="標楷體" w:hint="eastAsia"/>
                <w:sz w:val="20"/>
                <w:szCs w:val="20"/>
              </w:rPr>
              <w:t>臺中地方法院</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12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130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9.2%</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11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126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8.7%</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13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131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9.9%</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12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129 </w:t>
            </w:r>
          </w:p>
        </w:tc>
        <w:tc>
          <w:tcPr>
            <w:tcW w:w="836"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9.3%</w:t>
            </w:r>
          </w:p>
        </w:tc>
      </w:tr>
      <w:tr w:rsidR="00B41328" w:rsidRPr="00BA2046" w:rsidTr="00B41328">
        <w:tc>
          <w:tcPr>
            <w:tcW w:w="1653" w:type="dxa"/>
            <w:tcBorders>
              <w:top w:val="single" w:sz="4" w:space="0" w:color="auto"/>
              <w:left w:val="single" w:sz="4" w:space="0" w:color="auto"/>
              <w:bottom w:val="single" w:sz="4" w:space="0" w:color="auto"/>
              <w:right w:val="single" w:sz="4" w:space="0" w:color="auto"/>
            </w:tcBorders>
            <w:vAlign w:val="center"/>
            <w:hideMark/>
          </w:tcPr>
          <w:p w:rsidR="00B41328" w:rsidRPr="00BA2046" w:rsidRDefault="00B41328">
            <w:pPr>
              <w:overflowPunct/>
              <w:autoSpaceDE/>
              <w:spacing w:line="280" w:lineRule="exact"/>
              <w:jc w:val="left"/>
              <w:rPr>
                <w:rFonts w:ascii="Times New Roman" w:eastAsia="Times New Roman"/>
                <w:sz w:val="20"/>
                <w:szCs w:val="20"/>
              </w:rPr>
            </w:pPr>
            <w:r w:rsidRPr="00BA2046">
              <w:rPr>
                <w:rFonts w:hAnsi="標楷體" w:hint="eastAsia"/>
                <w:sz w:val="20"/>
                <w:szCs w:val="20"/>
              </w:rPr>
              <w:t>南投地方法院</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3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25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12%</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3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25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12%</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3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24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12.5%</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3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24 </w:t>
            </w:r>
          </w:p>
        </w:tc>
        <w:tc>
          <w:tcPr>
            <w:tcW w:w="836"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12.5%</w:t>
            </w:r>
          </w:p>
        </w:tc>
      </w:tr>
      <w:tr w:rsidR="00B41328" w:rsidRPr="00BA2046" w:rsidTr="00B41328">
        <w:tc>
          <w:tcPr>
            <w:tcW w:w="1653" w:type="dxa"/>
            <w:tcBorders>
              <w:top w:val="single" w:sz="4" w:space="0" w:color="auto"/>
              <w:left w:val="single" w:sz="4" w:space="0" w:color="auto"/>
              <w:bottom w:val="single" w:sz="4" w:space="0" w:color="auto"/>
              <w:right w:val="single" w:sz="4" w:space="0" w:color="auto"/>
            </w:tcBorders>
            <w:vAlign w:val="center"/>
            <w:hideMark/>
          </w:tcPr>
          <w:p w:rsidR="00B41328" w:rsidRPr="00BA2046" w:rsidRDefault="00B41328">
            <w:pPr>
              <w:overflowPunct/>
              <w:autoSpaceDE/>
              <w:spacing w:line="280" w:lineRule="exact"/>
              <w:jc w:val="left"/>
              <w:rPr>
                <w:rFonts w:ascii="Times New Roman" w:eastAsia="Times New Roman"/>
                <w:sz w:val="20"/>
                <w:szCs w:val="20"/>
              </w:rPr>
            </w:pPr>
            <w:r w:rsidRPr="00BA2046">
              <w:rPr>
                <w:rFonts w:hAnsi="標楷體" w:hint="eastAsia"/>
                <w:sz w:val="20"/>
                <w:szCs w:val="20"/>
              </w:rPr>
              <w:t>彰化地方法院</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6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54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11.1%</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5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50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10%</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6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53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11.3%</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6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53 </w:t>
            </w:r>
          </w:p>
        </w:tc>
        <w:tc>
          <w:tcPr>
            <w:tcW w:w="836"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11.3%</w:t>
            </w:r>
          </w:p>
        </w:tc>
      </w:tr>
      <w:tr w:rsidR="00B41328" w:rsidRPr="00BA2046" w:rsidTr="00B41328">
        <w:tc>
          <w:tcPr>
            <w:tcW w:w="1653" w:type="dxa"/>
            <w:tcBorders>
              <w:top w:val="single" w:sz="4" w:space="0" w:color="auto"/>
              <w:left w:val="single" w:sz="4" w:space="0" w:color="auto"/>
              <w:bottom w:val="single" w:sz="4" w:space="0" w:color="auto"/>
              <w:right w:val="single" w:sz="4" w:space="0" w:color="auto"/>
            </w:tcBorders>
            <w:vAlign w:val="center"/>
            <w:hideMark/>
          </w:tcPr>
          <w:p w:rsidR="00B41328" w:rsidRPr="00BA2046" w:rsidRDefault="00B41328">
            <w:pPr>
              <w:overflowPunct/>
              <w:autoSpaceDE/>
              <w:spacing w:line="280" w:lineRule="exact"/>
              <w:jc w:val="left"/>
              <w:rPr>
                <w:rFonts w:ascii="Times New Roman" w:eastAsia="Times New Roman"/>
                <w:sz w:val="20"/>
                <w:szCs w:val="20"/>
              </w:rPr>
            </w:pPr>
            <w:r w:rsidRPr="00BA2046">
              <w:rPr>
                <w:rFonts w:hAnsi="標楷體" w:hint="eastAsia"/>
                <w:sz w:val="20"/>
                <w:szCs w:val="20"/>
              </w:rPr>
              <w:t>雲林地方法院</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4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34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11.8%</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4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33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12.1%</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3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31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9.7%</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2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29 </w:t>
            </w:r>
          </w:p>
        </w:tc>
        <w:tc>
          <w:tcPr>
            <w:tcW w:w="836"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6.9%</w:t>
            </w:r>
          </w:p>
        </w:tc>
      </w:tr>
      <w:tr w:rsidR="00B41328" w:rsidRPr="00BA2046" w:rsidTr="00B41328">
        <w:tc>
          <w:tcPr>
            <w:tcW w:w="1653" w:type="dxa"/>
            <w:tcBorders>
              <w:top w:val="single" w:sz="4" w:space="0" w:color="auto"/>
              <w:left w:val="single" w:sz="4" w:space="0" w:color="auto"/>
              <w:bottom w:val="single" w:sz="4" w:space="0" w:color="auto"/>
              <w:right w:val="single" w:sz="4" w:space="0" w:color="auto"/>
            </w:tcBorders>
            <w:vAlign w:val="center"/>
            <w:hideMark/>
          </w:tcPr>
          <w:p w:rsidR="00B41328" w:rsidRPr="00BA2046" w:rsidRDefault="00B41328">
            <w:pPr>
              <w:overflowPunct/>
              <w:autoSpaceDE/>
              <w:spacing w:line="280" w:lineRule="exact"/>
              <w:jc w:val="left"/>
              <w:rPr>
                <w:rFonts w:ascii="Times New Roman" w:eastAsia="Times New Roman"/>
                <w:sz w:val="20"/>
                <w:szCs w:val="20"/>
              </w:rPr>
            </w:pPr>
            <w:r w:rsidRPr="00BA2046">
              <w:rPr>
                <w:rFonts w:hAnsi="標楷體" w:hint="eastAsia"/>
                <w:sz w:val="20"/>
                <w:szCs w:val="20"/>
              </w:rPr>
              <w:t>嘉義地方法院</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4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37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10.8%</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4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39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10.3%</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4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39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10.3%</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4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39 </w:t>
            </w:r>
          </w:p>
        </w:tc>
        <w:tc>
          <w:tcPr>
            <w:tcW w:w="836"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10.3%</w:t>
            </w:r>
          </w:p>
        </w:tc>
      </w:tr>
      <w:tr w:rsidR="00B41328" w:rsidRPr="00BA2046" w:rsidTr="00B41328">
        <w:tc>
          <w:tcPr>
            <w:tcW w:w="1653" w:type="dxa"/>
            <w:tcBorders>
              <w:top w:val="single" w:sz="4" w:space="0" w:color="auto"/>
              <w:left w:val="single" w:sz="4" w:space="0" w:color="auto"/>
              <w:bottom w:val="single" w:sz="4" w:space="0" w:color="auto"/>
              <w:right w:val="single" w:sz="4" w:space="0" w:color="auto"/>
            </w:tcBorders>
            <w:vAlign w:val="center"/>
            <w:hideMark/>
          </w:tcPr>
          <w:p w:rsidR="00B41328" w:rsidRPr="00BA2046" w:rsidRDefault="00B41328">
            <w:pPr>
              <w:overflowPunct/>
              <w:autoSpaceDE/>
              <w:spacing w:line="280" w:lineRule="exact"/>
              <w:jc w:val="left"/>
              <w:rPr>
                <w:rFonts w:ascii="Times New Roman" w:eastAsia="Times New Roman"/>
                <w:sz w:val="20"/>
                <w:szCs w:val="20"/>
              </w:rPr>
            </w:pPr>
            <w:r w:rsidRPr="00BA2046">
              <w:rPr>
                <w:rFonts w:hAnsi="標楷體" w:hint="eastAsia"/>
                <w:sz w:val="20"/>
                <w:szCs w:val="20"/>
              </w:rPr>
              <w:t>臺南地方法院</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9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90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10%</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9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88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10.2%</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8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84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9.5%</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8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84 </w:t>
            </w:r>
          </w:p>
        </w:tc>
        <w:tc>
          <w:tcPr>
            <w:tcW w:w="836"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9.5%</w:t>
            </w:r>
          </w:p>
        </w:tc>
      </w:tr>
      <w:tr w:rsidR="00B41328" w:rsidRPr="00BA2046" w:rsidTr="00B41328">
        <w:tc>
          <w:tcPr>
            <w:tcW w:w="1653" w:type="dxa"/>
            <w:tcBorders>
              <w:top w:val="single" w:sz="4" w:space="0" w:color="auto"/>
              <w:left w:val="single" w:sz="4" w:space="0" w:color="auto"/>
              <w:bottom w:val="single" w:sz="4" w:space="0" w:color="auto"/>
              <w:right w:val="single" w:sz="4" w:space="0" w:color="auto"/>
            </w:tcBorders>
            <w:vAlign w:val="center"/>
            <w:hideMark/>
          </w:tcPr>
          <w:p w:rsidR="00B41328" w:rsidRPr="00BA2046" w:rsidRDefault="00B41328">
            <w:pPr>
              <w:overflowPunct/>
              <w:autoSpaceDE/>
              <w:spacing w:line="280" w:lineRule="exact"/>
              <w:jc w:val="left"/>
              <w:rPr>
                <w:rFonts w:ascii="Times New Roman" w:eastAsia="Times New Roman"/>
                <w:sz w:val="20"/>
                <w:szCs w:val="20"/>
              </w:rPr>
            </w:pPr>
            <w:r w:rsidRPr="00BA2046">
              <w:rPr>
                <w:rFonts w:hAnsi="標楷體" w:hint="eastAsia"/>
                <w:sz w:val="20"/>
                <w:szCs w:val="20"/>
              </w:rPr>
              <w:t>高雄地方法院</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13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125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10.4%</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10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120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8.3%</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12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130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9.2%</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12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127 </w:t>
            </w:r>
          </w:p>
        </w:tc>
        <w:tc>
          <w:tcPr>
            <w:tcW w:w="836"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9.4%</w:t>
            </w:r>
          </w:p>
        </w:tc>
      </w:tr>
      <w:tr w:rsidR="00B41328" w:rsidRPr="00BA2046" w:rsidTr="00B41328">
        <w:tc>
          <w:tcPr>
            <w:tcW w:w="1653" w:type="dxa"/>
            <w:tcBorders>
              <w:top w:val="single" w:sz="4" w:space="0" w:color="auto"/>
              <w:left w:val="single" w:sz="4" w:space="0" w:color="auto"/>
              <w:bottom w:val="single" w:sz="4" w:space="0" w:color="auto"/>
              <w:right w:val="single" w:sz="4" w:space="0" w:color="auto"/>
            </w:tcBorders>
            <w:vAlign w:val="center"/>
            <w:hideMark/>
          </w:tcPr>
          <w:p w:rsidR="00B41328" w:rsidRPr="00BA2046" w:rsidRDefault="00B41328">
            <w:pPr>
              <w:overflowPunct/>
              <w:autoSpaceDE/>
              <w:spacing w:line="280" w:lineRule="exact"/>
              <w:jc w:val="left"/>
              <w:rPr>
                <w:rFonts w:ascii="Times New Roman" w:eastAsia="Times New Roman"/>
                <w:sz w:val="20"/>
                <w:szCs w:val="20"/>
              </w:rPr>
            </w:pPr>
            <w:r w:rsidRPr="00BA2046">
              <w:rPr>
                <w:rFonts w:hAnsi="標楷體" w:hint="eastAsia"/>
                <w:sz w:val="20"/>
                <w:szCs w:val="20"/>
              </w:rPr>
              <w:t>高雄少年法院</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6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16.7%</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6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16.7%</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6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16.7%</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6 </w:t>
            </w:r>
          </w:p>
        </w:tc>
        <w:tc>
          <w:tcPr>
            <w:tcW w:w="836"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16.7%</w:t>
            </w:r>
          </w:p>
        </w:tc>
      </w:tr>
      <w:tr w:rsidR="00B41328" w:rsidRPr="00BA2046" w:rsidTr="00B41328">
        <w:tc>
          <w:tcPr>
            <w:tcW w:w="1653" w:type="dxa"/>
            <w:tcBorders>
              <w:top w:val="single" w:sz="4" w:space="0" w:color="auto"/>
              <w:left w:val="single" w:sz="4" w:space="0" w:color="auto"/>
              <w:bottom w:val="single" w:sz="4" w:space="0" w:color="auto"/>
              <w:right w:val="single" w:sz="4" w:space="0" w:color="auto"/>
            </w:tcBorders>
            <w:vAlign w:val="center"/>
            <w:hideMark/>
          </w:tcPr>
          <w:p w:rsidR="00B41328" w:rsidRPr="00BA2046" w:rsidRDefault="00B41328">
            <w:pPr>
              <w:overflowPunct/>
              <w:autoSpaceDE/>
              <w:spacing w:line="280" w:lineRule="exact"/>
              <w:jc w:val="left"/>
              <w:rPr>
                <w:rFonts w:ascii="Times New Roman" w:eastAsia="Times New Roman"/>
                <w:sz w:val="20"/>
                <w:szCs w:val="20"/>
              </w:rPr>
            </w:pPr>
            <w:r w:rsidRPr="00BA2046">
              <w:rPr>
                <w:rFonts w:hAnsi="標楷體" w:hint="eastAsia"/>
                <w:sz w:val="20"/>
                <w:szCs w:val="20"/>
              </w:rPr>
              <w:t>橋頭地方法院</w:t>
            </w:r>
          </w:p>
        </w:tc>
        <w:tc>
          <w:tcPr>
            <w:tcW w:w="577" w:type="dxa"/>
            <w:tcBorders>
              <w:top w:val="single" w:sz="4" w:space="0" w:color="auto"/>
              <w:left w:val="single" w:sz="4" w:space="0" w:color="auto"/>
              <w:bottom w:val="single" w:sz="4" w:space="0" w:color="auto"/>
              <w:right w:val="single" w:sz="4" w:space="0" w:color="auto"/>
            </w:tcBorders>
          </w:tcPr>
          <w:p w:rsidR="00B41328" w:rsidRPr="00BA2046" w:rsidRDefault="00B41328">
            <w:pPr>
              <w:overflowPunct/>
              <w:autoSpaceDE/>
              <w:spacing w:line="280" w:lineRule="exact"/>
              <w:jc w:val="left"/>
              <w:rPr>
                <w:rFonts w:ascii="Calibri" w:eastAsia="Times New Roman"/>
                <w:sz w:val="20"/>
                <w:szCs w:val="20"/>
              </w:rPr>
            </w:pPr>
          </w:p>
        </w:tc>
        <w:tc>
          <w:tcPr>
            <w:tcW w:w="767" w:type="dxa"/>
            <w:tcBorders>
              <w:top w:val="single" w:sz="4" w:space="0" w:color="auto"/>
              <w:left w:val="single" w:sz="4" w:space="0" w:color="auto"/>
              <w:bottom w:val="single" w:sz="4" w:space="0" w:color="auto"/>
              <w:right w:val="single" w:sz="4" w:space="0" w:color="auto"/>
            </w:tcBorders>
          </w:tcPr>
          <w:p w:rsidR="00B41328" w:rsidRPr="00BA2046" w:rsidRDefault="00B41328">
            <w:pPr>
              <w:overflowPunct/>
              <w:autoSpaceDE/>
              <w:spacing w:line="280" w:lineRule="exact"/>
              <w:jc w:val="left"/>
              <w:rPr>
                <w:rFonts w:ascii="Calibri" w:eastAsia="Times New Roman"/>
                <w:sz w:val="20"/>
                <w:szCs w:val="20"/>
              </w:rPr>
            </w:pPr>
          </w:p>
        </w:tc>
        <w:tc>
          <w:tcPr>
            <w:tcW w:w="815" w:type="dxa"/>
            <w:tcBorders>
              <w:top w:val="single" w:sz="4" w:space="0" w:color="auto"/>
              <w:left w:val="single" w:sz="4" w:space="0" w:color="auto"/>
              <w:bottom w:val="single" w:sz="4" w:space="0" w:color="auto"/>
              <w:right w:val="single" w:sz="4" w:space="0" w:color="auto"/>
            </w:tcBorders>
          </w:tcPr>
          <w:p w:rsidR="00B41328" w:rsidRPr="00BA2046" w:rsidRDefault="00B41328">
            <w:pPr>
              <w:overflowPunct/>
              <w:autoSpaceDE/>
              <w:spacing w:line="280" w:lineRule="exact"/>
              <w:jc w:val="left"/>
              <w:rPr>
                <w:rFonts w:ascii="Calibri" w:eastAsia="Times New Roman"/>
                <w:sz w:val="20"/>
                <w:szCs w:val="20"/>
              </w:rPr>
            </w:pPr>
          </w:p>
        </w:tc>
        <w:tc>
          <w:tcPr>
            <w:tcW w:w="577" w:type="dxa"/>
            <w:tcBorders>
              <w:top w:val="single" w:sz="4" w:space="0" w:color="auto"/>
              <w:left w:val="single" w:sz="4" w:space="0" w:color="auto"/>
              <w:bottom w:val="single" w:sz="4" w:space="0" w:color="auto"/>
              <w:right w:val="single" w:sz="4" w:space="0" w:color="auto"/>
            </w:tcBorders>
          </w:tcPr>
          <w:p w:rsidR="00B41328" w:rsidRPr="00BA2046" w:rsidRDefault="00B41328">
            <w:pPr>
              <w:overflowPunct/>
              <w:autoSpaceDE/>
              <w:spacing w:line="280" w:lineRule="exact"/>
              <w:jc w:val="left"/>
              <w:rPr>
                <w:rFonts w:ascii="Calibri" w:eastAsia="Times New Roman"/>
                <w:sz w:val="20"/>
                <w:szCs w:val="20"/>
              </w:rPr>
            </w:pPr>
          </w:p>
        </w:tc>
        <w:tc>
          <w:tcPr>
            <w:tcW w:w="767" w:type="dxa"/>
            <w:tcBorders>
              <w:top w:val="single" w:sz="4" w:space="0" w:color="auto"/>
              <w:left w:val="single" w:sz="4" w:space="0" w:color="auto"/>
              <w:bottom w:val="single" w:sz="4" w:space="0" w:color="auto"/>
              <w:right w:val="single" w:sz="4" w:space="0" w:color="auto"/>
            </w:tcBorders>
          </w:tcPr>
          <w:p w:rsidR="00B41328" w:rsidRPr="00BA2046" w:rsidRDefault="00B41328">
            <w:pPr>
              <w:overflowPunct/>
              <w:autoSpaceDE/>
              <w:spacing w:line="280" w:lineRule="exact"/>
              <w:jc w:val="left"/>
              <w:rPr>
                <w:rFonts w:ascii="Calibri" w:eastAsia="Times New Roman"/>
                <w:sz w:val="20"/>
                <w:szCs w:val="20"/>
              </w:rPr>
            </w:pPr>
          </w:p>
        </w:tc>
        <w:tc>
          <w:tcPr>
            <w:tcW w:w="815" w:type="dxa"/>
            <w:tcBorders>
              <w:top w:val="single" w:sz="4" w:space="0" w:color="auto"/>
              <w:left w:val="single" w:sz="4" w:space="0" w:color="auto"/>
              <w:bottom w:val="single" w:sz="4" w:space="0" w:color="auto"/>
              <w:right w:val="single" w:sz="4" w:space="0" w:color="auto"/>
            </w:tcBorders>
          </w:tcPr>
          <w:p w:rsidR="00B41328" w:rsidRPr="00BA2046" w:rsidRDefault="00B41328">
            <w:pPr>
              <w:overflowPunct/>
              <w:autoSpaceDE/>
              <w:spacing w:line="280" w:lineRule="exact"/>
              <w:jc w:val="left"/>
              <w:rPr>
                <w:rFonts w:ascii="Calibri" w:eastAsia="Times New Roman"/>
                <w:sz w:val="20"/>
                <w:szCs w:val="20"/>
              </w:rPr>
            </w:pPr>
          </w:p>
        </w:tc>
        <w:tc>
          <w:tcPr>
            <w:tcW w:w="577" w:type="dxa"/>
            <w:tcBorders>
              <w:top w:val="single" w:sz="4" w:space="0" w:color="auto"/>
              <w:left w:val="single" w:sz="4" w:space="0" w:color="auto"/>
              <w:bottom w:val="single" w:sz="4" w:space="0" w:color="auto"/>
              <w:right w:val="single" w:sz="4" w:space="0" w:color="auto"/>
            </w:tcBorders>
          </w:tcPr>
          <w:p w:rsidR="00B41328" w:rsidRPr="00BA2046" w:rsidRDefault="00B41328">
            <w:pPr>
              <w:overflowPunct/>
              <w:autoSpaceDE/>
              <w:spacing w:line="280" w:lineRule="exact"/>
              <w:jc w:val="left"/>
              <w:rPr>
                <w:rFonts w:ascii="Calibri" w:eastAsia="Times New Roman"/>
                <w:sz w:val="20"/>
                <w:szCs w:val="20"/>
              </w:rPr>
            </w:pPr>
          </w:p>
        </w:tc>
        <w:tc>
          <w:tcPr>
            <w:tcW w:w="767" w:type="dxa"/>
            <w:tcBorders>
              <w:top w:val="single" w:sz="4" w:space="0" w:color="auto"/>
              <w:left w:val="single" w:sz="4" w:space="0" w:color="auto"/>
              <w:bottom w:val="single" w:sz="4" w:space="0" w:color="auto"/>
              <w:right w:val="single" w:sz="4" w:space="0" w:color="auto"/>
            </w:tcBorders>
          </w:tcPr>
          <w:p w:rsidR="00B41328" w:rsidRPr="00BA2046" w:rsidRDefault="00B41328">
            <w:pPr>
              <w:overflowPunct/>
              <w:autoSpaceDE/>
              <w:spacing w:line="280" w:lineRule="exact"/>
              <w:jc w:val="left"/>
              <w:rPr>
                <w:rFonts w:ascii="Calibri" w:eastAsia="Times New Roman"/>
                <w:sz w:val="20"/>
                <w:szCs w:val="20"/>
              </w:rPr>
            </w:pPr>
          </w:p>
        </w:tc>
        <w:tc>
          <w:tcPr>
            <w:tcW w:w="815" w:type="dxa"/>
            <w:tcBorders>
              <w:top w:val="single" w:sz="4" w:space="0" w:color="auto"/>
              <w:left w:val="single" w:sz="4" w:space="0" w:color="auto"/>
              <w:bottom w:val="single" w:sz="4" w:space="0" w:color="auto"/>
              <w:right w:val="single" w:sz="4" w:space="0" w:color="auto"/>
            </w:tcBorders>
          </w:tcPr>
          <w:p w:rsidR="00B41328" w:rsidRPr="00BA2046" w:rsidRDefault="00B41328">
            <w:pPr>
              <w:overflowPunct/>
              <w:autoSpaceDE/>
              <w:spacing w:line="280" w:lineRule="exact"/>
              <w:jc w:val="left"/>
              <w:rPr>
                <w:rFonts w:ascii="Calibri" w:eastAsia="Times New Roman"/>
                <w:sz w:val="20"/>
                <w:szCs w:val="20"/>
              </w:rPr>
            </w:pPr>
          </w:p>
        </w:tc>
        <w:tc>
          <w:tcPr>
            <w:tcW w:w="577" w:type="dxa"/>
            <w:tcBorders>
              <w:top w:val="single" w:sz="4" w:space="0" w:color="auto"/>
              <w:left w:val="single" w:sz="4" w:space="0" w:color="auto"/>
              <w:bottom w:val="single" w:sz="4" w:space="0" w:color="auto"/>
              <w:right w:val="single" w:sz="4" w:space="0" w:color="auto"/>
            </w:tcBorders>
          </w:tcPr>
          <w:p w:rsidR="00B41328" w:rsidRPr="00BA2046" w:rsidRDefault="00B41328">
            <w:pPr>
              <w:overflowPunct/>
              <w:autoSpaceDE/>
              <w:spacing w:line="280" w:lineRule="exact"/>
              <w:jc w:val="left"/>
              <w:rPr>
                <w:rFonts w:ascii="Calibri" w:eastAsia="Times New Roman"/>
                <w:sz w:val="20"/>
                <w:szCs w:val="20"/>
              </w:rPr>
            </w:pPr>
          </w:p>
        </w:tc>
        <w:tc>
          <w:tcPr>
            <w:tcW w:w="767" w:type="dxa"/>
            <w:tcBorders>
              <w:top w:val="single" w:sz="4" w:space="0" w:color="auto"/>
              <w:left w:val="single" w:sz="4" w:space="0" w:color="auto"/>
              <w:bottom w:val="single" w:sz="4" w:space="0" w:color="auto"/>
              <w:right w:val="single" w:sz="4" w:space="0" w:color="auto"/>
            </w:tcBorders>
          </w:tcPr>
          <w:p w:rsidR="00B41328" w:rsidRPr="00BA2046" w:rsidRDefault="00B41328">
            <w:pPr>
              <w:overflowPunct/>
              <w:autoSpaceDE/>
              <w:spacing w:line="280" w:lineRule="exact"/>
              <w:jc w:val="left"/>
              <w:rPr>
                <w:rFonts w:ascii="Calibri" w:eastAsia="Times New Roman"/>
                <w:sz w:val="20"/>
                <w:szCs w:val="20"/>
              </w:rPr>
            </w:pPr>
          </w:p>
        </w:tc>
        <w:tc>
          <w:tcPr>
            <w:tcW w:w="836" w:type="dxa"/>
            <w:tcBorders>
              <w:top w:val="single" w:sz="4" w:space="0" w:color="auto"/>
              <w:left w:val="single" w:sz="4" w:space="0" w:color="auto"/>
              <w:bottom w:val="single" w:sz="4" w:space="0" w:color="auto"/>
              <w:right w:val="single" w:sz="4" w:space="0" w:color="auto"/>
            </w:tcBorders>
          </w:tcPr>
          <w:p w:rsidR="00B41328" w:rsidRPr="00BA2046" w:rsidRDefault="00B41328">
            <w:pPr>
              <w:overflowPunct/>
              <w:autoSpaceDE/>
              <w:spacing w:line="280" w:lineRule="exact"/>
              <w:jc w:val="left"/>
              <w:rPr>
                <w:rFonts w:ascii="Calibri" w:eastAsia="Times New Roman"/>
                <w:sz w:val="20"/>
                <w:szCs w:val="20"/>
              </w:rPr>
            </w:pPr>
          </w:p>
        </w:tc>
      </w:tr>
      <w:tr w:rsidR="00B41328" w:rsidRPr="00BA2046" w:rsidTr="00B41328">
        <w:tc>
          <w:tcPr>
            <w:tcW w:w="1653" w:type="dxa"/>
            <w:tcBorders>
              <w:top w:val="single" w:sz="4" w:space="0" w:color="auto"/>
              <w:left w:val="single" w:sz="4" w:space="0" w:color="auto"/>
              <w:bottom w:val="single" w:sz="4" w:space="0" w:color="auto"/>
              <w:right w:val="single" w:sz="4" w:space="0" w:color="auto"/>
            </w:tcBorders>
            <w:vAlign w:val="center"/>
            <w:hideMark/>
          </w:tcPr>
          <w:p w:rsidR="00B41328" w:rsidRPr="00BA2046" w:rsidRDefault="00B41328">
            <w:pPr>
              <w:overflowPunct/>
              <w:autoSpaceDE/>
              <w:spacing w:line="280" w:lineRule="exact"/>
              <w:jc w:val="left"/>
              <w:rPr>
                <w:rFonts w:ascii="Times New Roman" w:eastAsia="Times New Roman"/>
                <w:sz w:val="20"/>
                <w:szCs w:val="20"/>
              </w:rPr>
            </w:pPr>
            <w:r w:rsidRPr="00BA2046">
              <w:rPr>
                <w:rFonts w:hAnsi="標楷體" w:hint="eastAsia"/>
                <w:sz w:val="20"/>
                <w:szCs w:val="20"/>
              </w:rPr>
              <w:t>屏東地方法院</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4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40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10%</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4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34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11.8%</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4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42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9.5%</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4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39 </w:t>
            </w:r>
          </w:p>
        </w:tc>
        <w:tc>
          <w:tcPr>
            <w:tcW w:w="836"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10.3%</w:t>
            </w:r>
          </w:p>
        </w:tc>
      </w:tr>
      <w:tr w:rsidR="00B41328" w:rsidRPr="00BA2046" w:rsidTr="00B41328">
        <w:tc>
          <w:tcPr>
            <w:tcW w:w="1653" w:type="dxa"/>
            <w:tcBorders>
              <w:top w:val="single" w:sz="4" w:space="0" w:color="auto"/>
              <w:left w:val="single" w:sz="4" w:space="0" w:color="auto"/>
              <w:bottom w:val="single" w:sz="4" w:space="0" w:color="auto"/>
              <w:right w:val="single" w:sz="4" w:space="0" w:color="auto"/>
            </w:tcBorders>
            <w:vAlign w:val="center"/>
            <w:hideMark/>
          </w:tcPr>
          <w:p w:rsidR="00B41328" w:rsidRPr="00BA2046" w:rsidRDefault="00B41328">
            <w:pPr>
              <w:overflowPunct/>
              <w:autoSpaceDE/>
              <w:spacing w:line="280" w:lineRule="exact"/>
              <w:jc w:val="left"/>
              <w:rPr>
                <w:rFonts w:ascii="Times New Roman" w:eastAsia="Times New Roman"/>
                <w:sz w:val="20"/>
                <w:szCs w:val="20"/>
              </w:rPr>
            </w:pPr>
            <w:r w:rsidRPr="00BA2046">
              <w:rPr>
                <w:rFonts w:hAnsi="標楷體" w:hint="eastAsia"/>
                <w:sz w:val="20"/>
                <w:szCs w:val="20"/>
              </w:rPr>
              <w:t>臺東地方法院</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2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16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12.5%</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2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14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14.3%</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2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17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11.8%</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2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16 </w:t>
            </w:r>
          </w:p>
        </w:tc>
        <w:tc>
          <w:tcPr>
            <w:tcW w:w="836"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12.5%</w:t>
            </w:r>
          </w:p>
        </w:tc>
      </w:tr>
      <w:tr w:rsidR="00B41328" w:rsidRPr="00BA2046" w:rsidTr="00B41328">
        <w:tc>
          <w:tcPr>
            <w:tcW w:w="1653" w:type="dxa"/>
            <w:tcBorders>
              <w:top w:val="single" w:sz="4" w:space="0" w:color="auto"/>
              <w:left w:val="single" w:sz="4" w:space="0" w:color="auto"/>
              <w:bottom w:val="single" w:sz="4" w:space="0" w:color="auto"/>
              <w:right w:val="single" w:sz="4" w:space="0" w:color="auto"/>
            </w:tcBorders>
            <w:vAlign w:val="center"/>
            <w:hideMark/>
          </w:tcPr>
          <w:p w:rsidR="00B41328" w:rsidRPr="00BA2046" w:rsidRDefault="00B41328">
            <w:pPr>
              <w:overflowPunct/>
              <w:autoSpaceDE/>
              <w:spacing w:line="280" w:lineRule="exact"/>
              <w:jc w:val="left"/>
              <w:rPr>
                <w:rFonts w:ascii="Times New Roman" w:eastAsia="Times New Roman"/>
                <w:sz w:val="20"/>
                <w:szCs w:val="20"/>
              </w:rPr>
            </w:pPr>
            <w:r w:rsidRPr="00BA2046">
              <w:rPr>
                <w:rFonts w:hAnsi="標楷體" w:hint="eastAsia"/>
                <w:sz w:val="20"/>
                <w:szCs w:val="20"/>
              </w:rPr>
              <w:t>花蓮地方法院</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2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20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10%</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2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21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9.5%</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3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21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14.3%</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3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21 </w:t>
            </w:r>
          </w:p>
        </w:tc>
        <w:tc>
          <w:tcPr>
            <w:tcW w:w="836"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14.3%</w:t>
            </w:r>
          </w:p>
        </w:tc>
      </w:tr>
      <w:tr w:rsidR="00B41328" w:rsidRPr="00BA2046" w:rsidTr="00B41328">
        <w:tc>
          <w:tcPr>
            <w:tcW w:w="1653" w:type="dxa"/>
            <w:tcBorders>
              <w:top w:val="single" w:sz="4" w:space="0" w:color="auto"/>
              <w:left w:val="single" w:sz="4" w:space="0" w:color="auto"/>
              <w:bottom w:val="single" w:sz="4" w:space="0" w:color="auto"/>
              <w:right w:val="single" w:sz="4" w:space="0" w:color="auto"/>
            </w:tcBorders>
            <w:vAlign w:val="center"/>
            <w:hideMark/>
          </w:tcPr>
          <w:p w:rsidR="00B41328" w:rsidRPr="00BA2046" w:rsidRDefault="00B41328">
            <w:pPr>
              <w:overflowPunct/>
              <w:autoSpaceDE/>
              <w:spacing w:line="280" w:lineRule="exact"/>
              <w:jc w:val="left"/>
              <w:rPr>
                <w:rFonts w:hAnsi="標楷體"/>
                <w:sz w:val="20"/>
                <w:szCs w:val="20"/>
              </w:rPr>
            </w:pPr>
            <w:r w:rsidRPr="00BA2046">
              <w:rPr>
                <w:rFonts w:hAnsi="標楷體" w:hint="eastAsia"/>
                <w:sz w:val="20"/>
                <w:szCs w:val="20"/>
              </w:rPr>
              <w:t>宜蘭地方法院</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新細明體"/>
                <w:sz w:val="20"/>
                <w:szCs w:val="20"/>
              </w:rPr>
            </w:pPr>
            <w:r w:rsidRPr="00BA2046">
              <w:rPr>
                <w:rFonts w:ascii="Calibri" w:eastAsia="Times New Roman"/>
                <w:sz w:val="20"/>
                <w:szCs w:val="20"/>
              </w:rPr>
              <w:t xml:space="preserve"> 2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20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10%</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2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19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10.5%</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3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21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14.3%</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3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21 </w:t>
            </w:r>
          </w:p>
        </w:tc>
        <w:tc>
          <w:tcPr>
            <w:tcW w:w="836"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14.3%</w:t>
            </w:r>
          </w:p>
        </w:tc>
      </w:tr>
      <w:tr w:rsidR="00B41328" w:rsidRPr="00BA2046" w:rsidTr="00B41328">
        <w:tc>
          <w:tcPr>
            <w:tcW w:w="1653" w:type="dxa"/>
            <w:tcBorders>
              <w:top w:val="single" w:sz="4" w:space="0" w:color="auto"/>
              <w:left w:val="single" w:sz="4" w:space="0" w:color="auto"/>
              <w:bottom w:val="single" w:sz="4" w:space="0" w:color="auto"/>
              <w:right w:val="single" w:sz="4" w:space="0" w:color="auto"/>
            </w:tcBorders>
            <w:vAlign w:val="center"/>
            <w:hideMark/>
          </w:tcPr>
          <w:p w:rsidR="00B41328" w:rsidRPr="00BA2046" w:rsidRDefault="00B41328">
            <w:pPr>
              <w:overflowPunct/>
              <w:autoSpaceDE/>
              <w:spacing w:line="280" w:lineRule="exact"/>
              <w:jc w:val="left"/>
              <w:rPr>
                <w:rFonts w:hAnsi="標楷體"/>
                <w:sz w:val="20"/>
                <w:szCs w:val="20"/>
              </w:rPr>
            </w:pPr>
            <w:r w:rsidRPr="00BA2046">
              <w:rPr>
                <w:rFonts w:hAnsi="標楷體" w:hint="eastAsia"/>
                <w:sz w:val="20"/>
                <w:szCs w:val="20"/>
              </w:rPr>
              <w:t>基隆地方法院</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新細明體"/>
                <w:sz w:val="20"/>
                <w:szCs w:val="20"/>
              </w:rPr>
            </w:pPr>
            <w:r w:rsidRPr="00BA2046">
              <w:rPr>
                <w:rFonts w:ascii="Calibri" w:eastAsia="Times New Roman"/>
                <w:sz w:val="20"/>
                <w:szCs w:val="20"/>
              </w:rPr>
              <w:t xml:space="preserve"> 3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26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11.5%</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3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24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12.5%</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2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23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8.7%</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2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27 </w:t>
            </w:r>
          </w:p>
        </w:tc>
        <w:tc>
          <w:tcPr>
            <w:tcW w:w="836"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7.4%</w:t>
            </w:r>
          </w:p>
        </w:tc>
      </w:tr>
      <w:tr w:rsidR="00B41328" w:rsidRPr="00BA2046" w:rsidTr="00B41328">
        <w:tc>
          <w:tcPr>
            <w:tcW w:w="1653" w:type="dxa"/>
            <w:tcBorders>
              <w:top w:val="single" w:sz="4" w:space="0" w:color="auto"/>
              <w:left w:val="single" w:sz="4" w:space="0" w:color="auto"/>
              <w:bottom w:val="single" w:sz="4" w:space="0" w:color="auto"/>
              <w:right w:val="single" w:sz="4" w:space="0" w:color="auto"/>
            </w:tcBorders>
            <w:vAlign w:val="center"/>
            <w:hideMark/>
          </w:tcPr>
          <w:p w:rsidR="00B41328" w:rsidRPr="00BA2046" w:rsidRDefault="00B41328">
            <w:pPr>
              <w:overflowPunct/>
              <w:autoSpaceDE/>
              <w:spacing w:line="280" w:lineRule="exact"/>
              <w:jc w:val="left"/>
              <w:rPr>
                <w:rFonts w:hAnsi="標楷體"/>
                <w:sz w:val="20"/>
                <w:szCs w:val="20"/>
              </w:rPr>
            </w:pPr>
            <w:r w:rsidRPr="00BA2046">
              <w:rPr>
                <w:rFonts w:hAnsi="標楷體" w:hint="eastAsia"/>
                <w:sz w:val="20"/>
                <w:szCs w:val="20"/>
              </w:rPr>
              <w:t>澎湖地方法院</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新細明體"/>
                <w:sz w:val="20"/>
                <w:szCs w:val="20"/>
              </w:rPr>
            </w:pPr>
            <w:r w:rsidRPr="00BA2046">
              <w:rPr>
                <w:rFonts w:ascii="Calibri" w:eastAsia="Times New Roman"/>
                <w:sz w:val="20"/>
                <w:szCs w:val="20"/>
              </w:rPr>
              <w:t xml:space="preserve"> 1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5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20%</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5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20%</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5 </w:t>
            </w:r>
          </w:p>
        </w:tc>
        <w:tc>
          <w:tcPr>
            <w:tcW w:w="815"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20%</w:t>
            </w:r>
          </w:p>
        </w:tc>
        <w:tc>
          <w:tcPr>
            <w:tcW w:w="57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1 </w:t>
            </w:r>
          </w:p>
        </w:tc>
        <w:tc>
          <w:tcPr>
            <w:tcW w:w="767"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 xml:space="preserve"> 5 </w:t>
            </w:r>
          </w:p>
        </w:tc>
        <w:tc>
          <w:tcPr>
            <w:tcW w:w="836" w:type="dxa"/>
            <w:tcBorders>
              <w:top w:val="single" w:sz="4" w:space="0" w:color="auto"/>
              <w:left w:val="single" w:sz="4" w:space="0" w:color="auto"/>
              <w:bottom w:val="single" w:sz="4" w:space="0" w:color="auto"/>
              <w:right w:val="single" w:sz="4" w:space="0" w:color="auto"/>
            </w:tcBorders>
            <w:hideMark/>
          </w:tcPr>
          <w:p w:rsidR="00B41328" w:rsidRPr="00BA2046" w:rsidRDefault="00B41328">
            <w:pPr>
              <w:overflowPunct/>
              <w:autoSpaceDE/>
              <w:spacing w:line="280" w:lineRule="exact"/>
              <w:jc w:val="left"/>
              <w:rPr>
                <w:rFonts w:ascii="Calibri" w:eastAsia="Times New Roman"/>
                <w:sz w:val="20"/>
                <w:szCs w:val="20"/>
              </w:rPr>
            </w:pPr>
            <w:r w:rsidRPr="00BA2046">
              <w:rPr>
                <w:rFonts w:ascii="Calibri" w:eastAsia="Times New Roman"/>
                <w:sz w:val="20"/>
                <w:szCs w:val="20"/>
              </w:rPr>
              <w:t>20%</w:t>
            </w:r>
          </w:p>
        </w:tc>
      </w:tr>
      <w:tr w:rsidR="00B41328" w:rsidRPr="00BA2046" w:rsidTr="00B41328">
        <w:tc>
          <w:tcPr>
            <w:tcW w:w="1653" w:type="dxa"/>
            <w:tcBorders>
              <w:top w:val="single" w:sz="4" w:space="0" w:color="auto"/>
              <w:left w:val="single" w:sz="4" w:space="0" w:color="auto"/>
              <w:bottom w:val="single" w:sz="4" w:space="0" w:color="auto"/>
              <w:right w:val="single" w:sz="4" w:space="0" w:color="auto"/>
            </w:tcBorders>
            <w:vAlign w:val="center"/>
            <w:hideMark/>
          </w:tcPr>
          <w:p w:rsidR="00B41328" w:rsidRPr="00BA2046" w:rsidRDefault="00B41328">
            <w:pPr>
              <w:overflowPunct/>
              <w:autoSpaceDE/>
              <w:spacing w:line="280" w:lineRule="exact"/>
              <w:jc w:val="left"/>
              <w:rPr>
                <w:rFonts w:hAnsi="標楷體"/>
                <w:sz w:val="20"/>
                <w:szCs w:val="20"/>
              </w:rPr>
            </w:pPr>
            <w:r w:rsidRPr="00BA2046">
              <w:rPr>
                <w:rFonts w:hAnsi="標楷體" w:hint="eastAsia"/>
                <w:sz w:val="20"/>
                <w:szCs w:val="20"/>
              </w:rPr>
              <w:t>合計</w:t>
            </w:r>
          </w:p>
        </w:tc>
        <w:tc>
          <w:tcPr>
            <w:tcW w:w="577" w:type="dxa"/>
            <w:tcBorders>
              <w:top w:val="single" w:sz="4" w:space="0" w:color="auto"/>
              <w:left w:val="single" w:sz="4" w:space="0" w:color="auto"/>
              <w:bottom w:val="single" w:sz="4" w:space="0" w:color="auto"/>
              <w:right w:val="single" w:sz="4" w:space="0" w:color="auto"/>
            </w:tcBorders>
            <w:vAlign w:val="center"/>
            <w:hideMark/>
          </w:tcPr>
          <w:p w:rsidR="00B41328" w:rsidRPr="00BA2046" w:rsidRDefault="00B41328">
            <w:pPr>
              <w:widowControl/>
              <w:overflowPunct/>
              <w:autoSpaceDE/>
              <w:spacing w:line="280" w:lineRule="exact"/>
              <w:jc w:val="center"/>
              <w:rPr>
                <w:rFonts w:ascii="Times New Roman" w:eastAsia="新細明體"/>
                <w:sz w:val="20"/>
                <w:szCs w:val="20"/>
              </w:rPr>
            </w:pPr>
            <w:r w:rsidRPr="00BA2046">
              <w:rPr>
                <w:rFonts w:ascii="Times New Roman" w:eastAsia="Times New Roman"/>
                <w:sz w:val="20"/>
                <w:szCs w:val="20"/>
              </w:rPr>
              <w:t xml:space="preserve">      161 </w:t>
            </w:r>
          </w:p>
        </w:tc>
        <w:tc>
          <w:tcPr>
            <w:tcW w:w="767" w:type="dxa"/>
            <w:tcBorders>
              <w:top w:val="single" w:sz="4" w:space="0" w:color="auto"/>
              <w:left w:val="single" w:sz="4" w:space="0" w:color="auto"/>
              <w:bottom w:val="single" w:sz="4" w:space="0" w:color="auto"/>
              <w:right w:val="single" w:sz="4" w:space="0" w:color="auto"/>
            </w:tcBorders>
            <w:vAlign w:val="center"/>
            <w:hideMark/>
          </w:tcPr>
          <w:p w:rsidR="00B41328" w:rsidRPr="00BA2046" w:rsidRDefault="00B41328">
            <w:pPr>
              <w:overflowPunct/>
              <w:autoSpaceDE/>
              <w:spacing w:line="280" w:lineRule="exact"/>
              <w:jc w:val="center"/>
              <w:rPr>
                <w:rFonts w:ascii="Times New Roman" w:eastAsia="Times New Roman"/>
                <w:sz w:val="20"/>
                <w:szCs w:val="20"/>
              </w:rPr>
            </w:pPr>
            <w:r w:rsidRPr="00BA2046">
              <w:rPr>
                <w:rFonts w:ascii="Times New Roman" w:eastAsia="Times New Roman"/>
                <w:sz w:val="20"/>
                <w:szCs w:val="20"/>
              </w:rPr>
              <w:t xml:space="preserve">    1,613 </w:t>
            </w:r>
          </w:p>
        </w:tc>
        <w:tc>
          <w:tcPr>
            <w:tcW w:w="815" w:type="dxa"/>
            <w:tcBorders>
              <w:top w:val="single" w:sz="4" w:space="0" w:color="auto"/>
              <w:left w:val="single" w:sz="4" w:space="0" w:color="auto"/>
              <w:bottom w:val="single" w:sz="4" w:space="0" w:color="auto"/>
              <w:right w:val="single" w:sz="4" w:space="0" w:color="auto"/>
            </w:tcBorders>
            <w:vAlign w:val="center"/>
            <w:hideMark/>
          </w:tcPr>
          <w:p w:rsidR="00B41328" w:rsidRPr="00BA2046" w:rsidRDefault="00B41328">
            <w:pPr>
              <w:overflowPunct/>
              <w:autoSpaceDE/>
              <w:spacing w:line="280" w:lineRule="exact"/>
              <w:jc w:val="right"/>
              <w:rPr>
                <w:rFonts w:ascii="Times New Roman" w:eastAsia="Times New Roman"/>
                <w:sz w:val="20"/>
                <w:szCs w:val="20"/>
              </w:rPr>
            </w:pPr>
            <w:r w:rsidRPr="00BA2046">
              <w:rPr>
                <w:rFonts w:ascii="Times New Roman" w:eastAsia="Times New Roman"/>
                <w:sz w:val="20"/>
                <w:szCs w:val="20"/>
              </w:rPr>
              <w:t>10%</w:t>
            </w:r>
          </w:p>
        </w:tc>
        <w:tc>
          <w:tcPr>
            <w:tcW w:w="577" w:type="dxa"/>
            <w:tcBorders>
              <w:top w:val="single" w:sz="4" w:space="0" w:color="auto"/>
              <w:left w:val="single" w:sz="4" w:space="0" w:color="auto"/>
              <w:bottom w:val="single" w:sz="4" w:space="0" w:color="auto"/>
              <w:right w:val="single" w:sz="4" w:space="0" w:color="auto"/>
            </w:tcBorders>
            <w:vAlign w:val="center"/>
            <w:hideMark/>
          </w:tcPr>
          <w:p w:rsidR="00B41328" w:rsidRPr="00BA2046" w:rsidRDefault="00B41328">
            <w:pPr>
              <w:overflowPunct/>
              <w:autoSpaceDE/>
              <w:spacing w:line="280" w:lineRule="exact"/>
              <w:jc w:val="center"/>
              <w:rPr>
                <w:rFonts w:ascii="Times New Roman" w:eastAsia="Times New Roman"/>
                <w:sz w:val="20"/>
                <w:szCs w:val="20"/>
              </w:rPr>
            </w:pPr>
            <w:r w:rsidRPr="00BA2046">
              <w:rPr>
                <w:rFonts w:ascii="Times New Roman" w:eastAsia="Times New Roman"/>
                <w:sz w:val="20"/>
                <w:szCs w:val="20"/>
              </w:rPr>
              <w:t xml:space="preserve">      158 </w:t>
            </w:r>
          </w:p>
        </w:tc>
        <w:tc>
          <w:tcPr>
            <w:tcW w:w="767" w:type="dxa"/>
            <w:tcBorders>
              <w:top w:val="single" w:sz="4" w:space="0" w:color="auto"/>
              <w:left w:val="single" w:sz="4" w:space="0" w:color="auto"/>
              <w:bottom w:val="single" w:sz="4" w:space="0" w:color="auto"/>
              <w:right w:val="single" w:sz="4" w:space="0" w:color="auto"/>
            </w:tcBorders>
            <w:vAlign w:val="center"/>
            <w:hideMark/>
          </w:tcPr>
          <w:p w:rsidR="00B41328" w:rsidRPr="00BA2046" w:rsidRDefault="00B41328">
            <w:pPr>
              <w:overflowPunct/>
              <w:autoSpaceDE/>
              <w:spacing w:line="280" w:lineRule="exact"/>
              <w:jc w:val="center"/>
              <w:rPr>
                <w:rFonts w:ascii="Times New Roman" w:eastAsia="Times New Roman"/>
                <w:sz w:val="20"/>
                <w:szCs w:val="20"/>
              </w:rPr>
            </w:pPr>
            <w:r w:rsidRPr="00BA2046">
              <w:rPr>
                <w:rFonts w:ascii="Times New Roman" w:eastAsia="Times New Roman"/>
                <w:sz w:val="20"/>
                <w:szCs w:val="20"/>
              </w:rPr>
              <w:t xml:space="preserve">    1,582 </w:t>
            </w:r>
          </w:p>
        </w:tc>
        <w:tc>
          <w:tcPr>
            <w:tcW w:w="815" w:type="dxa"/>
            <w:tcBorders>
              <w:top w:val="single" w:sz="4" w:space="0" w:color="auto"/>
              <w:left w:val="single" w:sz="4" w:space="0" w:color="auto"/>
              <w:bottom w:val="single" w:sz="4" w:space="0" w:color="auto"/>
              <w:right w:val="single" w:sz="4" w:space="0" w:color="auto"/>
            </w:tcBorders>
            <w:vAlign w:val="center"/>
            <w:hideMark/>
          </w:tcPr>
          <w:p w:rsidR="00B41328" w:rsidRPr="00BA2046" w:rsidRDefault="00B41328">
            <w:pPr>
              <w:overflowPunct/>
              <w:autoSpaceDE/>
              <w:spacing w:line="280" w:lineRule="exact"/>
              <w:jc w:val="right"/>
              <w:rPr>
                <w:rFonts w:ascii="Times New Roman" w:eastAsia="Times New Roman"/>
                <w:sz w:val="20"/>
                <w:szCs w:val="20"/>
              </w:rPr>
            </w:pPr>
            <w:r w:rsidRPr="00BA2046">
              <w:rPr>
                <w:rFonts w:ascii="Times New Roman" w:eastAsia="Times New Roman"/>
                <w:sz w:val="20"/>
                <w:szCs w:val="20"/>
              </w:rPr>
              <w:t>10%</w:t>
            </w:r>
          </w:p>
        </w:tc>
        <w:tc>
          <w:tcPr>
            <w:tcW w:w="577" w:type="dxa"/>
            <w:tcBorders>
              <w:top w:val="single" w:sz="4" w:space="0" w:color="auto"/>
              <w:left w:val="single" w:sz="4" w:space="0" w:color="auto"/>
              <w:bottom w:val="single" w:sz="4" w:space="0" w:color="auto"/>
              <w:right w:val="single" w:sz="4" w:space="0" w:color="auto"/>
            </w:tcBorders>
            <w:vAlign w:val="center"/>
            <w:hideMark/>
          </w:tcPr>
          <w:p w:rsidR="00B41328" w:rsidRPr="00BA2046" w:rsidRDefault="00B41328">
            <w:pPr>
              <w:overflowPunct/>
              <w:autoSpaceDE/>
              <w:spacing w:line="280" w:lineRule="exact"/>
              <w:jc w:val="center"/>
              <w:rPr>
                <w:rFonts w:ascii="Times New Roman" w:eastAsia="Times New Roman"/>
                <w:sz w:val="20"/>
                <w:szCs w:val="20"/>
              </w:rPr>
            </w:pPr>
            <w:r w:rsidRPr="00BA2046">
              <w:rPr>
                <w:rFonts w:ascii="Times New Roman" w:eastAsia="Times New Roman"/>
                <w:sz w:val="20"/>
                <w:szCs w:val="20"/>
              </w:rPr>
              <w:t xml:space="preserve">      165 </w:t>
            </w:r>
          </w:p>
        </w:tc>
        <w:tc>
          <w:tcPr>
            <w:tcW w:w="767" w:type="dxa"/>
            <w:tcBorders>
              <w:top w:val="single" w:sz="4" w:space="0" w:color="auto"/>
              <w:left w:val="single" w:sz="4" w:space="0" w:color="auto"/>
              <w:bottom w:val="single" w:sz="4" w:space="0" w:color="auto"/>
              <w:right w:val="single" w:sz="4" w:space="0" w:color="auto"/>
            </w:tcBorders>
            <w:vAlign w:val="center"/>
            <w:hideMark/>
          </w:tcPr>
          <w:p w:rsidR="00B41328" w:rsidRPr="00BA2046" w:rsidRDefault="00B41328">
            <w:pPr>
              <w:overflowPunct/>
              <w:autoSpaceDE/>
              <w:spacing w:line="280" w:lineRule="exact"/>
              <w:jc w:val="center"/>
              <w:rPr>
                <w:rFonts w:ascii="Times New Roman" w:eastAsia="Times New Roman"/>
                <w:sz w:val="20"/>
                <w:szCs w:val="20"/>
              </w:rPr>
            </w:pPr>
            <w:r w:rsidRPr="00BA2046">
              <w:rPr>
                <w:rFonts w:ascii="Times New Roman" w:eastAsia="Times New Roman"/>
                <w:sz w:val="20"/>
                <w:szCs w:val="20"/>
              </w:rPr>
              <w:t xml:space="preserve">    1,659 </w:t>
            </w:r>
          </w:p>
        </w:tc>
        <w:tc>
          <w:tcPr>
            <w:tcW w:w="815" w:type="dxa"/>
            <w:tcBorders>
              <w:top w:val="single" w:sz="4" w:space="0" w:color="auto"/>
              <w:left w:val="single" w:sz="4" w:space="0" w:color="auto"/>
              <w:bottom w:val="single" w:sz="4" w:space="0" w:color="auto"/>
              <w:right w:val="single" w:sz="4" w:space="0" w:color="auto"/>
            </w:tcBorders>
            <w:vAlign w:val="center"/>
            <w:hideMark/>
          </w:tcPr>
          <w:p w:rsidR="00B41328" w:rsidRPr="00BA2046" w:rsidRDefault="00B41328">
            <w:pPr>
              <w:overflowPunct/>
              <w:autoSpaceDE/>
              <w:spacing w:line="280" w:lineRule="exact"/>
              <w:jc w:val="right"/>
              <w:rPr>
                <w:rFonts w:ascii="Times New Roman" w:eastAsia="Times New Roman"/>
                <w:sz w:val="20"/>
                <w:szCs w:val="20"/>
              </w:rPr>
            </w:pPr>
            <w:r w:rsidRPr="00BA2046">
              <w:rPr>
                <w:rFonts w:ascii="Times New Roman" w:eastAsia="Times New Roman"/>
                <w:sz w:val="20"/>
                <w:szCs w:val="20"/>
              </w:rPr>
              <w:t>9.9%</w:t>
            </w:r>
          </w:p>
        </w:tc>
        <w:tc>
          <w:tcPr>
            <w:tcW w:w="577" w:type="dxa"/>
            <w:tcBorders>
              <w:top w:val="single" w:sz="4" w:space="0" w:color="auto"/>
              <w:left w:val="single" w:sz="4" w:space="0" w:color="auto"/>
              <w:bottom w:val="single" w:sz="4" w:space="0" w:color="auto"/>
              <w:right w:val="single" w:sz="4" w:space="0" w:color="auto"/>
            </w:tcBorders>
            <w:vAlign w:val="center"/>
            <w:hideMark/>
          </w:tcPr>
          <w:p w:rsidR="00B41328" w:rsidRPr="00BA2046" w:rsidRDefault="00B41328">
            <w:pPr>
              <w:overflowPunct/>
              <w:autoSpaceDE/>
              <w:spacing w:line="280" w:lineRule="exact"/>
              <w:jc w:val="center"/>
              <w:rPr>
                <w:rFonts w:ascii="Times New Roman" w:eastAsia="Times New Roman"/>
                <w:sz w:val="20"/>
                <w:szCs w:val="20"/>
              </w:rPr>
            </w:pPr>
            <w:r w:rsidRPr="00BA2046">
              <w:rPr>
                <w:rFonts w:ascii="Times New Roman" w:eastAsia="Times New Roman"/>
                <w:sz w:val="20"/>
                <w:szCs w:val="20"/>
              </w:rPr>
              <w:t xml:space="preserve">      171 </w:t>
            </w:r>
          </w:p>
        </w:tc>
        <w:tc>
          <w:tcPr>
            <w:tcW w:w="767" w:type="dxa"/>
            <w:tcBorders>
              <w:top w:val="single" w:sz="4" w:space="0" w:color="auto"/>
              <w:left w:val="single" w:sz="4" w:space="0" w:color="auto"/>
              <w:bottom w:val="single" w:sz="4" w:space="0" w:color="auto"/>
              <w:right w:val="single" w:sz="4" w:space="0" w:color="auto"/>
            </w:tcBorders>
            <w:vAlign w:val="center"/>
            <w:hideMark/>
          </w:tcPr>
          <w:p w:rsidR="00B41328" w:rsidRPr="00BA2046" w:rsidRDefault="00B41328">
            <w:pPr>
              <w:overflowPunct/>
              <w:autoSpaceDE/>
              <w:spacing w:line="280" w:lineRule="exact"/>
              <w:jc w:val="center"/>
              <w:rPr>
                <w:rFonts w:ascii="Times New Roman" w:eastAsia="Times New Roman"/>
                <w:sz w:val="20"/>
                <w:szCs w:val="20"/>
              </w:rPr>
            </w:pPr>
            <w:r w:rsidRPr="00BA2046">
              <w:rPr>
                <w:rFonts w:ascii="Times New Roman" w:eastAsia="Times New Roman"/>
                <w:sz w:val="20"/>
                <w:szCs w:val="20"/>
              </w:rPr>
              <w:t xml:space="preserve">    1,692 </w:t>
            </w:r>
          </w:p>
        </w:tc>
        <w:tc>
          <w:tcPr>
            <w:tcW w:w="836" w:type="dxa"/>
            <w:tcBorders>
              <w:top w:val="single" w:sz="4" w:space="0" w:color="auto"/>
              <w:left w:val="single" w:sz="4" w:space="0" w:color="auto"/>
              <w:bottom w:val="single" w:sz="4" w:space="0" w:color="auto"/>
              <w:right w:val="single" w:sz="4" w:space="0" w:color="auto"/>
            </w:tcBorders>
            <w:vAlign w:val="center"/>
            <w:hideMark/>
          </w:tcPr>
          <w:p w:rsidR="00B41328" w:rsidRPr="00BA2046" w:rsidRDefault="00B41328">
            <w:pPr>
              <w:overflowPunct/>
              <w:autoSpaceDE/>
              <w:spacing w:line="280" w:lineRule="exact"/>
              <w:jc w:val="right"/>
              <w:rPr>
                <w:rFonts w:ascii="Times New Roman" w:eastAsia="Times New Roman"/>
                <w:sz w:val="20"/>
                <w:szCs w:val="20"/>
              </w:rPr>
            </w:pPr>
            <w:r w:rsidRPr="00BA2046">
              <w:rPr>
                <w:rFonts w:ascii="Times New Roman" w:eastAsia="Times New Roman"/>
                <w:sz w:val="20"/>
                <w:szCs w:val="20"/>
              </w:rPr>
              <w:t>10.1%</w:t>
            </w:r>
          </w:p>
        </w:tc>
      </w:tr>
    </w:tbl>
    <w:p w:rsidR="000D66D9" w:rsidRPr="00BA2046" w:rsidRDefault="00B41328" w:rsidP="00B41328">
      <w:pPr>
        <w:ind w:leftChars="-125" w:left="-1" w:hangingChars="163" w:hanging="424"/>
        <w:rPr>
          <w:kern w:val="32"/>
          <w:sz w:val="24"/>
          <w:szCs w:val="24"/>
        </w:rPr>
      </w:pPr>
      <w:r w:rsidRPr="00BA2046">
        <w:rPr>
          <w:rFonts w:hint="eastAsia"/>
          <w:kern w:val="32"/>
          <w:sz w:val="24"/>
          <w:szCs w:val="24"/>
        </w:rPr>
        <w:t>資料來源：司法院。</w:t>
      </w:r>
    </w:p>
    <w:p w:rsidR="00462582" w:rsidRPr="00BA2046" w:rsidRDefault="00462582" w:rsidP="00B41328">
      <w:pPr>
        <w:ind w:leftChars="-125" w:left="260" w:hangingChars="163" w:hanging="685"/>
        <w:rPr>
          <w:rFonts w:ascii="Times New Roman"/>
          <w:b/>
          <w:sz w:val="40"/>
          <w:szCs w:val="40"/>
        </w:rPr>
      </w:pPr>
    </w:p>
    <w:p w:rsidR="000D66D9" w:rsidRPr="00BA2046" w:rsidRDefault="00B41328" w:rsidP="000020CC">
      <w:pPr>
        <w:pStyle w:val="a0"/>
        <w:numPr>
          <w:ilvl w:val="0"/>
          <w:numId w:val="3"/>
        </w:numPr>
        <w:tabs>
          <w:tab w:val="clear" w:pos="1440"/>
        </w:tabs>
        <w:ind w:left="1361" w:hanging="1361"/>
        <w:rPr>
          <w:bCs/>
        </w:rPr>
      </w:pPr>
      <w:r w:rsidRPr="00BA2046">
        <w:rPr>
          <w:rFonts w:hAnsi="標楷體" w:hint="eastAsia"/>
          <w:bCs/>
          <w:spacing w:val="-10"/>
          <w:kern w:val="0"/>
          <w:sz w:val="28"/>
          <w:szCs w:val="32"/>
        </w:rPr>
        <w:t>100-103年法官考績表</w:t>
      </w:r>
    </w:p>
    <w:tbl>
      <w:tblPr>
        <w:tblStyle w:val="23"/>
        <w:tblW w:w="9905" w:type="dxa"/>
        <w:tblInd w:w="-176" w:type="dxa"/>
        <w:tblLook w:val="04A0" w:firstRow="1" w:lastRow="0" w:firstColumn="1" w:lastColumn="0" w:noHBand="0" w:noVBand="1"/>
      </w:tblPr>
      <w:tblGrid>
        <w:gridCol w:w="1673"/>
        <w:gridCol w:w="576"/>
        <w:gridCol w:w="756"/>
        <w:gridCol w:w="814"/>
        <w:gridCol w:w="216"/>
        <w:gridCol w:w="240"/>
        <w:gridCol w:w="756"/>
        <w:gridCol w:w="814"/>
        <w:gridCol w:w="460"/>
        <w:gridCol w:w="756"/>
        <w:gridCol w:w="814"/>
        <w:gridCol w:w="460"/>
        <w:gridCol w:w="756"/>
        <w:gridCol w:w="814"/>
      </w:tblGrid>
      <w:tr w:rsidR="00462582" w:rsidRPr="00BA2046" w:rsidTr="00462582">
        <w:tc>
          <w:tcPr>
            <w:tcW w:w="1673" w:type="dxa"/>
            <w:vMerge w:val="restart"/>
            <w:tcBorders>
              <w:top w:val="single" w:sz="4" w:space="0" w:color="auto"/>
              <w:left w:val="single" w:sz="4" w:space="0" w:color="auto"/>
              <w:bottom w:val="single" w:sz="4" w:space="0" w:color="auto"/>
              <w:right w:val="single" w:sz="4" w:space="0" w:color="auto"/>
            </w:tcBorders>
          </w:tcPr>
          <w:bookmarkEnd w:id="64"/>
          <w:p w:rsidR="00462582" w:rsidRPr="00BA2046" w:rsidRDefault="00462582" w:rsidP="000020CC">
            <w:pPr>
              <w:tabs>
                <w:tab w:val="left" w:pos="504"/>
              </w:tabs>
              <w:overflowPunct/>
              <w:autoSpaceDE/>
              <w:spacing w:line="240" w:lineRule="exact"/>
              <w:ind w:leftChars="-105" w:left="361" w:hangingChars="211" w:hanging="718"/>
              <w:jc w:val="left"/>
              <w:rPr>
                <w:rFonts w:hAnsi="標楷體"/>
                <w:sz w:val="20"/>
              </w:rPr>
            </w:pPr>
            <w:r w:rsidRPr="00BA2046">
              <w:rPr>
                <w:noProof/>
              </w:rPr>
              <mc:AlternateContent>
                <mc:Choice Requires="wps">
                  <w:drawing>
                    <wp:anchor distT="0" distB="0" distL="114300" distR="114300" simplePos="0" relativeHeight="251670528" behindDoc="0" locked="0" layoutInCell="1" allowOverlap="1">
                      <wp:simplePos x="0" y="0"/>
                      <wp:positionH relativeFrom="column">
                        <wp:posOffset>-67310</wp:posOffset>
                      </wp:positionH>
                      <wp:positionV relativeFrom="paragraph">
                        <wp:posOffset>635</wp:posOffset>
                      </wp:positionV>
                      <wp:extent cx="1051560" cy="708660"/>
                      <wp:effectExtent l="0" t="0" r="34290" b="34290"/>
                      <wp:wrapNone/>
                      <wp:docPr id="14" name="直線接點 14"/>
                      <wp:cNvGraphicFramePr/>
                      <a:graphic xmlns:a="http://schemas.openxmlformats.org/drawingml/2006/main">
                        <a:graphicData uri="http://schemas.microsoft.com/office/word/2010/wordprocessingShape">
                          <wps:wsp>
                            <wps:cNvCnPr/>
                            <wps:spPr>
                              <a:xfrm>
                                <a:off x="0" y="0"/>
                                <a:ext cx="1051560" cy="7086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76E7825" id="直線接點 1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05pt" to="77.5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" strokecolor="#4579b8 [3044]"/>
                  </w:pict>
                </mc:Fallback>
              </mc:AlternateContent>
            </w:r>
            <w:r w:rsidRPr="00BA2046">
              <w:rPr>
                <w:noProof/>
              </w:rPr>
              <mc:AlternateContent>
                <mc:Choice Requires="wps">
                  <w:drawing>
                    <wp:anchor distT="0" distB="0" distL="114300" distR="114300" simplePos="0" relativeHeight="251669504" behindDoc="0" locked="0" layoutInCell="1" allowOverlap="1">
                      <wp:simplePos x="0" y="0"/>
                      <wp:positionH relativeFrom="column">
                        <wp:posOffset>-59690</wp:posOffset>
                      </wp:positionH>
                      <wp:positionV relativeFrom="paragraph">
                        <wp:posOffset>635</wp:posOffset>
                      </wp:positionV>
                      <wp:extent cx="1059180" cy="198120"/>
                      <wp:effectExtent l="0" t="0" r="26670" b="30480"/>
                      <wp:wrapNone/>
                      <wp:docPr id="13" name="直線接點 13"/>
                      <wp:cNvGraphicFramePr/>
                      <a:graphic xmlns:a="http://schemas.openxmlformats.org/drawingml/2006/main">
                        <a:graphicData uri="http://schemas.microsoft.com/office/word/2010/wordprocessingShape">
                          <wps:wsp>
                            <wps:cNvCnPr/>
                            <wps:spPr>
                              <a:xfrm>
                                <a:off x="0" y="0"/>
                                <a:ext cx="1059180" cy="1981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23265F2" id="直線接點 1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05pt" to="78.7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" strokecolor="#4579b8 [3044]"/>
                  </w:pict>
                </mc:Fallback>
              </mc:AlternateContent>
            </w:r>
            <w:r w:rsidRPr="00BA2046">
              <w:rPr>
                <w:rFonts w:ascii="Calibri" w:eastAsia="新細明體"/>
                <w:sz w:val="20"/>
              </w:rPr>
              <w:t xml:space="preserve">            </w:t>
            </w:r>
            <w:r w:rsidRPr="00BA2046">
              <w:rPr>
                <w:rFonts w:hAnsi="標楷體" w:hint="eastAsia"/>
                <w:sz w:val="20"/>
              </w:rPr>
              <w:t>年度</w:t>
            </w:r>
          </w:p>
          <w:p w:rsidR="00462582" w:rsidRPr="00BA2046" w:rsidRDefault="00462582" w:rsidP="000020CC">
            <w:pPr>
              <w:tabs>
                <w:tab w:val="left" w:pos="504"/>
              </w:tabs>
              <w:overflowPunct/>
              <w:autoSpaceDE/>
              <w:spacing w:line="240" w:lineRule="exact"/>
              <w:jc w:val="left"/>
              <w:rPr>
                <w:rFonts w:hAnsi="標楷體"/>
                <w:sz w:val="20"/>
              </w:rPr>
            </w:pPr>
            <w:r w:rsidRPr="00BA2046">
              <w:rPr>
                <w:rFonts w:hAnsi="標楷體" w:hint="eastAsia"/>
                <w:sz w:val="20"/>
              </w:rPr>
              <w:t xml:space="preserve">         比率</w:t>
            </w:r>
          </w:p>
          <w:p w:rsidR="00462582" w:rsidRPr="00BA2046" w:rsidRDefault="00462582" w:rsidP="000020CC">
            <w:pPr>
              <w:tabs>
                <w:tab w:val="left" w:pos="504"/>
              </w:tabs>
              <w:overflowPunct/>
              <w:autoSpaceDE/>
              <w:spacing w:line="240" w:lineRule="exact"/>
              <w:jc w:val="left"/>
              <w:rPr>
                <w:rFonts w:hAnsi="標楷體"/>
                <w:sz w:val="20"/>
              </w:rPr>
            </w:pPr>
          </w:p>
          <w:p w:rsidR="00462582" w:rsidRPr="00BA2046" w:rsidRDefault="00462582" w:rsidP="000020CC">
            <w:pPr>
              <w:tabs>
                <w:tab w:val="left" w:pos="504"/>
              </w:tabs>
              <w:overflowPunct/>
              <w:autoSpaceDE/>
              <w:spacing w:line="240" w:lineRule="exact"/>
              <w:ind w:firstLineChars="300" w:firstLine="660"/>
              <w:jc w:val="left"/>
              <w:rPr>
                <w:rFonts w:ascii="Calibri" w:eastAsia="新細明體"/>
                <w:sz w:val="20"/>
              </w:rPr>
            </w:pPr>
            <w:r w:rsidRPr="00BA2046">
              <w:rPr>
                <w:rFonts w:hAnsi="標楷體" w:hint="eastAsia"/>
                <w:sz w:val="20"/>
              </w:rPr>
              <w:t>法院</w:t>
            </w:r>
          </w:p>
        </w:tc>
        <w:tc>
          <w:tcPr>
            <w:tcW w:w="2362" w:type="dxa"/>
            <w:gridSpan w:val="4"/>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center"/>
              <w:rPr>
                <w:rFonts w:hAnsi="標楷體"/>
                <w:sz w:val="20"/>
              </w:rPr>
            </w:pPr>
            <w:r w:rsidRPr="00BA2046">
              <w:rPr>
                <w:rFonts w:hAnsi="標楷體" w:hint="eastAsia"/>
                <w:sz w:val="20"/>
              </w:rPr>
              <w:t>100</w:t>
            </w:r>
          </w:p>
        </w:tc>
        <w:tc>
          <w:tcPr>
            <w:tcW w:w="1810" w:type="dxa"/>
            <w:gridSpan w:val="3"/>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center"/>
              <w:rPr>
                <w:rFonts w:hAnsi="標楷體"/>
                <w:sz w:val="20"/>
              </w:rPr>
            </w:pPr>
            <w:r w:rsidRPr="00BA2046">
              <w:rPr>
                <w:rFonts w:hAnsi="標楷體" w:hint="eastAsia"/>
                <w:sz w:val="20"/>
              </w:rPr>
              <w:t>101</w:t>
            </w:r>
          </w:p>
        </w:tc>
        <w:tc>
          <w:tcPr>
            <w:tcW w:w="2030" w:type="dxa"/>
            <w:gridSpan w:val="3"/>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center"/>
              <w:rPr>
                <w:rFonts w:hAnsi="標楷體"/>
                <w:sz w:val="20"/>
              </w:rPr>
            </w:pPr>
            <w:r w:rsidRPr="00BA2046">
              <w:rPr>
                <w:rFonts w:hAnsi="標楷體" w:hint="eastAsia"/>
                <w:sz w:val="20"/>
              </w:rPr>
              <w:t>102</w:t>
            </w:r>
          </w:p>
        </w:tc>
        <w:tc>
          <w:tcPr>
            <w:tcW w:w="2030" w:type="dxa"/>
            <w:gridSpan w:val="3"/>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center"/>
              <w:rPr>
                <w:rFonts w:hAnsi="標楷體"/>
                <w:sz w:val="20"/>
              </w:rPr>
            </w:pPr>
            <w:r w:rsidRPr="00BA2046">
              <w:rPr>
                <w:rFonts w:hAnsi="標楷體" w:hint="eastAsia"/>
                <w:sz w:val="20"/>
              </w:rPr>
              <w:t>103</w:t>
            </w:r>
          </w:p>
        </w:tc>
      </w:tr>
      <w:tr w:rsidR="00462582" w:rsidRPr="00BA2046" w:rsidTr="00462582">
        <w:tc>
          <w:tcPr>
            <w:tcW w:w="0" w:type="auto"/>
            <w:vMerge/>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widowControl/>
              <w:overflowPunct/>
              <w:autoSpaceDE/>
              <w:autoSpaceDN/>
              <w:spacing w:line="240" w:lineRule="exact"/>
              <w:jc w:val="left"/>
              <w:rPr>
                <w:rFonts w:ascii="Calibri" w:eastAsia="新細明體"/>
                <w:sz w:val="20"/>
              </w:rPr>
            </w:pPr>
          </w:p>
        </w:tc>
        <w:tc>
          <w:tcPr>
            <w:tcW w:w="57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hAnsi="標楷體"/>
                <w:sz w:val="20"/>
              </w:rPr>
            </w:pPr>
            <w:r w:rsidRPr="00BA2046">
              <w:rPr>
                <w:rFonts w:hAnsi="標楷體" w:hint="eastAsia"/>
                <w:kern w:val="0"/>
                <w:sz w:val="20"/>
              </w:rPr>
              <w:t>乙等</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hAnsi="標楷體"/>
                <w:sz w:val="20"/>
              </w:rPr>
            </w:pPr>
            <w:r w:rsidRPr="00BA2046">
              <w:rPr>
                <w:rFonts w:hAnsi="標楷體" w:hint="eastAsia"/>
                <w:sz w:val="20"/>
              </w:rPr>
              <w:t>總人數</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hAnsi="標楷體"/>
                <w:sz w:val="20"/>
              </w:rPr>
            </w:pPr>
            <w:r w:rsidRPr="00BA2046">
              <w:rPr>
                <w:rFonts w:hAnsi="標楷體" w:hint="eastAsia"/>
                <w:sz w:val="20"/>
              </w:rPr>
              <w:t>比率</w:t>
            </w:r>
          </w:p>
        </w:tc>
        <w:tc>
          <w:tcPr>
            <w:tcW w:w="456" w:type="dxa"/>
            <w:gridSpan w:val="2"/>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hAnsi="標楷體"/>
                <w:sz w:val="20"/>
              </w:rPr>
            </w:pPr>
            <w:r w:rsidRPr="00BA2046">
              <w:rPr>
                <w:rFonts w:hAnsi="標楷體" w:hint="eastAsia"/>
                <w:kern w:val="0"/>
                <w:sz w:val="20"/>
              </w:rPr>
              <w:t>乙等</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hAnsi="標楷體"/>
                <w:sz w:val="20"/>
              </w:rPr>
            </w:pPr>
            <w:r w:rsidRPr="00BA2046">
              <w:rPr>
                <w:rFonts w:hAnsi="標楷體" w:hint="eastAsia"/>
                <w:sz w:val="20"/>
              </w:rPr>
              <w:t>總人數</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hAnsi="標楷體"/>
                <w:sz w:val="20"/>
              </w:rPr>
            </w:pPr>
            <w:r w:rsidRPr="00BA2046">
              <w:rPr>
                <w:rFonts w:hAnsi="標楷體" w:hint="eastAsia"/>
                <w:sz w:val="20"/>
              </w:rPr>
              <w:t>比率</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hAnsi="標楷體"/>
                <w:sz w:val="20"/>
              </w:rPr>
            </w:pPr>
            <w:r w:rsidRPr="00BA2046">
              <w:rPr>
                <w:rFonts w:hAnsi="標楷體" w:hint="eastAsia"/>
                <w:kern w:val="0"/>
                <w:sz w:val="20"/>
              </w:rPr>
              <w:t>乙等</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hAnsi="標楷體"/>
                <w:sz w:val="20"/>
              </w:rPr>
            </w:pPr>
            <w:r w:rsidRPr="00BA2046">
              <w:rPr>
                <w:rFonts w:hAnsi="標楷體" w:hint="eastAsia"/>
                <w:sz w:val="20"/>
              </w:rPr>
              <w:t>總人數</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hAnsi="標楷體"/>
                <w:sz w:val="20"/>
              </w:rPr>
            </w:pPr>
            <w:r w:rsidRPr="00BA2046">
              <w:rPr>
                <w:rFonts w:hAnsi="標楷體" w:hint="eastAsia"/>
                <w:sz w:val="20"/>
              </w:rPr>
              <w:t>比率</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hAnsi="標楷體"/>
                <w:sz w:val="20"/>
              </w:rPr>
            </w:pPr>
            <w:r w:rsidRPr="00BA2046">
              <w:rPr>
                <w:rFonts w:hAnsi="標楷體" w:hint="eastAsia"/>
                <w:kern w:val="0"/>
                <w:sz w:val="20"/>
              </w:rPr>
              <w:t>乙等</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hAnsi="標楷體"/>
                <w:sz w:val="20"/>
              </w:rPr>
            </w:pPr>
            <w:r w:rsidRPr="00BA2046">
              <w:rPr>
                <w:rFonts w:hAnsi="標楷體" w:hint="eastAsia"/>
                <w:sz w:val="20"/>
              </w:rPr>
              <w:t>總人數</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hAnsi="標楷體"/>
                <w:sz w:val="20"/>
              </w:rPr>
            </w:pPr>
            <w:r w:rsidRPr="00BA2046">
              <w:rPr>
                <w:rFonts w:hAnsi="標楷體" w:hint="eastAsia"/>
                <w:sz w:val="20"/>
              </w:rPr>
              <w:t>比率</w:t>
            </w:r>
          </w:p>
        </w:tc>
      </w:tr>
      <w:tr w:rsidR="00462582" w:rsidRPr="00BA2046" w:rsidTr="00462582">
        <w:tc>
          <w:tcPr>
            <w:tcW w:w="1673"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widowControl/>
              <w:overflowPunct/>
              <w:autoSpaceDE/>
              <w:spacing w:line="240" w:lineRule="exact"/>
              <w:jc w:val="left"/>
              <w:rPr>
                <w:rFonts w:ascii="Times New Roman" w:eastAsia="新細明體"/>
                <w:sz w:val="20"/>
              </w:rPr>
            </w:pPr>
            <w:r w:rsidRPr="00BA2046">
              <w:rPr>
                <w:rFonts w:hAnsi="標楷體" w:hint="eastAsia"/>
                <w:sz w:val="20"/>
              </w:rPr>
              <w:t>最高法院</w:t>
            </w:r>
          </w:p>
        </w:tc>
        <w:tc>
          <w:tcPr>
            <w:tcW w:w="57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13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84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15.5%</w:t>
            </w:r>
          </w:p>
        </w:tc>
        <w:tc>
          <w:tcPr>
            <w:tcW w:w="456" w:type="dxa"/>
            <w:gridSpan w:val="2"/>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15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83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18.1%</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19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81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23.5%</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19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81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23.5%</w:t>
            </w:r>
          </w:p>
        </w:tc>
      </w:tr>
      <w:tr w:rsidR="00462582" w:rsidRPr="00BA2046" w:rsidTr="00462582">
        <w:tc>
          <w:tcPr>
            <w:tcW w:w="1673"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rPr>
            </w:pPr>
            <w:r w:rsidRPr="00BA2046">
              <w:rPr>
                <w:rFonts w:hAnsi="標楷體" w:hint="eastAsia"/>
                <w:sz w:val="20"/>
              </w:rPr>
              <w:t>最高行政法院</w:t>
            </w:r>
          </w:p>
        </w:tc>
        <w:tc>
          <w:tcPr>
            <w:tcW w:w="57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21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456" w:type="dxa"/>
            <w:gridSpan w:val="2"/>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21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22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21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r>
      <w:tr w:rsidR="00462582" w:rsidRPr="00BA2046" w:rsidTr="00462582">
        <w:tc>
          <w:tcPr>
            <w:tcW w:w="1673"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hAnsi="標楷體" w:cs="新細明體"/>
                <w:sz w:val="20"/>
              </w:rPr>
            </w:pPr>
            <w:r w:rsidRPr="00BA2046">
              <w:rPr>
                <w:rFonts w:hAnsi="標楷體" w:hint="eastAsia"/>
                <w:sz w:val="20"/>
              </w:rPr>
              <w:t>公懲會</w:t>
            </w:r>
          </w:p>
        </w:tc>
        <w:tc>
          <w:tcPr>
            <w:tcW w:w="57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2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13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15.4%</w:t>
            </w:r>
          </w:p>
        </w:tc>
        <w:tc>
          <w:tcPr>
            <w:tcW w:w="456" w:type="dxa"/>
            <w:gridSpan w:val="2"/>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12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8.3%</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2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11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18.2%</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2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10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20.0%</w:t>
            </w:r>
          </w:p>
        </w:tc>
      </w:tr>
      <w:tr w:rsidR="00462582" w:rsidRPr="00BA2046" w:rsidTr="00462582">
        <w:tc>
          <w:tcPr>
            <w:tcW w:w="1673"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hAnsi="標楷體"/>
                <w:sz w:val="20"/>
              </w:rPr>
            </w:pPr>
            <w:r w:rsidRPr="00BA2046">
              <w:rPr>
                <w:rFonts w:hAnsi="標楷體" w:hint="eastAsia"/>
                <w:sz w:val="20"/>
              </w:rPr>
              <w:t>北行</w:t>
            </w:r>
          </w:p>
        </w:tc>
        <w:tc>
          <w:tcPr>
            <w:tcW w:w="57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2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27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7.4%</w:t>
            </w:r>
          </w:p>
        </w:tc>
        <w:tc>
          <w:tcPr>
            <w:tcW w:w="456" w:type="dxa"/>
            <w:gridSpan w:val="2"/>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26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35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33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3.0%</w:t>
            </w:r>
          </w:p>
        </w:tc>
      </w:tr>
      <w:tr w:rsidR="00462582" w:rsidRPr="00BA2046" w:rsidTr="00462582">
        <w:tc>
          <w:tcPr>
            <w:tcW w:w="1673"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hAnsi="標楷體"/>
                <w:sz w:val="20"/>
              </w:rPr>
            </w:pPr>
            <w:r w:rsidRPr="00BA2046">
              <w:rPr>
                <w:rFonts w:hAnsi="標楷體" w:hint="eastAsia"/>
                <w:sz w:val="20"/>
              </w:rPr>
              <w:t>中行</w:t>
            </w:r>
          </w:p>
        </w:tc>
        <w:tc>
          <w:tcPr>
            <w:tcW w:w="57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2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12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16.7%</w:t>
            </w:r>
          </w:p>
        </w:tc>
        <w:tc>
          <w:tcPr>
            <w:tcW w:w="456" w:type="dxa"/>
            <w:gridSpan w:val="2"/>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11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7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7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w:t>
            </w:r>
          </w:p>
        </w:tc>
      </w:tr>
      <w:tr w:rsidR="00462582" w:rsidRPr="00BA2046" w:rsidTr="00462582">
        <w:tc>
          <w:tcPr>
            <w:tcW w:w="1673"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hAnsi="標楷體"/>
                <w:sz w:val="20"/>
              </w:rPr>
            </w:pPr>
            <w:r w:rsidRPr="00BA2046">
              <w:rPr>
                <w:rFonts w:hAnsi="標楷體" w:hint="eastAsia"/>
                <w:sz w:val="20"/>
              </w:rPr>
              <w:t>雄行</w:t>
            </w:r>
          </w:p>
        </w:tc>
        <w:tc>
          <w:tcPr>
            <w:tcW w:w="57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13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456" w:type="dxa"/>
            <w:gridSpan w:val="2"/>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16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11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12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w:t>
            </w:r>
          </w:p>
        </w:tc>
      </w:tr>
      <w:tr w:rsidR="00462582" w:rsidRPr="00BA2046" w:rsidTr="00462582">
        <w:tc>
          <w:tcPr>
            <w:tcW w:w="1673"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hAnsi="標楷體"/>
                <w:sz w:val="20"/>
              </w:rPr>
            </w:pPr>
            <w:r w:rsidRPr="00BA2046">
              <w:rPr>
                <w:rFonts w:hAnsi="標楷體" w:hint="eastAsia"/>
                <w:sz w:val="20"/>
              </w:rPr>
              <w:t>智財法院</w:t>
            </w:r>
          </w:p>
        </w:tc>
        <w:tc>
          <w:tcPr>
            <w:tcW w:w="57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12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8.3%</w:t>
            </w:r>
          </w:p>
        </w:tc>
        <w:tc>
          <w:tcPr>
            <w:tcW w:w="456" w:type="dxa"/>
            <w:gridSpan w:val="2"/>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13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16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18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w:t>
            </w:r>
          </w:p>
        </w:tc>
      </w:tr>
      <w:tr w:rsidR="00462582" w:rsidRPr="00BA2046" w:rsidTr="00462582">
        <w:tc>
          <w:tcPr>
            <w:tcW w:w="1673"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rPr>
            </w:pPr>
            <w:r w:rsidRPr="00BA2046">
              <w:rPr>
                <w:rFonts w:hAnsi="標楷體" w:hint="eastAsia"/>
                <w:sz w:val="20"/>
              </w:rPr>
              <w:t>金門高分院</w:t>
            </w:r>
          </w:p>
        </w:tc>
        <w:tc>
          <w:tcPr>
            <w:tcW w:w="57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4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456" w:type="dxa"/>
            <w:gridSpan w:val="2"/>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2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2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2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w:t>
            </w:r>
          </w:p>
        </w:tc>
      </w:tr>
      <w:tr w:rsidR="00462582" w:rsidRPr="00BA2046" w:rsidTr="00462582">
        <w:tc>
          <w:tcPr>
            <w:tcW w:w="1673"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rPr>
            </w:pPr>
            <w:r w:rsidRPr="00BA2046">
              <w:rPr>
                <w:rFonts w:hAnsi="標楷體" w:hint="eastAsia"/>
                <w:sz w:val="20"/>
              </w:rPr>
              <w:t>金門地方法院</w:t>
            </w:r>
          </w:p>
        </w:tc>
        <w:tc>
          <w:tcPr>
            <w:tcW w:w="57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6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456" w:type="dxa"/>
            <w:gridSpan w:val="2"/>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4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5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5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w:t>
            </w:r>
          </w:p>
        </w:tc>
      </w:tr>
      <w:tr w:rsidR="00462582" w:rsidRPr="00BA2046" w:rsidTr="00462582">
        <w:tc>
          <w:tcPr>
            <w:tcW w:w="1673"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rPr>
            </w:pPr>
            <w:r w:rsidRPr="00BA2046">
              <w:rPr>
                <w:rFonts w:hAnsi="標楷體" w:hint="eastAsia"/>
                <w:sz w:val="20"/>
              </w:rPr>
              <w:t>連江地方法院</w:t>
            </w:r>
          </w:p>
        </w:tc>
        <w:tc>
          <w:tcPr>
            <w:tcW w:w="57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456" w:type="dxa"/>
            <w:gridSpan w:val="2"/>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2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w:t>
            </w:r>
          </w:p>
        </w:tc>
      </w:tr>
      <w:tr w:rsidR="00462582" w:rsidRPr="00BA2046" w:rsidTr="00462582">
        <w:tc>
          <w:tcPr>
            <w:tcW w:w="1673"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rPr>
            </w:pPr>
            <w:r w:rsidRPr="00BA2046">
              <w:rPr>
                <w:rFonts w:hAnsi="標楷體" w:hint="eastAsia"/>
                <w:sz w:val="20"/>
              </w:rPr>
              <w:t>臺灣高院</w:t>
            </w:r>
          </w:p>
        </w:tc>
        <w:tc>
          <w:tcPr>
            <w:tcW w:w="57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18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185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9.7%</w:t>
            </w:r>
          </w:p>
        </w:tc>
        <w:tc>
          <w:tcPr>
            <w:tcW w:w="456" w:type="dxa"/>
            <w:gridSpan w:val="2"/>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5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186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2.7%</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8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190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4.2%</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7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195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3.6%</w:t>
            </w:r>
          </w:p>
        </w:tc>
      </w:tr>
      <w:tr w:rsidR="00462582" w:rsidRPr="00BA2046" w:rsidTr="00462582">
        <w:tc>
          <w:tcPr>
            <w:tcW w:w="1673"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rPr>
            </w:pPr>
            <w:r w:rsidRPr="00BA2046">
              <w:rPr>
                <w:rFonts w:hAnsi="標楷體" w:hint="eastAsia"/>
                <w:sz w:val="20"/>
              </w:rPr>
              <w:t>臺中高分院</w:t>
            </w:r>
          </w:p>
        </w:tc>
        <w:tc>
          <w:tcPr>
            <w:tcW w:w="57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7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88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8%</w:t>
            </w:r>
          </w:p>
        </w:tc>
        <w:tc>
          <w:tcPr>
            <w:tcW w:w="456" w:type="dxa"/>
            <w:gridSpan w:val="2"/>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94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1.1%</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96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1.0%</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93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1.1%</w:t>
            </w:r>
          </w:p>
        </w:tc>
      </w:tr>
      <w:tr w:rsidR="00462582" w:rsidRPr="00BA2046" w:rsidTr="00462582">
        <w:tc>
          <w:tcPr>
            <w:tcW w:w="1673"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rPr>
            </w:pPr>
            <w:r w:rsidRPr="00BA2046">
              <w:rPr>
                <w:rFonts w:hAnsi="標楷體" w:hint="eastAsia"/>
                <w:sz w:val="20"/>
              </w:rPr>
              <w:t>臺南高分院</w:t>
            </w:r>
          </w:p>
        </w:tc>
        <w:tc>
          <w:tcPr>
            <w:tcW w:w="57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5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48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10.4%</w:t>
            </w:r>
          </w:p>
        </w:tc>
        <w:tc>
          <w:tcPr>
            <w:tcW w:w="456" w:type="dxa"/>
            <w:gridSpan w:val="2"/>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49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2.0%</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2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48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4.2%</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48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w:t>
            </w:r>
          </w:p>
        </w:tc>
      </w:tr>
      <w:tr w:rsidR="00462582" w:rsidRPr="00BA2046" w:rsidTr="00462582">
        <w:tc>
          <w:tcPr>
            <w:tcW w:w="1673"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rPr>
            </w:pPr>
            <w:r w:rsidRPr="00BA2046">
              <w:rPr>
                <w:rFonts w:hAnsi="標楷體" w:hint="eastAsia"/>
                <w:sz w:val="20"/>
              </w:rPr>
              <w:t>高雄高分院</w:t>
            </w:r>
          </w:p>
        </w:tc>
        <w:tc>
          <w:tcPr>
            <w:tcW w:w="57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5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57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8.8%</w:t>
            </w:r>
          </w:p>
        </w:tc>
        <w:tc>
          <w:tcPr>
            <w:tcW w:w="456" w:type="dxa"/>
            <w:gridSpan w:val="2"/>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64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1.6%</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61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1.6%</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64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1.6%</w:t>
            </w:r>
          </w:p>
        </w:tc>
      </w:tr>
      <w:tr w:rsidR="00462582" w:rsidRPr="00BA2046" w:rsidTr="00462582">
        <w:tc>
          <w:tcPr>
            <w:tcW w:w="1673"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rPr>
            </w:pPr>
            <w:r w:rsidRPr="00BA2046">
              <w:rPr>
                <w:rFonts w:hAnsi="標楷體" w:hint="eastAsia"/>
                <w:sz w:val="20"/>
              </w:rPr>
              <w:t>花蓮高分院</w:t>
            </w:r>
          </w:p>
        </w:tc>
        <w:tc>
          <w:tcPr>
            <w:tcW w:w="57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3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18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16.7%</w:t>
            </w:r>
          </w:p>
        </w:tc>
        <w:tc>
          <w:tcPr>
            <w:tcW w:w="456" w:type="dxa"/>
            <w:gridSpan w:val="2"/>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17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5.9%</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2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16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12.5%</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16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6.3%</w:t>
            </w:r>
          </w:p>
        </w:tc>
      </w:tr>
      <w:tr w:rsidR="00462582" w:rsidRPr="00BA2046" w:rsidTr="00462582">
        <w:tc>
          <w:tcPr>
            <w:tcW w:w="1673"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rPr>
            </w:pPr>
            <w:r w:rsidRPr="00BA2046">
              <w:rPr>
                <w:rFonts w:hAnsi="標楷體" w:hint="eastAsia"/>
                <w:sz w:val="20"/>
              </w:rPr>
              <w:t>臺北地方法院</w:t>
            </w:r>
          </w:p>
        </w:tc>
        <w:tc>
          <w:tcPr>
            <w:tcW w:w="57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17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163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10.4%</w:t>
            </w:r>
          </w:p>
        </w:tc>
        <w:tc>
          <w:tcPr>
            <w:tcW w:w="456" w:type="dxa"/>
            <w:gridSpan w:val="2"/>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4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165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2.4%</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4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169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2.4%</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3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167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1.8%</w:t>
            </w:r>
          </w:p>
        </w:tc>
      </w:tr>
      <w:tr w:rsidR="00462582" w:rsidRPr="00BA2046" w:rsidTr="00462582">
        <w:tc>
          <w:tcPr>
            <w:tcW w:w="1673"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rPr>
            </w:pPr>
            <w:r w:rsidRPr="00BA2046">
              <w:rPr>
                <w:rFonts w:hAnsi="標楷體" w:hint="eastAsia"/>
                <w:sz w:val="20"/>
              </w:rPr>
              <w:t>新北地方法院</w:t>
            </w:r>
          </w:p>
        </w:tc>
        <w:tc>
          <w:tcPr>
            <w:tcW w:w="57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11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119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9.2%</w:t>
            </w:r>
          </w:p>
        </w:tc>
        <w:tc>
          <w:tcPr>
            <w:tcW w:w="456" w:type="dxa"/>
            <w:gridSpan w:val="2"/>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4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139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2.9%</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3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140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2.1%</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4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143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2.8%</w:t>
            </w:r>
          </w:p>
        </w:tc>
      </w:tr>
      <w:tr w:rsidR="00462582" w:rsidRPr="00BA2046" w:rsidTr="00462582">
        <w:tc>
          <w:tcPr>
            <w:tcW w:w="1673"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rPr>
            </w:pPr>
            <w:r w:rsidRPr="00BA2046">
              <w:rPr>
                <w:rFonts w:hAnsi="標楷體" w:hint="eastAsia"/>
                <w:sz w:val="20"/>
              </w:rPr>
              <w:t>士林地方法院</w:t>
            </w:r>
          </w:p>
        </w:tc>
        <w:tc>
          <w:tcPr>
            <w:tcW w:w="57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9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78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11.5%</w:t>
            </w:r>
          </w:p>
        </w:tc>
        <w:tc>
          <w:tcPr>
            <w:tcW w:w="456" w:type="dxa"/>
            <w:gridSpan w:val="2"/>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4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81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4.9%</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3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82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3.7%</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2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81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2.5%</w:t>
            </w:r>
          </w:p>
        </w:tc>
      </w:tr>
      <w:tr w:rsidR="00462582" w:rsidRPr="00BA2046" w:rsidTr="00462582">
        <w:tc>
          <w:tcPr>
            <w:tcW w:w="1673"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rPr>
            </w:pPr>
            <w:r w:rsidRPr="00BA2046">
              <w:rPr>
                <w:rFonts w:hAnsi="標楷體" w:hint="eastAsia"/>
                <w:sz w:val="20"/>
              </w:rPr>
              <w:t>桃園地方法院</w:t>
            </w:r>
          </w:p>
        </w:tc>
        <w:tc>
          <w:tcPr>
            <w:tcW w:w="57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7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81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8.6%</w:t>
            </w:r>
          </w:p>
        </w:tc>
        <w:tc>
          <w:tcPr>
            <w:tcW w:w="456" w:type="dxa"/>
            <w:gridSpan w:val="2"/>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96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108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3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123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2.4%</w:t>
            </w:r>
          </w:p>
        </w:tc>
      </w:tr>
      <w:tr w:rsidR="00462582" w:rsidRPr="00BA2046" w:rsidTr="00462582">
        <w:tc>
          <w:tcPr>
            <w:tcW w:w="1673"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rPr>
            </w:pPr>
            <w:r w:rsidRPr="00BA2046">
              <w:rPr>
                <w:rFonts w:hAnsi="標楷體" w:hint="eastAsia"/>
                <w:sz w:val="20"/>
              </w:rPr>
              <w:t>新竹地方法院</w:t>
            </w:r>
          </w:p>
        </w:tc>
        <w:tc>
          <w:tcPr>
            <w:tcW w:w="57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5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42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11.9%</w:t>
            </w:r>
          </w:p>
        </w:tc>
        <w:tc>
          <w:tcPr>
            <w:tcW w:w="456" w:type="dxa"/>
            <w:gridSpan w:val="2"/>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44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2.3%</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47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2.1%</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48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2.1%</w:t>
            </w:r>
          </w:p>
        </w:tc>
      </w:tr>
      <w:tr w:rsidR="00462582" w:rsidRPr="00BA2046" w:rsidTr="00462582">
        <w:tc>
          <w:tcPr>
            <w:tcW w:w="1673"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rPr>
            </w:pPr>
            <w:r w:rsidRPr="00BA2046">
              <w:rPr>
                <w:rFonts w:hAnsi="標楷體" w:hint="eastAsia"/>
                <w:sz w:val="20"/>
              </w:rPr>
              <w:t>苗栗地方法院</w:t>
            </w:r>
          </w:p>
        </w:tc>
        <w:tc>
          <w:tcPr>
            <w:tcW w:w="57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2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29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6.9%</w:t>
            </w:r>
          </w:p>
        </w:tc>
        <w:tc>
          <w:tcPr>
            <w:tcW w:w="456" w:type="dxa"/>
            <w:gridSpan w:val="2"/>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30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31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29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r>
      <w:tr w:rsidR="00462582" w:rsidRPr="00BA2046" w:rsidTr="00462582">
        <w:tc>
          <w:tcPr>
            <w:tcW w:w="1673"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rPr>
            </w:pPr>
            <w:r w:rsidRPr="00BA2046">
              <w:rPr>
                <w:rFonts w:hAnsi="標楷體" w:hint="eastAsia"/>
                <w:sz w:val="20"/>
              </w:rPr>
              <w:t>臺中地方法院</w:t>
            </w:r>
          </w:p>
        </w:tc>
        <w:tc>
          <w:tcPr>
            <w:tcW w:w="57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12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135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8.9%</w:t>
            </w:r>
          </w:p>
        </w:tc>
        <w:tc>
          <w:tcPr>
            <w:tcW w:w="456" w:type="dxa"/>
            <w:gridSpan w:val="2"/>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138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0.7%</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146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154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r>
      <w:tr w:rsidR="00462582" w:rsidRPr="00BA2046" w:rsidTr="00462582">
        <w:tc>
          <w:tcPr>
            <w:tcW w:w="1673"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rPr>
            </w:pPr>
            <w:r w:rsidRPr="00BA2046">
              <w:rPr>
                <w:rFonts w:hAnsi="標楷體" w:hint="eastAsia"/>
                <w:sz w:val="20"/>
              </w:rPr>
              <w:t>南投地方法院</w:t>
            </w:r>
          </w:p>
        </w:tc>
        <w:tc>
          <w:tcPr>
            <w:tcW w:w="57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2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19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10.5%</w:t>
            </w:r>
          </w:p>
        </w:tc>
        <w:tc>
          <w:tcPr>
            <w:tcW w:w="456" w:type="dxa"/>
            <w:gridSpan w:val="2"/>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28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29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25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r>
      <w:tr w:rsidR="00462582" w:rsidRPr="00BA2046" w:rsidTr="00462582">
        <w:tc>
          <w:tcPr>
            <w:tcW w:w="1673"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rPr>
            </w:pPr>
            <w:r w:rsidRPr="00BA2046">
              <w:rPr>
                <w:rFonts w:hAnsi="標楷體" w:hint="eastAsia"/>
                <w:sz w:val="20"/>
              </w:rPr>
              <w:t>彰化地方法院</w:t>
            </w:r>
          </w:p>
        </w:tc>
        <w:tc>
          <w:tcPr>
            <w:tcW w:w="57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5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53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9.4%</w:t>
            </w:r>
          </w:p>
        </w:tc>
        <w:tc>
          <w:tcPr>
            <w:tcW w:w="456" w:type="dxa"/>
            <w:gridSpan w:val="2"/>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52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67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64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r>
      <w:tr w:rsidR="00462582" w:rsidRPr="00BA2046" w:rsidTr="00462582">
        <w:tc>
          <w:tcPr>
            <w:tcW w:w="1673"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rPr>
            </w:pPr>
            <w:r w:rsidRPr="00BA2046">
              <w:rPr>
                <w:rFonts w:hAnsi="標楷體" w:hint="eastAsia"/>
                <w:sz w:val="20"/>
              </w:rPr>
              <w:t>雲林地方法院</w:t>
            </w:r>
          </w:p>
        </w:tc>
        <w:tc>
          <w:tcPr>
            <w:tcW w:w="57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3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36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8.3%</w:t>
            </w:r>
          </w:p>
        </w:tc>
        <w:tc>
          <w:tcPr>
            <w:tcW w:w="456" w:type="dxa"/>
            <w:gridSpan w:val="2"/>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37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2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39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5.1%</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41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r>
      <w:tr w:rsidR="00462582" w:rsidRPr="00BA2046" w:rsidTr="00462582">
        <w:tc>
          <w:tcPr>
            <w:tcW w:w="1673"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rPr>
            </w:pPr>
            <w:r w:rsidRPr="00BA2046">
              <w:rPr>
                <w:rFonts w:hAnsi="標楷體" w:hint="eastAsia"/>
                <w:sz w:val="20"/>
              </w:rPr>
              <w:t>嘉義地方法院</w:t>
            </w:r>
          </w:p>
        </w:tc>
        <w:tc>
          <w:tcPr>
            <w:tcW w:w="57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4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42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9.5%</w:t>
            </w:r>
          </w:p>
        </w:tc>
        <w:tc>
          <w:tcPr>
            <w:tcW w:w="456" w:type="dxa"/>
            <w:gridSpan w:val="2"/>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42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49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52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r>
      <w:tr w:rsidR="00462582" w:rsidRPr="00BA2046" w:rsidTr="00462582">
        <w:tc>
          <w:tcPr>
            <w:tcW w:w="1673"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rPr>
            </w:pPr>
            <w:r w:rsidRPr="00BA2046">
              <w:rPr>
                <w:rFonts w:hAnsi="標楷體" w:hint="eastAsia"/>
                <w:sz w:val="20"/>
              </w:rPr>
              <w:t>臺南地方法院</w:t>
            </w:r>
          </w:p>
        </w:tc>
        <w:tc>
          <w:tcPr>
            <w:tcW w:w="57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9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91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9.9%</w:t>
            </w:r>
          </w:p>
        </w:tc>
        <w:tc>
          <w:tcPr>
            <w:tcW w:w="456" w:type="dxa"/>
            <w:gridSpan w:val="2"/>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93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1.1%</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96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1.0%</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2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99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2.0%</w:t>
            </w:r>
          </w:p>
        </w:tc>
      </w:tr>
      <w:tr w:rsidR="00462582" w:rsidRPr="00BA2046" w:rsidTr="00462582">
        <w:tc>
          <w:tcPr>
            <w:tcW w:w="1673"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rPr>
            </w:pPr>
            <w:r w:rsidRPr="00BA2046">
              <w:rPr>
                <w:rFonts w:hAnsi="標楷體" w:hint="eastAsia"/>
                <w:sz w:val="20"/>
              </w:rPr>
              <w:t>高雄地方法院</w:t>
            </w:r>
          </w:p>
        </w:tc>
        <w:tc>
          <w:tcPr>
            <w:tcW w:w="57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14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143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9.8%</w:t>
            </w:r>
          </w:p>
        </w:tc>
        <w:tc>
          <w:tcPr>
            <w:tcW w:w="456" w:type="dxa"/>
            <w:gridSpan w:val="2"/>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137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0.7%</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2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149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1.3%</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165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0.6%</w:t>
            </w:r>
          </w:p>
        </w:tc>
      </w:tr>
      <w:tr w:rsidR="00462582" w:rsidRPr="00BA2046" w:rsidTr="00462582">
        <w:tc>
          <w:tcPr>
            <w:tcW w:w="1673"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rPr>
            </w:pPr>
            <w:r w:rsidRPr="00BA2046">
              <w:rPr>
                <w:rFonts w:hAnsi="標楷體" w:hint="eastAsia"/>
                <w:sz w:val="20"/>
              </w:rPr>
              <w:t>高雄少年法院</w:t>
            </w:r>
          </w:p>
        </w:tc>
        <w:tc>
          <w:tcPr>
            <w:tcW w:w="57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6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456" w:type="dxa"/>
            <w:gridSpan w:val="2"/>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14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15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13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7.7%</w:t>
            </w:r>
          </w:p>
        </w:tc>
      </w:tr>
      <w:tr w:rsidR="00462582" w:rsidRPr="00BA2046" w:rsidTr="00462582">
        <w:tc>
          <w:tcPr>
            <w:tcW w:w="1673"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rPr>
            </w:pPr>
            <w:r w:rsidRPr="00BA2046">
              <w:rPr>
                <w:rFonts w:hAnsi="標楷體" w:hint="eastAsia"/>
                <w:sz w:val="20"/>
              </w:rPr>
              <w:t>橋頭地方法院</w:t>
            </w:r>
          </w:p>
        </w:tc>
        <w:tc>
          <w:tcPr>
            <w:tcW w:w="576" w:type="dxa"/>
            <w:tcBorders>
              <w:top w:val="single" w:sz="4" w:space="0" w:color="auto"/>
              <w:left w:val="single" w:sz="4" w:space="0" w:color="auto"/>
              <w:bottom w:val="single" w:sz="4" w:space="0" w:color="auto"/>
              <w:right w:val="single" w:sz="4" w:space="0" w:color="auto"/>
            </w:tcBorders>
          </w:tcPr>
          <w:p w:rsidR="00462582" w:rsidRPr="00BA2046" w:rsidRDefault="00462582" w:rsidP="000020CC">
            <w:pPr>
              <w:overflowPunct/>
              <w:autoSpaceDE/>
              <w:spacing w:line="240" w:lineRule="exact"/>
              <w:jc w:val="left"/>
              <w:rPr>
                <w:rFonts w:ascii="Calibri" w:eastAsia="新細明體"/>
                <w:sz w:val="20"/>
              </w:rPr>
            </w:pPr>
          </w:p>
        </w:tc>
        <w:tc>
          <w:tcPr>
            <w:tcW w:w="756" w:type="dxa"/>
            <w:tcBorders>
              <w:top w:val="single" w:sz="4" w:space="0" w:color="auto"/>
              <w:left w:val="single" w:sz="4" w:space="0" w:color="auto"/>
              <w:bottom w:val="single" w:sz="4" w:space="0" w:color="auto"/>
              <w:right w:val="single" w:sz="4" w:space="0" w:color="auto"/>
            </w:tcBorders>
          </w:tcPr>
          <w:p w:rsidR="00462582" w:rsidRPr="00BA2046" w:rsidRDefault="00462582" w:rsidP="000020CC">
            <w:pPr>
              <w:overflowPunct/>
              <w:autoSpaceDE/>
              <w:spacing w:line="240" w:lineRule="exact"/>
              <w:jc w:val="left"/>
              <w:rPr>
                <w:rFonts w:ascii="Calibri" w:eastAsia="新細明體"/>
                <w:sz w:val="20"/>
              </w:rPr>
            </w:pPr>
          </w:p>
        </w:tc>
        <w:tc>
          <w:tcPr>
            <w:tcW w:w="814" w:type="dxa"/>
            <w:tcBorders>
              <w:top w:val="single" w:sz="4" w:space="0" w:color="auto"/>
              <w:left w:val="single" w:sz="4" w:space="0" w:color="auto"/>
              <w:bottom w:val="single" w:sz="4" w:space="0" w:color="auto"/>
              <w:right w:val="single" w:sz="4" w:space="0" w:color="auto"/>
            </w:tcBorders>
          </w:tcPr>
          <w:p w:rsidR="00462582" w:rsidRPr="00BA2046" w:rsidRDefault="00462582" w:rsidP="000020CC">
            <w:pPr>
              <w:overflowPunct/>
              <w:autoSpaceDE/>
              <w:spacing w:line="240" w:lineRule="exact"/>
              <w:jc w:val="left"/>
              <w:rPr>
                <w:rFonts w:ascii="Calibri" w:eastAsia="新細明體"/>
                <w:sz w:val="20"/>
              </w:rPr>
            </w:pPr>
          </w:p>
        </w:tc>
        <w:tc>
          <w:tcPr>
            <w:tcW w:w="456" w:type="dxa"/>
            <w:gridSpan w:val="2"/>
            <w:tcBorders>
              <w:top w:val="single" w:sz="4" w:space="0" w:color="auto"/>
              <w:left w:val="single" w:sz="4" w:space="0" w:color="auto"/>
              <w:bottom w:val="single" w:sz="4" w:space="0" w:color="auto"/>
              <w:right w:val="single" w:sz="4" w:space="0" w:color="auto"/>
            </w:tcBorders>
          </w:tcPr>
          <w:p w:rsidR="00462582" w:rsidRPr="00BA2046" w:rsidRDefault="00462582" w:rsidP="000020CC">
            <w:pPr>
              <w:overflowPunct/>
              <w:autoSpaceDE/>
              <w:spacing w:line="240" w:lineRule="exact"/>
              <w:jc w:val="left"/>
              <w:rPr>
                <w:rFonts w:ascii="Calibri" w:eastAsia="新細明體"/>
                <w:sz w:val="20"/>
              </w:rPr>
            </w:pPr>
          </w:p>
        </w:tc>
        <w:tc>
          <w:tcPr>
            <w:tcW w:w="756" w:type="dxa"/>
            <w:tcBorders>
              <w:top w:val="single" w:sz="4" w:space="0" w:color="auto"/>
              <w:left w:val="single" w:sz="4" w:space="0" w:color="auto"/>
              <w:bottom w:val="single" w:sz="4" w:space="0" w:color="auto"/>
              <w:right w:val="single" w:sz="4" w:space="0" w:color="auto"/>
            </w:tcBorders>
          </w:tcPr>
          <w:p w:rsidR="00462582" w:rsidRPr="00BA2046" w:rsidRDefault="00462582" w:rsidP="000020CC">
            <w:pPr>
              <w:overflowPunct/>
              <w:autoSpaceDE/>
              <w:spacing w:line="240" w:lineRule="exact"/>
              <w:jc w:val="left"/>
              <w:rPr>
                <w:rFonts w:ascii="Calibri" w:eastAsia="新細明體"/>
                <w:sz w:val="20"/>
              </w:rPr>
            </w:pPr>
          </w:p>
        </w:tc>
        <w:tc>
          <w:tcPr>
            <w:tcW w:w="814" w:type="dxa"/>
            <w:tcBorders>
              <w:top w:val="single" w:sz="4" w:space="0" w:color="auto"/>
              <w:left w:val="single" w:sz="4" w:space="0" w:color="auto"/>
              <w:bottom w:val="single" w:sz="4" w:space="0" w:color="auto"/>
              <w:right w:val="single" w:sz="4" w:space="0" w:color="auto"/>
            </w:tcBorders>
          </w:tcPr>
          <w:p w:rsidR="00462582" w:rsidRPr="00BA2046" w:rsidRDefault="00462582" w:rsidP="000020CC">
            <w:pPr>
              <w:overflowPunct/>
              <w:autoSpaceDE/>
              <w:spacing w:line="240" w:lineRule="exact"/>
              <w:jc w:val="left"/>
              <w:rPr>
                <w:rFonts w:ascii="Calibri" w:eastAsia="新細明體"/>
                <w:sz w:val="20"/>
              </w:rPr>
            </w:pPr>
          </w:p>
        </w:tc>
        <w:tc>
          <w:tcPr>
            <w:tcW w:w="460" w:type="dxa"/>
            <w:tcBorders>
              <w:top w:val="single" w:sz="4" w:space="0" w:color="auto"/>
              <w:left w:val="single" w:sz="4" w:space="0" w:color="auto"/>
              <w:bottom w:val="single" w:sz="4" w:space="0" w:color="auto"/>
              <w:right w:val="single" w:sz="4" w:space="0" w:color="auto"/>
            </w:tcBorders>
          </w:tcPr>
          <w:p w:rsidR="00462582" w:rsidRPr="00BA2046" w:rsidRDefault="00462582" w:rsidP="000020CC">
            <w:pPr>
              <w:overflowPunct/>
              <w:autoSpaceDE/>
              <w:spacing w:line="240" w:lineRule="exact"/>
              <w:jc w:val="left"/>
              <w:rPr>
                <w:rFonts w:ascii="Calibri" w:eastAsia="新細明體"/>
                <w:sz w:val="20"/>
              </w:rPr>
            </w:pPr>
          </w:p>
        </w:tc>
        <w:tc>
          <w:tcPr>
            <w:tcW w:w="756" w:type="dxa"/>
            <w:tcBorders>
              <w:top w:val="single" w:sz="4" w:space="0" w:color="auto"/>
              <w:left w:val="single" w:sz="4" w:space="0" w:color="auto"/>
              <w:bottom w:val="single" w:sz="4" w:space="0" w:color="auto"/>
              <w:right w:val="single" w:sz="4" w:space="0" w:color="auto"/>
            </w:tcBorders>
          </w:tcPr>
          <w:p w:rsidR="00462582" w:rsidRPr="00BA2046" w:rsidRDefault="00462582" w:rsidP="000020CC">
            <w:pPr>
              <w:overflowPunct/>
              <w:autoSpaceDE/>
              <w:spacing w:line="240" w:lineRule="exact"/>
              <w:jc w:val="left"/>
              <w:rPr>
                <w:rFonts w:ascii="Calibri" w:eastAsia="新細明體"/>
                <w:sz w:val="20"/>
              </w:rPr>
            </w:pPr>
          </w:p>
        </w:tc>
        <w:tc>
          <w:tcPr>
            <w:tcW w:w="814" w:type="dxa"/>
            <w:tcBorders>
              <w:top w:val="single" w:sz="4" w:space="0" w:color="auto"/>
              <w:left w:val="single" w:sz="4" w:space="0" w:color="auto"/>
              <w:bottom w:val="single" w:sz="4" w:space="0" w:color="auto"/>
              <w:right w:val="single" w:sz="4" w:space="0" w:color="auto"/>
            </w:tcBorders>
          </w:tcPr>
          <w:p w:rsidR="00462582" w:rsidRPr="00BA2046" w:rsidRDefault="00462582" w:rsidP="000020CC">
            <w:pPr>
              <w:overflowPunct/>
              <w:autoSpaceDE/>
              <w:spacing w:line="240" w:lineRule="exact"/>
              <w:jc w:val="left"/>
              <w:rPr>
                <w:rFonts w:ascii="Calibri" w:eastAsia="新細明體"/>
                <w:sz w:val="20"/>
              </w:rPr>
            </w:pPr>
          </w:p>
        </w:tc>
        <w:tc>
          <w:tcPr>
            <w:tcW w:w="460" w:type="dxa"/>
            <w:tcBorders>
              <w:top w:val="single" w:sz="4" w:space="0" w:color="auto"/>
              <w:left w:val="single" w:sz="4" w:space="0" w:color="auto"/>
              <w:bottom w:val="single" w:sz="4" w:space="0" w:color="auto"/>
              <w:right w:val="single" w:sz="4" w:space="0" w:color="auto"/>
            </w:tcBorders>
          </w:tcPr>
          <w:p w:rsidR="00462582" w:rsidRPr="00BA2046" w:rsidRDefault="00462582" w:rsidP="000020CC">
            <w:pPr>
              <w:overflowPunct/>
              <w:autoSpaceDE/>
              <w:spacing w:line="240" w:lineRule="exact"/>
              <w:jc w:val="left"/>
              <w:rPr>
                <w:rFonts w:ascii="Calibri" w:eastAsia="新細明體"/>
                <w:sz w:val="20"/>
              </w:rPr>
            </w:pPr>
          </w:p>
        </w:tc>
        <w:tc>
          <w:tcPr>
            <w:tcW w:w="756" w:type="dxa"/>
            <w:tcBorders>
              <w:top w:val="single" w:sz="4" w:space="0" w:color="auto"/>
              <w:left w:val="single" w:sz="4" w:space="0" w:color="auto"/>
              <w:bottom w:val="single" w:sz="4" w:space="0" w:color="auto"/>
              <w:right w:val="single" w:sz="4" w:space="0" w:color="auto"/>
            </w:tcBorders>
          </w:tcPr>
          <w:p w:rsidR="00462582" w:rsidRPr="00BA2046" w:rsidRDefault="00462582" w:rsidP="000020CC">
            <w:pPr>
              <w:overflowPunct/>
              <w:autoSpaceDE/>
              <w:spacing w:line="240" w:lineRule="exact"/>
              <w:jc w:val="left"/>
              <w:rPr>
                <w:rFonts w:ascii="Calibri" w:eastAsia="新細明體"/>
                <w:sz w:val="20"/>
              </w:rPr>
            </w:pPr>
          </w:p>
        </w:tc>
        <w:tc>
          <w:tcPr>
            <w:tcW w:w="814" w:type="dxa"/>
            <w:tcBorders>
              <w:top w:val="single" w:sz="4" w:space="0" w:color="auto"/>
              <w:left w:val="single" w:sz="4" w:space="0" w:color="auto"/>
              <w:bottom w:val="single" w:sz="4" w:space="0" w:color="auto"/>
              <w:right w:val="single" w:sz="4" w:space="0" w:color="auto"/>
            </w:tcBorders>
          </w:tcPr>
          <w:p w:rsidR="00462582" w:rsidRPr="00BA2046" w:rsidRDefault="00462582" w:rsidP="000020CC">
            <w:pPr>
              <w:overflowPunct/>
              <w:autoSpaceDE/>
              <w:spacing w:line="240" w:lineRule="exact"/>
              <w:jc w:val="left"/>
              <w:rPr>
                <w:rFonts w:ascii="Calibri" w:eastAsia="新細明體"/>
                <w:sz w:val="20"/>
              </w:rPr>
            </w:pPr>
          </w:p>
        </w:tc>
      </w:tr>
      <w:tr w:rsidR="00462582" w:rsidRPr="00BA2046" w:rsidTr="00462582">
        <w:tc>
          <w:tcPr>
            <w:tcW w:w="1673"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rPr>
            </w:pPr>
            <w:r w:rsidRPr="00BA2046">
              <w:rPr>
                <w:rFonts w:hAnsi="標楷體" w:hint="eastAsia"/>
                <w:sz w:val="20"/>
              </w:rPr>
              <w:t>屏東地方法院</w:t>
            </w:r>
          </w:p>
        </w:tc>
        <w:tc>
          <w:tcPr>
            <w:tcW w:w="57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5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43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11.6%</w:t>
            </w:r>
          </w:p>
        </w:tc>
        <w:tc>
          <w:tcPr>
            <w:tcW w:w="456" w:type="dxa"/>
            <w:gridSpan w:val="2"/>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47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49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51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2.0%</w:t>
            </w:r>
          </w:p>
        </w:tc>
      </w:tr>
      <w:tr w:rsidR="00462582" w:rsidRPr="00BA2046" w:rsidTr="00462582">
        <w:tc>
          <w:tcPr>
            <w:tcW w:w="1673"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rPr>
            </w:pPr>
            <w:r w:rsidRPr="00BA2046">
              <w:rPr>
                <w:rFonts w:hAnsi="標楷體" w:hint="eastAsia"/>
                <w:sz w:val="20"/>
              </w:rPr>
              <w:t>臺東地方法院</w:t>
            </w:r>
          </w:p>
        </w:tc>
        <w:tc>
          <w:tcPr>
            <w:tcW w:w="57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14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7.1%</w:t>
            </w:r>
          </w:p>
        </w:tc>
        <w:tc>
          <w:tcPr>
            <w:tcW w:w="456" w:type="dxa"/>
            <w:gridSpan w:val="2"/>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17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21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22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r>
      <w:tr w:rsidR="00462582" w:rsidRPr="00BA2046" w:rsidTr="00462582">
        <w:tc>
          <w:tcPr>
            <w:tcW w:w="1673"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rPr>
            </w:pPr>
            <w:r w:rsidRPr="00BA2046">
              <w:rPr>
                <w:rFonts w:hAnsi="標楷體" w:hint="eastAsia"/>
                <w:sz w:val="20"/>
              </w:rPr>
              <w:t>花蓮地方法院</w:t>
            </w:r>
          </w:p>
        </w:tc>
        <w:tc>
          <w:tcPr>
            <w:tcW w:w="57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3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22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13.6%</w:t>
            </w:r>
          </w:p>
        </w:tc>
        <w:tc>
          <w:tcPr>
            <w:tcW w:w="456" w:type="dxa"/>
            <w:gridSpan w:val="2"/>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22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20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25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r>
      <w:tr w:rsidR="00462582" w:rsidRPr="00BA2046" w:rsidTr="00462582">
        <w:tc>
          <w:tcPr>
            <w:tcW w:w="1673"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hAnsi="標楷體"/>
                <w:sz w:val="20"/>
              </w:rPr>
            </w:pPr>
            <w:r w:rsidRPr="00BA2046">
              <w:rPr>
                <w:rFonts w:hAnsi="標楷體" w:hint="eastAsia"/>
                <w:sz w:val="20"/>
              </w:rPr>
              <w:t>宜蘭地方法院</w:t>
            </w:r>
          </w:p>
        </w:tc>
        <w:tc>
          <w:tcPr>
            <w:tcW w:w="57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3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22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13.6%</w:t>
            </w:r>
          </w:p>
        </w:tc>
        <w:tc>
          <w:tcPr>
            <w:tcW w:w="456" w:type="dxa"/>
            <w:gridSpan w:val="2"/>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23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4.3%</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26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26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r>
      <w:tr w:rsidR="00462582" w:rsidRPr="00BA2046" w:rsidTr="00462582">
        <w:tc>
          <w:tcPr>
            <w:tcW w:w="1673"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hAnsi="標楷體"/>
                <w:sz w:val="20"/>
              </w:rPr>
            </w:pPr>
            <w:r w:rsidRPr="00BA2046">
              <w:rPr>
                <w:rFonts w:hAnsi="標楷體" w:hint="eastAsia"/>
                <w:sz w:val="20"/>
              </w:rPr>
              <w:t>基隆地方法院</w:t>
            </w:r>
          </w:p>
        </w:tc>
        <w:tc>
          <w:tcPr>
            <w:tcW w:w="57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3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27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11.1%</w:t>
            </w:r>
          </w:p>
        </w:tc>
        <w:tc>
          <w:tcPr>
            <w:tcW w:w="456" w:type="dxa"/>
            <w:gridSpan w:val="2"/>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27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29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31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r>
      <w:tr w:rsidR="00462582" w:rsidRPr="00BA2046" w:rsidTr="00462582">
        <w:tc>
          <w:tcPr>
            <w:tcW w:w="1673"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hAnsi="標楷體"/>
                <w:sz w:val="20"/>
              </w:rPr>
            </w:pPr>
            <w:r w:rsidRPr="00BA2046">
              <w:rPr>
                <w:rFonts w:hAnsi="標楷體" w:hint="eastAsia"/>
                <w:sz w:val="20"/>
              </w:rPr>
              <w:t>澎湖地方法院</w:t>
            </w:r>
          </w:p>
        </w:tc>
        <w:tc>
          <w:tcPr>
            <w:tcW w:w="57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1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3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33.3%</w:t>
            </w:r>
          </w:p>
        </w:tc>
        <w:tc>
          <w:tcPr>
            <w:tcW w:w="456" w:type="dxa"/>
            <w:gridSpan w:val="2"/>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5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4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46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c>
          <w:tcPr>
            <w:tcW w:w="756"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5 </w:t>
            </w:r>
          </w:p>
        </w:tc>
        <w:tc>
          <w:tcPr>
            <w:tcW w:w="81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rPr>
            </w:pPr>
            <w:r w:rsidRPr="00BA2046">
              <w:rPr>
                <w:rFonts w:ascii="Calibri" w:eastAsia="新細明體"/>
                <w:sz w:val="20"/>
              </w:rPr>
              <w:t xml:space="preserve"> - </w:t>
            </w:r>
          </w:p>
        </w:tc>
      </w:tr>
      <w:tr w:rsidR="00462582" w:rsidRPr="00BA2046" w:rsidTr="00462582">
        <w:tc>
          <w:tcPr>
            <w:tcW w:w="1673"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hAnsi="標楷體"/>
                <w:sz w:val="20"/>
              </w:rPr>
            </w:pPr>
            <w:r w:rsidRPr="00BA2046">
              <w:rPr>
                <w:rFonts w:hAnsi="標楷體" w:hint="eastAsia"/>
                <w:sz w:val="20"/>
              </w:rPr>
              <w:t>合計</w:t>
            </w:r>
          </w:p>
        </w:tc>
        <w:tc>
          <w:tcPr>
            <w:tcW w:w="576"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center"/>
              <w:rPr>
                <w:rFonts w:ascii="Times New Roman" w:eastAsia="新細明體"/>
                <w:sz w:val="20"/>
              </w:rPr>
            </w:pPr>
            <w:r w:rsidRPr="00BA2046">
              <w:rPr>
                <w:rFonts w:ascii="Times New Roman" w:eastAsia="新細明體"/>
                <w:sz w:val="20"/>
              </w:rPr>
              <w:t xml:space="preserve">      174 </w:t>
            </w:r>
          </w:p>
        </w:tc>
        <w:tc>
          <w:tcPr>
            <w:tcW w:w="756"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center"/>
              <w:rPr>
                <w:rFonts w:ascii="Times New Roman" w:eastAsia="新細明體"/>
                <w:sz w:val="20"/>
              </w:rPr>
            </w:pPr>
            <w:r w:rsidRPr="00BA2046">
              <w:rPr>
                <w:rFonts w:ascii="Times New Roman" w:eastAsia="新細明體"/>
                <w:sz w:val="20"/>
              </w:rPr>
              <w:t xml:space="preserve">    1,757 </w:t>
            </w:r>
          </w:p>
        </w:tc>
        <w:tc>
          <w:tcPr>
            <w:tcW w:w="814"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right"/>
              <w:rPr>
                <w:rFonts w:ascii="Times New Roman" w:eastAsia="新細明體"/>
                <w:sz w:val="20"/>
              </w:rPr>
            </w:pPr>
            <w:r w:rsidRPr="00BA2046">
              <w:rPr>
                <w:rFonts w:ascii="Times New Roman" w:eastAsia="新細明體"/>
                <w:sz w:val="20"/>
              </w:rPr>
              <w:t>9.9%</w:t>
            </w:r>
          </w:p>
        </w:tc>
        <w:tc>
          <w:tcPr>
            <w:tcW w:w="456" w:type="dxa"/>
            <w:gridSpan w:val="2"/>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widowControl/>
              <w:overflowPunct/>
              <w:autoSpaceDE/>
              <w:spacing w:line="240" w:lineRule="exact"/>
              <w:jc w:val="center"/>
              <w:rPr>
                <w:rFonts w:ascii="Times New Roman" w:eastAsia="新細明體"/>
                <w:sz w:val="20"/>
              </w:rPr>
            </w:pPr>
            <w:r w:rsidRPr="00BA2046">
              <w:rPr>
                <w:rFonts w:ascii="Times New Roman" w:eastAsia="新細明體"/>
                <w:sz w:val="20"/>
              </w:rPr>
              <w:t xml:space="preserve">   42 </w:t>
            </w:r>
          </w:p>
        </w:tc>
        <w:tc>
          <w:tcPr>
            <w:tcW w:w="756"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center"/>
              <w:rPr>
                <w:rFonts w:ascii="Times New Roman" w:eastAsia="新細明體"/>
                <w:sz w:val="20"/>
              </w:rPr>
            </w:pPr>
            <w:r w:rsidRPr="00BA2046">
              <w:rPr>
                <w:rFonts w:ascii="Times New Roman" w:eastAsia="新細明體"/>
                <w:sz w:val="20"/>
              </w:rPr>
              <w:t xml:space="preserve">  1,836 </w:t>
            </w:r>
          </w:p>
        </w:tc>
        <w:tc>
          <w:tcPr>
            <w:tcW w:w="814"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center"/>
              <w:rPr>
                <w:rFonts w:ascii="Times New Roman" w:eastAsia="新細明體"/>
                <w:sz w:val="20"/>
              </w:rPr>
            </w:pPr>
            <w:r w:rsidRPr="00BA2046">
              <w:rPr>
                <w:rFonts w:ascii="Times New Roman" w:eastAsia="新細明體"/>
                <w:sz w:val="20"/>
              </w:rPr>
              <w:t>2.3%</w:t>
            </w:r>
          </w:p>
        </w:tc>
        <w:tc>
          <w:tcPr>
            <w:tcW w:w="460"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widowControl/>
              <w:overflowPunct/>
              <w:autoSpaceDE/>
              <w:spacing w:line="240" w:lineRule="exact"/>
              <w:jc w:val="center"/>
              <w:rPr>
                <w:rFonts w:ascii="Times New Roman" w:eastAsia="新細明體"/>
                <w:sz w:val="20"/>
              </w:rPr>
            </w:pPr>
            <w:r w:rsidRPr="00BA2046">
              <w:rPr>
                <w:rFonts w:ascii="Times New Roman" w:eastAsia="新細明體"/>
                <w:sz w:val="20"/>
              </w:rPr>
              <w:t xml:space="preserve">   51 </w:t>
            </w:r>
          </w:p>
        </w:tc>
        <w:tc>
          <w:tcPr>
            <w:tcW w:w="756"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center"/>
              <w:rPr>
                <w:rFonts w:ascii="Times New Roman" w:eastAsia="新細明體"/>
                <w:sz w:val="20"/>
              </w:rPr>
            </w:pPr>
            <w:r w:rsidRPr="00BA2046">
              <w:rPr>
                <w:rFonts w:ascii="Times New Roman" w:eastAsia="新細明體"/>
                <w:sz w:val="20"/>
              </w:rPr>
              <w:t xml:space="preserve">    1,919 </w:t>
            </w:r>
          </w:p>
        </w:tc>
        <w:tc>
          <w:tcPr>
            <w:tcW w:w="814"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center"/>
              <w:rPr>
                <w:rFonts w:ascii="Times New Roman" w:eastAsia="新細明體"/>
                <w:sz w:val="20"/>
              </w:rPr>
            </w:pPr>
            <w:r w:rsidRPr="00BA2046">
              <w:rPr>
                <w:rFonts w:ascii="Times New Roman" w:eastAsia="新細明體"/>
                <w:sz w:val="20"/>
              </w:rPr>
              <w:t>2.7%</w:t>
            </w:r>
          </w:p>
        </w:tc>
        <w:tc>
          <w:tcPr>
            <w:tcW w:w="460"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widowControl/>
              <w:overflowPunct/>
              <w:autoSpaceDE/>
              <w:spacing w:line="240" w:lineRule="exact"/>
              <w:jc w:val="center"/>
              <w:rPr>
                <w:rFonts w:ascii="Times New Roman" w:eastAsia="新細明體"/>
                <w:sz w:val="20"/>
              </w:rPr>
            </w:pPr>
            <w:r w:rsidRPr="00BA2046">
              <w:rPr>
                <w:rFonts w:ascii="Times New Roman" w:eastAsia="新細明體"/>
                <w:sz w:val="20"/>
              </w:rPr>
              <w:t xml:space="preserve">    50 </w:t>
            </w:r>
          </w:p>
        </w:tc>
        <w:tc>
          <w:tcPr>
            <w:tcW w:w="756"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center"/>
              <w:rPr>
                <w:rFonts w:ascii="Times New Roman" w:eastAsia="新細明體"/>
                <w:sz w:val="20"/>
              </w:rPr>
            </w:pPr>
            <w:r w:rsidRPr="00BA2046">
              <w:rPr>
                <w:rFonts w:ascii="Times New Roman" w:eastAsia="新細明體"/>
                <w:sz w:val="20"/>
              </w:rPr>
              <w:t xml:space="preserve">  1,970 </w:t>
            </w:r>
          </w:p>
        </w:tc>
        <w:tc>
          <w:tcPr>
            <w:tcW w:w="814"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center"/>
              <w:rPr>
                <w:rFonts w:ascii="Times New Roman" w:eastAsia="新細明體"/>
                <w:sz w:val="20"/>
              </w:rPr>
            </w:pPr>
            <w:r w:rsidRPr="00BA2046">
              <w:rPr>
                <w:rFonts w:ascii="Times New Roman" w:eastAsia="新細明體"/>
                <w:sz w:val="20"/>
              </w:rPr>
              <w:t>2.5%</w:t>
            </w:r>
          </w:p>
        </w:tc>
      </w:tr>
    </w:tbl>
    <w:p w:rsidR="00616EAA" w:rsidRDefault="00462582" w:rsidP="000020CC">
      <w:pPr>
        <w:spacing w:line="240" w:lineRule="exact"/>
        <w:ind w:leftChars="-41" w:left="1" w:hangingChars="54" w:hanging="140"/>
        <w:rPr>
          <w:kern w:val="32"/>
          <w:sz w:val="24"/>
          <w:szCs w:val="24"/>
        </w:rPr>
      </w:pPr>
      <w:r w:rsidRPr="00BA2046">
        <w:rPr>
          <w:rFonts w:hint="eastAsia"/>
          <w:kern w:val="32"/>
          <w:sz w:val="24"/>
          <w:szCs w:val="24"/>
        </w:rPr>
        <w:t>資料來源：司法院。</w:t>
      </w:r>
    </w:p>
    <w:p w:rsidR="000020CC" w:rsidRDefault="000020CC" w:rsidP="000020CC">
      <w:pPr>
        <w:spacing w:line="240" w:lineRule="exact"/>
        <w:ind w:leftChars="-41" w:left="1" w:hangingChars="54" w:hanging="140"/>
        <w:rPr>
          <w:kern w:val="32"/>
          <w:sz w:val="24"/>
          <w:szCs w:val="24"/>
        </w:rPr>
      </w:pPr>
    </w:p>
    <w:p w:rsidR="000020CC" w:rsidRDefault="000020CC" w:rsidP="000020CC">
      <w:pPr>
        <w:spacing w:line="240" w:lineRule="exact"/>
        <w:ind w:leftChars="-41" w:left="1" w:hangingChars="54" w:hanging="140"/>
        <w:rPr>
          <w:kern w:val="32"/>
          <w:sz w:val="24"/>
          <w:szCs w:val="24"/>
        </w:rPr>
      </w:pPr>
    </w:p>
    <w:p w:rsidR="000020CC" w:rsidRDefault="000020CC" w:rsidP="000020CC">
      <w:pPr>
        <w:spacing w:line="240" w:lineRule="exact"/>
        <w:ind w:leftChars="-41" w:left="1" w:hangingChars="54" w:hanging="140"/>
        <w:rPr>
          <w:kern w:val="32"/>
          <w:sz w:val="24"/>
          <w:szCs w:val="24"/>
        </w:rPr>
      </w:pPr>
    </w:p>
    <w:p w:rsidR="000020CC" w:rsidRDefault="000020CC" w:rsidP="000020CC">
      <w:pPr>
        <w:spacing w:line="240" w:lineRule="exact"/>
        <w:ind w:leftChars="-41" w:left="1" w:hangingChars="54" w:hanging="140"/>
        <w:rPr>
          <w:kern w:val="32"/>
          <w:sz w:val="24"/>
          <w:szCs w:val="24"/>
        </w:rPr>
      </w:pPr>
    </w:p>
    <w:p w:rsidR="000020CC" w:rsidRDefault="000020CC" w:rsidP="000020CC">
      <w:pPr>
        <w:spacing w:line="240" w:lineRule="exact"/>
        <w:ind w:leftChars="-41" w:left="1" w:hangingChars="54" w:hanging="140"/>
        <w:rPr>
          <w:kern w:val="32"/>
          <w:sz w:val="24"/>
          <w:szCs w:val="24"/>
        </w:rPr>
      </w:pPr>
    </w:p>
    <w:p w:rsidR="000020CC" w:rsidRDefault="000020CC" w:rsidP="000020CC">
      <w:pPr>
        <w:spacing w:line="240" w:lineRule="exact"/>
        <w:ind w:leftChars="-41" w:left="1" w:hangingChars="54" w:hanging="140"/>
        <w:rPr>
          <w:kern w:val="32"/>
          <w:sz w:val="24"/>
          <w:szCs w:val="24"/>
        </w:rPr>
      </w:pPr>
    </w:p>
    <w:p w:rsidR="000020CC" w:rsidRPr="00BA2046" w:rsidRDefault="000020CC" w:rsidP="000020CC">
      <w:pPr>
        <w:spacing w:line="240" w:lineRule="exact"/>
        <w:ind w:leftChars="-41" w:left="88" w:hangingChars="54" w:hanging="227"/>
        <w:rPr>
          <w:rFonts w:ascii="Times New Roman"/>
          <w:b/>
          <w:sz w:val="40"/>
          <w:szCs w:val="40"/>
        </w:rPr>
      </w:pPr>
    </w:p>
    <w:p w:rsidR="00616EAA" w:rsidRPr="00BA2046" w:rsidRDefault="00462582" w:rsidP="00616EAA">
      <w:pPr>
        <w:pStyle w:val="a0"/>
        <w:numPr>
          <w:ilvl w:val="0"/>
          <w:numId w:val="3"/>
        </w:numPr>
        <w:tabs>
          <w:tab w:val="clear" w:pos="1440"/>
        </w:tabs>
        <w:ind w:left="1121" w:hangingChars="400" w:hanging="1121"/>
        <w:rPr>
          <w:rFonts w:ascii="Times New Roman"/>
          <w:b/>
          <w:sz w:val="40"/>
          <w:szCs w:val="40"/>
        </w:rPr>
      </w:pPr>
      <w:r w:rsidRPr="00BA2046">
        <w:rPr>
          <w:rFonts w:hAnsi="標楷體" w:hint="eastAsia"/>
          <w:bCs/>
          <w:spacing w:val="-10"/>
          <w:kern w:val="0"/>
          <w:sz w:val="28"/>
          <w:szCs w:val="32"/>
        </w:rPr>
        <w:t>104-107年法官考績表</w:t>
      </w:r>
    </w:p>
    <w:tbl>
      <w:tblPr>
        <w:tblStyle w:val="33"/>
        <w:tblW w:w="10330" w:type="dxa"/>
        <w:tblInd w:w="-601" w:type="dxa"/>
        <w:tblLook w:val="04A0" w:firstRow="1" w:lastRow="0" w:firstColumn="1" w:lastColumn="0" w:noHBand="0" w:noVBand="1"/>
      </w:tblPr>
      <w:tblGrid>
        <w:gridCol w:w="1726"/>
        <w:gridCol w:w="480"/>
        <w:gridCol w:w="807"/>
        <w:gridCol w:w="864"/>
        <w:gridCol w:w="480"/>
        <w:gridCol w:w="807"/>
        <w:gridCol w:w="864"/>
        <w:gridCol w:w="480"/>
        <w:gridCol w:w="807"/>
        <w:gridCol w:w="864"/>
        <w:gridCol w:w="480"/>
        <w:gridCol w:w="807"/>
        <w:gridCol w:w="864"/>
      </w:tblGrid>
      <w:tr w:rsidR="00462582" w:rsidRPr="00BA2046" w:rsidTr="00462582">
        <w:tc>
          <w:tcPr>
            <w:tcW w:w="1726" w:type="dxa"/>
            <w:vMerge w:val="restart"/>
            <w:tcBorders>
              <w:top w:val="single" w:sz="4" w:space="0" w:color="auto"/>
              <w:left w:val="single" w:sz="4" w:space="0" w:color="auto"/>
              <w:bottom w:val="single" w:sz="4" w:space="0" w:color="auto"/>
              <w:right w:val="single" w:sz="4" w:space="0" w:color="auto"/>
            </w:tcBorders>
          </w:tcPr>
          <w:p w:rsidR="00462582" w:rsidRPr="00BA2046" w:rsidRDefault="00462582" w:rsidP="000020CC">
            <w:pPr>
              <w:tabs>
                <w:tab w:val="left" w:pos="504"/>
              </w:tabs>
              <w:overflowPunct/>
              <w:autoSpaceDE/>
              <w:spacing w:line="240" w:lineRule="exact"/>
              <w:ind w:leftChars="-105" w:left="361" w:hangingChars="211" w:hanging="718"/>
              <w:jc w:val="left"/>
              <w:rPr>
                <w:rFonts w:hAnsi="標楷體"/>
                <w:sz w:val="20"/>
                <w:szCs w:val="20"/>
              </w:rPr>
            </w:pPr>
            <w:r w:rsidRPr="00BA2046">
              <w:rPr>
                <w:noProof/>
              </w:rPr>
              <mc:AlternateContent>
                <mc:Choice Requires="wps">
                  <w:drawing>
                    <wp:anchor distT="0" distB="0" distL="114300" distR="114300" simplePos="0" relativeHeight="251673600" behindDoc="0" locked="0" layoutInCell="1" allowOverlap="1">
                      <wp:simplePos x="0" y="0"/>
                      <wp:positionH relativeFrom="column">
                        <wp:posOffset>-64770</wp:posOffset>
                      </wp:positionH>
                      <wp:positionV relativeFrom="paragraph">
                        <wp:posOffset>635</wp:posOffset>
                      </wp:positionV>
                      <wp:extent cx="1082040" cy="708660"/>
                      <wp:effectExtent l="0" t="0" r="22860" b="34290"/>
                      <wp:wrapNone/>
                      <wp:docPr id="16" name="直線接點 16"/>
                      <wp:cNvGraphicFramePr/>
                      <a:graphic xmlns:a="http://schemas.openxmlformats.org/drawingml/2006/main">
                        <a:graphicData uri="http://schemas.microsoft.com/office/word/2010/wordprocessingShape">
                          <wps:wsp>
                            <wps:cNvCnPr/>
                            <wps:spPr>
                              <a:xfrm>
                                <a:off x="0" y="0"/>
                                <a:ext cx="1082040" cy="7086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7C87187" id="直線接點 1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05pt" to="80.1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" strokecolor="#4579b8 [3044]"/>
                  </w:pict>
                </mc:Fallback>
              </mc:AlternateContent>
            </w:r>
            <w:r w:rsidRPr="00BA2046">
              <w:rPr>
                <w:noProof/>
              </w:rPr>
              <mc:AlternateContent>
                <mc:Choice Requires="wps">
                  <w:drawing>
                    <wp:anchor distT="0" distB="0" distL="114300" distR="114300" simplePos="0" relativeHeight="251672576" behindDoc="0" locked="0" layoutInCell="1" allowOverlap="1">
                      <wp:simplePos x="0" y="0"/>
                      <wp:positionH relativeFrom="column">
                        <wp:posOffset>-64770</wp:posOffset>
                      </wp:positionH>
                      <wp:positionV relativeFrom="paragraph">
                        <wp:posOffset>635</wp:posOffset>
                      </wp:positionV>
                      <wp:extent cx="1089660" cy="190500"/>
                      <wp:effectExtent l="0" t="0" r="34290" b="19050"/>
                      <wp:wrapNone/>
                      <wp:docPr id="15" name="直線接點 15"/>
                      <wp:cNvGraphicFramePr/>
                      <a:graphic xmlns:a="http://schemas.openxmlformats.org/drawingml/2006/main">
                        <a:graphicData uri="http://schemas.microsoft.com/office/word/2010/wordprocessingShape">
                          <wps:wsp>
                            <wps:cNvCnPr/>
                            <wps:spPr>
                              <a:xfrm>
                                <a:off x="0" y="0"/>
                                <a:ext cx="1089660" cy="19050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6EB9EF1E" id="直線接點 1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05pt" to="80.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" strokecolor="#5b9bd5" strokeweight=".5pt">
                      <v:stroke joinstyle="miter"/>
                    </v:line>
                  </w:pict>
                </mc:Fallback>
              </mc:AlternateContent>
            </w:r>
            <w:r w:rsidRPr="00BA2046">
              <w:rPr>
                <w:rFonts w:ascii="Calibri" w:eastAsia="新細明體"/>
                <w:sz w:val="20"/>
                <w:szCs w:val="20"/>
              </w:rPr>
              <w:t xml:space="preserve">            </w:t>
            </w:r>
            <w:r w:rsidRPr="00BA2046">
              <w:rPr>
                <w:rFonts w:hAnsi="標楷體" w:hint="eastAsia"/>
                <w:sz w:val="20"/>
                <w:szCs w:val="20"/>
              </w:rPr>
              <w:t>年度</w:t>
            </w:r>
          </w:p>
          <w:p w:rsidR="00462582" w:rsidRPr="00BA2046" w:rsidRDefault="00462582" w:rsidP="000020CC">
            <w:pPr>
              <w:tabs>
                <w:tab w:val="left" w:pos="504"/>
              </w:tabs>
              <w:overflowPunct/>
              <w:autoSpaceDE/>
              <w:spacing w:line="240" w:lineRule="exact"/>
              <w:jc w:val="left"/>
              <w:rPr>
                <w:rFonts w:hAnsi="標楷體"/>
                <w:sz w:val="20"/>
                <w:szCs w:val="20"/>
              </w:rPr>
            </w:pPr>
            <w:r w:rsidRPr="00BA2046">
              <w:rPr>
                <w:rFonts w:hAnsi="標楷體" w:hint="eastAsia"/>
                <w:sz w:val="20"/>
                <w:szCs w:val="20"/>
              </w:rPr>
              <w:t xml:space="preserve">        比率</w:t>
            </w:r>
          </w:p>
          <w:p w:rsidR="00462582" w:rsidRPr="00BA2046" w:rsidRDefault="00462582" w:rsidP="000020CC">
            <w:pPr>
              <w:tabs>
                <w:tab w:val="left" w:pos="504"/>
              </w:tabs>
              <w:overflowPunct/>
              <w:autoSpaceDE/>
              <w:spacing w:line="240" w:lineRule="exact"/>
              <w:jc w:val="left"/>
              <w:rPr>
                <w:rFonts w:hAnsi="標楷體"/>
                <w:sz w:val="20"/>
                <w:szCs w:val="20"/>
              </w:rPr>
            </w:pPr>
          </w:p>
          <w:p w:rsidR="00462582" w:rsidRPr="00BA2046" w:rsidRDefault="00462582" w:rsidP="000020CC">
            <w:pPr>
              <w:tabs>
                <w:tab w:val="left" w:pos="504"/>
              </w:tabs>
              <w:overflowPunct/>
              <w:autoSpaceDE/>
              <w:spacing w:line="240" w:lineRule="exact"/>
              <w:ind w:firstLineChars="300" w:firstLine="660"/>
              <w:jc w:val="left"/>
              <w:rPr>
                <w:rFonts w:ascii="Calibri" w:eastAsia="新細明體"/>
                <w:sz w:val="20"/>
                <w:szCs w:val="20"/>
              </w:rPr>
            </w:pPr>
            <w:r w:rsidRPr="00BA2046">
              <w:rPr>
                <w:rFonts w:hAnsi="標楷體" w:hint="eastAsia"/>
                <w:sz w:val="20"/>
                <w:szCs w:val="20"/>
              </w:rPr>
              <w:t>法院</w:t>
            </w:r>
          </w:p>
        </w:tc>
        <w:tc>
          <w:tcPr>
            <w:tcW w:w="2151" w:type="dxa"/>
            <w:gridSpan w:val="3"/>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center"/>
              <w:rPr>
                <w:rFonts w:hAnsi="標楷體"/>
                <w:sz w:val="20"/>
                <w:szCs w:val="20"/>
              </w:rPr>
            </w:pPr>
            <w:r w:rsidRPr="00BA2046">
              <w:rPr>
                <w:rFonts w:hAnsi="標楷體" w:hint="eastAsia"/>
                <w:sz w:val="20"/>
                <w:szCs w:val="20"/>
              </w:rPr>
              <w:t>104</w:t>
            </w:r>
          </w:p>
        </w:tc>
        <w:tc>
          <w:tcPr>
            <w:tcW w:w="2151" w:type="dxa"/>
            <w:gridSpan w:val="3"/>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center"/>
              <w:rPr>
                <w:rFonts w:hAnsi="標楷體"/>
                <w:sz w:val="20"/>
                <w:szCs w:val="20"/>
              </w:rPr>
            </w:pPr>
            <w:r w:rsidRPr="00BA2046">
              <w:rPr>
                <w:rFonts w:hAnsi="標楷體" w:hint="eastAsia"/>
                <w:sz w:val="20"/>
                <w:szCs w:val="20"/>
              </w:rPr>
              <w:t>105</w:t>
            </w:r>
          </w:p>
        </w:tc>
        <w:tc>
          <w:tcPr>
            <w:tcW w:w="2151" w:type="dxa"/>
            <w:gridSpan w:val="3"/>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center"/>
              <w:rPr>
                <w:rFonts w:hAnsi="標楷體"/>
                <w:sz w:val="20"/>
                <w:szCs w:val="20"/>
              </w:rPr>
            </w:pPr>
            <w:r w:rsidRPr="00BA2046">
              <w:rPr>
                <w:rFonts w:hAnsi="標楷體" w:hint="eastAsia"/>
                <w:sz w:val="20"/>
                <w:szCs w:val="20"/>
              </w:rPr>
              <w:t>106</w:t>
            </w:r>
          </w:p>
        </w:tc>
        <w:tc>
          <w:tcPr>
            <w:tcW w:w="2151" w:type="dxa"/>
            <w:gridSpan w:val="3"/>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center"/>
              <w:rPr>
                <w:rFonts w:hAnsi="標楷體"/>
                <w:sz w:val="20"/>
                <w:szCs w:val="20"/>
              </w:rPr>
            </w:pPr>
            <w:r w:rsidRPr="00BA2046">
              <w:rPr>
                <w:rFonts w:hAnsi="標楷體" w:hint="eastAsia"/>
                <w:sz w:val="20"/>
                <w:szCs w:val="20"/>
              </w:rPr>
              <w:t>107</w:t>
            </w:r>
          </w:p>
        </w:tc>
      </w:tr>
      <w:tr w:rsidR="00462582" w:rsidRPr="00BA2046" w:rsidTr="00462582">
        <w:tc>
          <w:tcPr>
            <w:tcW w:w="0" w:type="auto"/>
            <w:vMerge/>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widowControl/>
              <w:overflowPunct/>
              <w:autoSpaceDE/>
              <w:autoSpaceDN/>
              <w:spacing w:line="240" w:lineRule="exact"/>
              <w:jc w:val="left"/>
              <w:rPr>
                <w:rFonts w:ascii="Calibri" w:eastAsia="新細明體"/>
                <w:sz w:val="20"/>
                <w:szCs w:val="20"/>
              </w:rPr>
            </w:pP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hAnsi="標楷體"/>
                <w:sz w:val="20"/>
                <w:szCs w:val="20"/>
              </w:rPr>
            </w:pPr>
            <w:r w:rsidRPr="00BA2046">
              <w:rPr>
                <w:rFonts w:hAnsi="標楷體" w:hint="eastAsia"/>
                <w:kern w:val="0"/>
                <w:sz w:val="20"/>
                <w:szCs w:val="20"/>
              </w:rPr>
              <w:t>乙等</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hAnsi="標楷體"/>
                <w:sz w:val="20"/>
                <w:szCs w:val="20"/>
              </w:rPr>
            </w:pPr>
            <w:r w:rsidRPr="00BA2046">
              <w:rPr>
                <w:rFonts w:hAnsi="標楷體" w:hint="eastAsia"/>
                <w:sz w:val="20"/>
                <w:szCs w:val="20"/>
              </w:rPr>
              <w:t>總人數</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hAnsi="標楷體"/>
                <w:sz w:val="20"/>
                <w:szCs w:val="20"/>
              </w:rPr>
            </w:pPr>
            <w:r w:rsidRPr="00BA2046">
              <w:rPr>
                <w:rFonts w:hAnsi="標楷體" w:hint="eastAsia"/>
                <w:sz w:val="20"/>
                <w:szCs w:val="20"/>
              </w:rPr>
              <w:t>比率</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hAnsi="標楷體"/>
                <w:sz w:val="20"/>
                <w:szCs w:val="20"/>
              </w:rPr>
            </w:pPr>
            <w:r w:rsidRPr="00BA2046">
              <w:rPr>
                <w:rFonts w:hAnsi="標楷體" w:hint="eastAsia"/>
                <w:kern w:val="0"/>
                <w:sz w:val="20"/>
                <w:szCs w:val="20"/>
              </w:rPr>
              <w:t>乙等</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hAnsi="標楷體"/>
                <w:sz w:val="20"/>
                <w:szCs w:val="20"/>
              </w:rPr>
            </w:pPr>
            <w:r w:rsidRPr="00BA2046">
              <w:rPr>
                <w:rFonts w:hAnsi="標楷體" w:hint="eastAsia"/>
                <w:sz w:val="20"/>
                <w:szCs w:val="20"/>
              </w:rPr>
              <w:t>總人數</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hAnsi="標楷體"/>
                <w:sz w:val="20"/>
                <w:szCs w:val="20"/>
              </w:rPr>
            </w:pPr>
            <w:r w:rsidRPr="00BA2046">
              <w:rPr>
                <w:rFonts w:hAnsi="標楷體" w:hint="eastAsia"/>
                <w:sz w:val="20"/>
                <w:szCs w:val="20"/>
              </w:rPr>
              <w:t>比率</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hAnsi="標楷體"/>
                <w:sz w:val="20"/>
                <w:szCs w:val="20"/>
              </w:rPr>
            </w:pPr>
            <w:r w:rsidRPr="00BA2046">
              <w:rPr>
                <w:rFonts w:hAnsi="標楷體" w:hint="eastAsia"/>
                <w:kern w:val="0"/>
                <w:sz w:val="20"/>
                <w:szCs w:val="20"/>
              </w:rPr>
              <w:t>乙等</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hAnsi="標楷體"/>
                <w:sz w:val="20"/>
                <w:szCs w:val="20"/>
              </w:rPr>
            </w:pPr>
            <w:r w:rsidRPr="00BA2046">
              <w:rPr>
                <w:rFonts w:hAnsi="標楷體" w:hint="eastAsia"/>
                <w:sz w:val="20"/>
                <w:szCs w:val="20"/>
              </w:rPr>
              <w:t>總人數</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hAnsi="標楷體"/>
                <w:sz w:val="20"/>
                <w:szCs w:val="20"/>
              </w:rPr>
            </w:pPr>
            <w:r w:rsidRPr="00BA2046">
              <w:rPr>
                <w:rFonts w:hAnsi="標楷體" w:hint="eastAsia"/>
                <w:sz w:val="20"/>
                <w:szCs w:val="20"/>
              </w:rPr>
              <w:t>比率</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hAnsi="標楷體"/>
                <w:sz w:val="20"/>
                <w:szCs w:val="20"/>
              </w:rPr>
            </w:pPr>
            <w:r w:rsidRPr="00BA2046">
              <w:rPr>
                <w:rFonts w:hAnsi="標楷體" w:hint="eastAsia"/>
                <w:kern w:val="0"/>
                <w:sz w:val="20"/>
                <w:szCs w:val="20"/>
              </w:rPr>
              <w:t>乙等</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hAnsi="標楷體"/>
                <w:sz w:val="20"/>
                <w:szCs w:val="20"/>
              </w:rPr>
            </w:pPr>
            <w:r w:rsidRPr="00BA2046">
              <w:rPr>
                <w:rFonts w:hAnsi="標楷體" w:hint="eastAsia"/>
                <w:sz w:val="20"/>
                <w:szCs w:val="20"/>
              </w:rPr>
              <w:t>總人數</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hAnsi="標楷體"/>
                <w:sz w:val="20"/>
                <w:szCs w:val="20"/>
              </w:rPr>
            </w:pPr>
            <w:r w:rsidRPr="00BA2046">
              <w:rPr>
                <w:rFonts w:hAnsi="標楷體" w:hint="eastAsia"/>
                <w:sz w:val="20"/>
                <w:szCs w:val="20"/>
              </w:rPr>
              <w:t>比率</w:t>
            </w:r>
          </w:p>
        </w:tc>
      </w:tr>
      <w:tr w:rsidR="00462582" w:rsidRPr="00BA2046" w:rsidTr="00462582">
        <w:tc>
          <w:tcPr>
            <w:tcW w:w="1726"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widowControl/>
              <w:overflowPunct/>
              <w:autoSpaceDE/>
              <w:spacing w:line="240" w:lineRule="exact"/>
              <w:jc w:val="left"/>
              <w:rPr>
                <w:rFonts w:ascii="Times New Roman" w:eastAsia="新細明體"/>
                <w:sz w:val="20"/>
                <w:szCs w:val="20"/>
              </w:rPr>
            </w:pPr>
            <w:r w:rsidRPr="00BA2046">
              <w:rPr>
                <w:rFonts w:hAnsi="標楷體" w:hint="eastAsia"/>
                <w:sz w:val="20"/>
                <w:szCs w:val="20"/>
              </w:rPr>
              <w:t>最高法院</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17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71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23.9%</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16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68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23.5%</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17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69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24.6%</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15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67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22.4%</w:t>
            </w:r>
          </w:p>
        </w:tc>
      </w:tr>
      <w:tr w:rsidR="00462582" w:rsidRPr="00BA2046" w:rsidTr="00462582">
        <w:tc>
          <w:tcPr>
            <w:tcW w:w="1726"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szCs w:val="20"/>
              </w:rPr>
            </w:pPr>
            <w:r w:rsidRPr="00BA2046">
              <w:rPr>
                <w:rFonts w:hAnsi="標楷體" w:hint="eastAsia"/>
                <w:sz w:val="20"/>
                <w:szCs w:val="20"/>
              </w:rPr>
              <w:t>最高行政法院</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21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15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16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15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r>
      <w:tr w:rsidR="00462582" w:rsidRPr="00BA2046" w:rsidTr="00462582">
        <w:tc>
          <w:tcPr>
            <w:tcW w:w="1726"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hAnsi="標楷體" w:cs="新細明體"/>
                <w:sz w:val="20"/>
                <w:szCs w:val="20"/>
              </w:rPr>
            </w:pPr>
            <w:r w:rsidRPr="00BA2046">
              <w:rPr>
                <w:rFonts w:hAnsi="標楷體" w:hint="eastAsia"/>
                <w:sz w:val="20"/>
                <w:szCs w:val="20"/>
              </w:rPr>
              <w:t>公懲會</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2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10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20.0%</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2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11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18.2%</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2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12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16.7%</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2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11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18.2%</w:t>
            </w:r>
          </w:p>
        </w:tc>
      </w:tr>
      <w:tr w:rsidR="00462582" w:rsidRPr="00BA2046" w:rsidTr="00462582">
        <w:tc>
          <w:tcPr>
            <w:tcW w:w="1726"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hAnsi="標楷體"/>
                <w:sz w:val="20"/>
                <w:szCs w:val="20"/>
              </w:rPr>
            </w:pPr>
            <w:r w:rsidRPr="00BA2046">
              <w:rPr>
                <w:rFonts w:hAnsi="標楷體" w:hint="eastAsia"/>
                <w:sz w:val="20"/>
                <w:szCs w:val="20"/>
              </w:rPr>
              <w:t>北行</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35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33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33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35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r>
      <w:tr w:rsidR="00462582" w:rsidRPr="00BA2046" w:rsidTr="00462582">
        <w:tc>
          <w:tcPr>
            <w:tcW w:w="1726"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hAnsi="標楷體"/>
                <w:sz w:val="20"/>
                <w:szCs w:val="20"/>
              </w:rPr>
            </w:pPr>
            <w:r w:rsidRPr="00BA2046">
              <w:rPr>
                <w:rFonts w:hAnsi="標楷體" w:hint="eastAsia"/>
                <w:sz w:val="20"/>
                <w:szCs w:val="20"/>
              </w:rPr>
              <w:t>中行</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8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8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8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8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r>
      <w:tr w:rsidR="00462582" w:rsidRPr="00BA2046" w:rsidTr="00462582">
        <w:tc>
          <w:tcPr>
            <w:tcW w:w="1726"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hAnsi="標楷體"/>
                <w:sz w:val="20"/>
                <w:szCs w:val="20"/>
              </w:rPr>
            </w:pPr>
            <w:r w:rsidRPr="00BA2046">
              <w:rPr>
                <w:rFonts w:hAnsi="標楷體" w:hint="eastAsia"/>
                <w:sz w:val="20"/>
                <w:szCs w:val="20"/>
              </w:rPr>
              <w:t>雄行</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12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11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11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11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r>
      <w:tr w:rsidR="00462582" w:rsidRPr="00BA2046" w:rsidTr="00462582">
        <w:tc>
          <w:tcPr>
            <w:tcW w:w="1726"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hAnsi="標楷體"/>
                <w:sz w:val="20"/>
                <w:szCs w:val="20"/>
              </w:rPr>
            </w:pPr>
            <w:r w:rsidRPr="00BA2046">
              <w:rPr>
                <w:rFonts w:hAnsi="標楷體" w:hint="eastAsia"/>
                <w:sz w:val="20"/>
                <w:szCs w:val="20"/>
              </w:rPr>
              <w:t>智財法院</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16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17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17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16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r>
      <w:tr w:rsidR="00462582" w:rsidRPr="00BA2046" w:rsidTr="00462582">
        <w:tc>
          <w:tcPr>
            <w:tcW w:w="1726"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szCs w:val="20"/>
              </w:rPr>
            </w:pPr>
            <w:r w:rsidRPr="00BA2046">
              <w:rPr>
                <w:rFonts w:hAnsi="標楷體" w:hint="eastAsia"/>
                <w:sz w:val="20"/>
                <w:szCs w:val="20"/>
              </w:rPr>
              <w:t>金門高分院</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2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2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2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3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r>
      <w:tr w:rsidR="00462582" w:rsidRPr="00BA2046" w:rsidTr="00462582">
        <w:tc>
          <w:tcPr>
            <w:tcW w:w="1726"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szCs w:val="20"/>
              </w:rPr>
            </w:pPr>
            <w:r w:rsidRPr="00BA2046">
              <w:rPr>
                <w:rFonts w:hAnsi="標楷體" w:hint="eastAsia"/>
                <w:sz w:val="20"/>
                <w:szCs w:val="20"/>
              </w:rPr>
              <w:t>金門地方法院</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3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4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5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4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r>
      <w:tr w:rsidR="00462582" w:rsidRPr="00BA2046" w:rsidTr="00462582">
        <w:tc>
          <w:tcPr>
            <w:tcW w:w="1726"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szCs w:val="20"/>
              </w:rPr>
            </w:pPr>
            <w:r w:rsidRPr="00BA2046">
              <w:rPr>
                <w:rFonts w:hAnsi="標楷體" w:hint="eastAsia"/>
                <w:sz w:val="20"/>
                <w:szCs w:val="20"/>
              </w:rPr>
              <w:t>連江地方法院</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r>
      <w:tr w:rsidR="00462582" w:rsidRPr="00BA2046" w:rsidTr="00462582">
        <w:tc>
          <w:tcPr>
            <w:tcW w:w="1726"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szCs w:val="20"/>
              </w:rPr>
            </w:pPr>
            <w:r w:rsidRPr="00BA2046">
              <w:rPr>
                <w:rFonts w:hAnsi="標楷體" w:hint="eastAsia"/>
                <w:sz w:val="20"/>
                <w:szCs w:val="20"/>
              </w:rPr>
              <w:t>臺灣高院</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5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190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2.6%</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6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185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3.2%</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6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187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3.2%</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4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186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2.2%</w:t>
            </w:r>
          </w:p>
        </w:tc>
      </w:tr>
      <w:tr w:rsidR="00462582" w:rsidRPr="00BA2046" w:rsidTr="00462582">
        <w:tc>
          <w:tcPr>
            <w:tcW w:w="1726"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szCs w:val="20"/>
              </w:rPr>
            </w:pPr>
            <w:r w:rsidRPr="00BA2046">
              <w:rPr>
                <w:rFonts w:hAnsi="標楷體" w:hint="eastAsia"/>
                <w:sz w:val="20"/>
                <w:szCs w:val="20"/>
              </w:rPr>
              <w:t>臺中高分院</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94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1.1%</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95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1.1%</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3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97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3.1%</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95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1.1%</w:t>
            </w:r>
          </w:p>
        </w:tc>
      </w:tr>
      <w:tr w:rsidR="00462582" w:rsidRPr="00BA2046" w:rsidTr="00462582">
        <w:tc>
          <w:tcPr>
            <w:tcW w:w="1726"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szCs w:val="20"/>
              </w:rPr>
            </w:pPr>
            <w:r w:rsidRPr="00BA2046">
              <w:rPr>
                <w:rFonts w:hAnsi="標楷體" w:hint="eastAsia"/>
                <w:sz w:val="20"/>
                <w:szCs w:val="20"/>
              </w:rPr>
              <w:t>臺南高分院</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47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48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50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51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r>
      <w:tr w:rsidR="00462582" w:rsidRPr="00BA2046" w:rsidTr="00462582">
        <w:tc>
          <w:tcPr>
            <w:tcW w:w="1726"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szCs w:val="20"/>
              </w:rPr>
            </w:pPr>
            <w:r w:rsidRPr="00BA2046">
              <w:rPr>
                <w:rFonts w:hAnsi="標楷體" w:hint="eastAsia"/>
                <w:sz w:val="20"/>
                <w:szCs w:val="20"/>
              </w:rPr>
              <w:t>高雄高分院</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2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64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3.1%</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63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1.6%</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2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67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3.0%</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66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1.5%</w:t>
            </w:r>
          </w:p>
        </w:tc>
      </w:tr>
      <w:tr w:rsidR="00462582" w:rsidRPr="00BA2046" w:rsidTr="00462582">
        <w:tc>
          <w:tcPr>
            <w:tcW w:w="1726"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szCs w:val="20"/>
              </w:rPr>
            </w:pPr>
            <w:r w:rsidRPr="00BA2046">
              <w:rPr>
                <w:rFonts w:hAnsi="標楷體" w:hint="eastAsia"/>
                <w:sz w:val="20"/>
                <w:szCs w:val="20"/>
              </w:rPr>
              <w:t>花蓮高分院</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12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8.3%</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14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7.1%</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16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6.3%</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16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6.3%</w:t>
            </w:r>
          </w:p>
        </w:tc>
      </w:tr>
      <w:tr w:rsidR="00462582" w:rsidRPr="00BA2046" w:rsidTr="00462582">
        <w:tc>
          <w:tcPr>
            <w:tcW w:w="1726"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szCs w:val="20"/>
              </w:rPr>
            </w:pPr>
            <w:r w:rsidRPr="00BA2046">
              <w:rPr>
                <w:rFonts w:hAnsi="標楷體" w:hint="eastAsia"/>
                <w:sz w:val="20"/>
                <w:szCs w:val="20"/>
              </w:rPr>
              <w:t>臺北地方法院</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173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3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173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1.7%</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2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175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1.1%</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2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177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1.1%</w:t>
            </w:r>
          </w:p>
        </w:tc>
      </w:tr>
      <w:tr w:rsidR="00462582" w:rsidRPr="00BA2046" w:rsidTr="00462582">
        <w:tc>
          <w:tcPr>
            <w:tcW w:w="1726"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szCs w:val="20"/>
              </w:rPr>
            </w:pPr>
            <w:r w:rsidRPr="00BA2046">
              <w:rPr>
                <w:rFonts w:hAnsi="標楷體" w:hint="eastAsia"/>
                <w:sz w:val="20"/>
                <w:szCs w:val="20"/>
              </w:rPr>
              <w:t>新北地方法院</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148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2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151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1.3%</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3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155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1.9%</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2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157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1.3%</w:t>
            </w:r>
          </w:p>
        </w:tc>
      </w:tr>
      <w:tr w:rsidR="00462582" w:rsidRPr="00BA2046" w:rsidTr="00462582">
        <w:tc>
          <w:tcPr>
            <w:tcW w:w="1726"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szCs w:val="20"/>
              </w:rPr>
            </w:pPr>
            <w:r w:rsidRPr="00BA2046">
              <w:rPr>
                <w:rFonts w:hAnsi="標楷體" w:hint="eastAsia"/>
                <w:sz w:val="20"/>
                <w:szCs w:val="20"/>
              </w:rPr>
              <w:t>士林地方法院</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2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86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2.3%</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2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87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2.3%</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3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90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3.3%</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4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84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4.8%</w:t>
            </w:r>
          </w:p>
        </w:tc>
      </w:tr>
      <w:tr w:rsidR="00462582" w:rsidRPr="00BA2046" w:rsidTr="00462582">
        <w:tc>
          <w:tcPr>
            <w:tcW w:w="1726"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szCs w:val="20"/>
              </w:rPr>
            </w:pPr>
            <w:r w:rsidRPr="00BA2046">
              <w:rPr>
                <w:rFonts w:hAnsi="標楷體" w:hint="eastAsia"/>
                <w:sz w:val="20"/>
                <w:szCs w:val="20"/>
              </w:rPr>
              <w:t>桃園地方法院</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2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129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1.6%</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2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119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1.7%</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123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0.8%</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2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129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1.6%</w:t>
            </w:r>
          </w:p>
        </w:tc>
      </w:tr>
      <w:tr w:rsidR="00462582" w:rsidRPr="00BA2046" w:rsidTr="00462582">
        <w:tc>
          <w:tcPr>
            <w:tcW w:w="1726"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szCs w:val="20"/>
              </w:rPr>
            </w:pPr>
            <w:r w:rsidRPr="00BA2046">
              <w:rPr>
                <w:rFonts w:hAnsi="標楷體" w:hint="eastAsia"/>
                <w:sz w:val="20"/>
                <w:szCs w:val="20"/>
              </w:rPr>
              <w:t>新竹地方法院</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51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2.0%</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52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52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1.9%</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53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r>
      <w:tr w:rsidR="00462582" w:rsidRPr="00BA2046" w:rsidTr="00462582">
        <w:tc>
          <w:tcPr>
            <w:tcW w:w="1726"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szCs w:val="20"/>
              </w:rPr>
            </w:pPr>
            <w:r w:rsidRPr="00BA2046">
              <w:rPr>
                <w:rFonts w:hAnsi="標楷體" w:hint="eastAsia"/>
                <w:sz w:val="20"/>
                <w:szCs w:val="20"/>
              </w:rPr>
              <w:t>苗栗地方法院</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34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34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31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33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3.0%</w:t>
            </w:r>
          </w:p>
        </w:tc>
      </w:tr>
      <w:tr w:rsidR="00462582" w:rsidRPr="00BA2046" w:rsidTr="00462582">
        <w:tc>
          <w:tcPr>
            <w:tcW w:w="1726"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szCs w:val="20"/>
              </w:rPr>
            </w:pPr>
            <w:r w:rsidRPr="00BA2046">
              <w:rPr>
                <w:rFonts w:hAnsi="標楷體" w:hint="eastAsia"/>
                <w:sz w:val="20"/>
                <w:szCs w:val="20"/>
              </w:rPr>
              <w:t>臺中地方法院</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156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0.6%</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153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0.7%</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2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158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1.3%</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2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153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1.3%</w:t>
            </w:r>
          </w:p>
        </w:tc>
      </w:tr>
      <w:tr w:rsidR="00462582" w:rsidRPr="00BA2046" w:rsidTr="00462582">
        <w:tc>
          <w:tcPr>
            <w:tcW w:w="1726"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szCs w:val="20"/>
              </w:rPr>
            </w:pPr>
            <w:r w:rsidRPr="00BA2046">
              <w:rPr>
                <w:rFonts w:hAnsi="標楷體" w:hint="eastAsia"/>
                <w:sz w:val="20"/>
                <w:szCs w:val="20"/>
              </w:rPr>
              <w:t>南投地方法院</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29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31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27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30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r>
      <w:tr w:rsidR="00462582" w:rsidRPr="00BA2046" w:rsidTr="00462582">
        <w:tc>
          <w:tcPr>
            <w:tcW w:w="1726"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szCs w:val="20"/>
              </w:rPr>
            </w:pPr>
            <w:r w:rsidRPr="00BA2046">
              <w:rPr>
                <w:rFonts w:hAnsi="標楷體" w:hint="eastAsia"/>
                <w:sz w:val="20"/>
                <w:szCs w:val="20"/>
              </w:rPr>
              <w:t>彰化地方法院</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72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71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72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68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r>
      <w:tr w:rsidR="00462582" w:rsidRPr="00BA2046" w:rsidTr="00462582">
        <w:tc>
          <w:tcPr>
            <w:tcW w:w="1726"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szCs w:val="20"/>
              </w:rPr>
            </w:pPr>
            <w:r w:rsidRPr="00BA2046">
              <w:rPr>
                <w:rFonts w:hAnsi="標楷體" w:hint="eastAsia"/>
                <w:sz w:val="20"/>
                <w:szCs w:val="20"/>
              </w:rPr>
              <w:t>雲林地方法院</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41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42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42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41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r>
      <w:tr w:rsidR="00462582" w:rsidRPr="00BA2046" w:rsidTr="00462582">
        <w:tc>
          <w:tcPr>
            <w:tcW w:w="1726"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szCs w:val="20"/>
              </w:rPr>
            </w:pPr>
            <w:r w:rsidRPr="00BA2046">
              <w:rPr>
                <w:rFonts w:hAnsi="標楷體" w:hint="eastAsia"/>
                <w:sz w:val="20"/>
                <w:szCs w:val="20"/>
              </w:rPr>
              <w:t>嘉義地方法院</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55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53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53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54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r>
      <w:tr w:rsidR="00462582" w:rsidRPr="00BA2046" w:rsidTr="00462582">
        <w:tc>
          <w:tcPr>
            <w:tcW w:w="1726"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szCs w:val="20"/>
              </w:rPr>
            </w:pPr>
            <w:r w:rsidRPr="00BA2046">
              <w:rPr>
                <w:rFonts w:hAnsi="標楷體" w:hint="eastAsia"/>
                <w:sz w:val="20"/>
                <w:szCs w:val="20"/>
              </w:rPr>
              <w:t>臺南地方法院</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101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1.0%</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2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98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2.0%</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2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101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2.0%</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3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100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3.0%</w:t>
            </w:r>
          </w:p>
        </w:tc>
      </w:tr>
      <w:tr w:rsidR="00462582" w:rsidRPr="00BA2046" w:rsidTr="00462582">
        <w:tc>
          <w:tcPr>
            <w:tcW w:w="1726"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szCs w:val="20"/>
              </w:rPr>
            </w:pPr>
            <w:r w:rsidRPr="00BA2046">
              <w:rPr>
                <w:rFonts w:hAnsi="標楷體" w:hint="eastAsia"/>
                <w:sz w:val="20"/>
                <w:szCs w:val="20"/>
              </w:rPr>
              <w:t>高雄地方法院</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2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165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1.2%</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107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108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0.9%</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114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0.9%</w:t>
            </w:r>
          </w:p>
        </w:tc>
      </w:tr>
      <w:tr w:rsidR="00462582" w:rsidRPr="00BA2046" w:rsidTr="00462582">
        <w:tc>
          <w:tcPr>
            <w:tcW w:w="1726"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szCs w:val="20"/>
              </w:rPr>
            </w:pPr>
            <w:r w:rsidRPr="00BA2046">
              <w:rPr>
                <w:rFonts w:hAnsi="標楷體" w:hint="eastAsia"/>
                <w:sz w:val="20"/>
                <w:szCs w:val="20"/>
              </w:rPr>
              <w:t>高雄少年法院</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16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14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16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57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r>
      <w:tr w:rsidR="00462582" w:rsidRPr="00BA2046" w:rsidTr="00462582">
        <w:tc>
          <w:tcPr>
            <w:tcW w:w="1726"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szCs w:val="20"/>
              </w:rPr>
            </w:pPr>
            <w:r w:rsidRPr="00BA2046">
              <w:rPr>
                <w:rFonts w:hAnsi="標楷體" w:hint="eastAsia"/>
                <w:sz w:val="20"/>
                <w:szCs w:val="20"/>
              </w:rPr>
              <w:t>橋頭地方法院</w:t>
            </w:r>
          </w:p>
        </w:tc>
        <w:tc>
          <w:tcPr>
            <w:tcW w:w="480" w:type="dxa"/>
            <w:tcBorders>
              <w:top w:val="single" w:sz="4" w:space="0" w:color="auto"/>
              <w:left w:val="single" w:sz="4" w:space="0" w:color="auto"/>
              <w:bottom w:val="single" w:sz="4" w:space="0" w:color="auto"/>
              <w:right w:val="single" w:sz="4" w:space="0" w:color="auto"/>
            </w:tcBorders>
          </w:tcPr>
          <w:p w:rsidR="00462582" w:rsidRPr="00BA2046" w:rsidRDefault="00462582" w:rsidP="000020CC">
            <w:pPr>
              <w:overflowPunct/>
              <w:autoSpaceDE/>
              <w:spacing w:line="240" w:lineRule="exact"/>
              <w:jc w:val="left"/>
              <w:rPr>
                <w:rFonts w:ascii="Calibri" w:eastAsia="新細明體"/>
                <w:sz w:val="20"/>
                <w:szCs w:val="20"/>
              </w:rPr>
            </w:pPr>
          </w:p>
        </w:tc>
        <w:tc>
          <w:tcPr>
            <w:tcW w:w="807" w:type="dxa"/>
            <w:tcBorders>
              <w:top w:val="single" w:sz="4" w:space="0" w:color="auto"/>
              <w:left w:val="single" w:sz="4" w:space="0" w:color="auto"/>
              <w:bottom w:val="single" w:sz="4" w:space="0" w:color="auto"/>
              <w:right w:val="single" w:sz="4" w:space="0" w:color="auto"/>
            </w:tcBorders>
          </w:tcPr>
          <w:p w:rsidR="00462582" w:rsidRPr="00BA2046" w:rsidRDefault="00462582" w:rsidP="000020CC">
            <w:pPr>
              <w:overflowPunct/>
              <w:autoSpaceDE/>
              <w:spacing w:line="240" w:lineRule="exact"/>
              <w:jc w:val="left"/>
              <w:rPr>
                <w:rFonts w:ascii="Calibri" w:eastAsia="新細明體"/>
                <w:sz w:val="20"/>
                <w:szCs w:val="20"/>
              </w:rPr>
            </w:pPr>
          </w:p>
        </w:tc>
        <w:tc>
          <w:tcPr>
            <w:tcW w:w="864" w:type="dxa"/>
            <w:tcBorders>
              <w:top w:val="single" w:sz="4" w:space="0" w:color="auto"/>
              <w:left w:val="single" w:sz="4" w:space="0" w:color="auto"/>
              <w:bottom w:val="single" w:sz="4" w:space="0" w:color="auto"/>
              <w:right w:val="single" w:sz="4" w:space="0" w:color="auto"/>
            </w:tcBorders>
          </w:tcPr>
          <w:p w:rsidR="00462582" w:rsidRPr="00BA2046" w:rsidRDefault="00462582" w:rsidP="000020CC">
            <w:pPr>
              <w:overflowPunct/>
              <w:autoSpaceDE/>
              <w:spacing w:line="240" w:lineRule="exact"/>
              <w:jc w:val="left"/>
              <w:rPr>
                <w:rFonts w:ascii="Calibri" w:eastAsia="新細明體"/>
                <w:sz w:val="20"/>
                <w:szCs w:val="20"/>
              </w:rPr>
            </w:pP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54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1.9%</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59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1.7%</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16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r>
      <w:tr w:rsidR="00462582" w:rsidRPr="00BA2046" w:rsidTr="00462582">
        <w:tc>
          <w:tcPr>
            <w:tcW w:w="1726"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szCs w:val="20"/>
              </w:rPr>
            </w:pPr>
            <w:r w:rsidRPr="00BA2046">
              <w:rPr>
                <w:rFonts w:hAnsi="標楷體" w:hint="eastAsia"/>
                <w:sz w:val="20"/>
                <w:szCs w:val="20"/>
              </w:rPr>
              <w:t>屏東地方法院</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51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54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55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54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r>
      <w:tr w:rsidR="00462582" w:rsidRPr="00BA2046" w:rsidTr="00462582">
        <w:tc>
          <w:tcPr>
            <w:tcW w:w="1726"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szCs w:val="20"/>
              </w:rPr>
            </w:pPr>
            <w:r w:rsidRPr="00BA2046">
              <w:rPr>
                <w:rFonts w:hAnsi="標楷體" w:hint="eastAsia"/>
                <w:sz w:val="20"/>
                <w:szCs w:val="20"/>
              </w:rPr>
              <w:t>臺東地方法院</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22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20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22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25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r>
      <w:tr w:rsidR="00462582" w:rsidRPr="00BA2046" w:rsidTr="00462582">
        <w:tc>
          <w:tcPr>
            <w:tcW w:w="1726"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ascii="Times New Roman" w:eastAsia="新細明體"/>
                <w:sz w:val="20"/>
                <w:szCs w:val="20"/>
              </w:rPr>
            </w:pPr>
            <w:r w:rsidRPr="00BA2046">
              <w:rPr>
                <w:rFonts w:hAnsi="標楷體" w:hint="eastAsia"/>
                <w:sz w:val="20"/>
                <w:szCs w:val="20"/>
              </w:rPr>
              <w:t>花蓮地方法院</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27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25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28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23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r>
      <w:tr w:rsidR="00462582" w:rsidRPr="00BA2046" w:rsidTr="00462582">
        <w:tc>
          <w:tcPr>
            <w:tcW w:w="1726"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hAnsi="標楷體"/>
                <w:sz w:val="20"/>
                <w:szCs w:val="20"/>
              </w:rPr>
            </w:pPr>
            <w:r w:rsidRPr="00BA2046">
              <w:rPr>
                <w:rFonts w:hAnsi="標楷體" w:hint="eastAsia"/>
                <w:sz w:val="20"/>
                <w:szCs w:val="20"/>
              </w:rPr>
              <w:t>宜蘭地方法院</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26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27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25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4.0%</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25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4.0%</w:t>
            </w:r>
          </w:p>
        </w:tc>
      </w:tr>
      <w:tr w:rsidR="00462582" w:rsidRPr="00BA2046" w:rsidTr="00462582">
        <w:tc>
          <w:tcPr>
            <w:tcW w:w="1726"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hAnsi="標楷體"/>
                <w:sz w:val="20"/>
                <w:szCs w:val="20"/>
              </w:rPr>
            </w:pPr>
            <w:r w:rsidRPr="00BA2046">
              <w:rPr>
                <w:rFonts w:hAnsi="標楷體" w:hint="eastAsia"/>
                <w:sz w:val="20"/>
                <w:szCs w:val="20"/>
              </w:rPr>
              <w:t>基隆地方法院</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32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32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32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1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31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3.2%</w:t>
            </w:r>
          </w:p>
        </w:tc>
      </w:tr>
      <w:tr w:rsidR="00462582" w:rsidRPr="00BA2046" w:rsidTr="00462582">
        <w:tc>
          <w:tcPr>
            <w:tcW w:w="1726"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hAnsi="標楷體"/>
                <w:sz w:val="20"/>
                <w:szCs w:val="20"/>
              </w:rPr>
            </w:pPr>
            <w:r w:rsidRPr="00BA2046">
              <w:rPr>
                <w:rFonts w:hAnsi="標楷體" w:hint="eastAsia"/>
                <w:sz w:val="20"/>
                <w:szCs w:val="20"/>
              </w:rPr>
              <w:t>澎湖地方法院</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3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5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5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480"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c>
          <w:tcPr>
            <w:tcW w:w="807"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5 </w:t>
            </w:r>
          </w:p>
        </w:tc>
        <w:tc>
          <w:tcPr>
            <w:tcW w:w="864" w:type="dxa"/>
            <w:tcBorders>
              <w:top w:val="single" w:sz="4" w:space="0" w:color="auto"/>
              <w:left w:val="single" w:sz="4" w:space="0" w:color="auto"/>
              <w:bottom w:val="single" w:sz="4" w:space="0" w:color="auto"/>
              <w:right w:val="single" w:sz="4" w:space="0" w:color="auto"/>
            </w:tcBorders>
            <w:hideMark/>
          </w:tcPr>
          <w:p w:rsidR="00462582" w:rsidRPr="00BA2046" w:rsidRDefault="00462582" w:rsidP="000020CC">
            <w:pPr>
              <w:overflowPunct/>
              <w:autoSpaceDE/>
              <w:spacing w:line="240" w:lineRule="exact"/>
              <w:jc w:val="left"/>
              <w:rPr>
                <w:rFonts w:ascii="Calibri" w:eastAsia="新細明體"/>
                <w:sz w:val="20"/>
                <w:szCs w:val="20"/>
              </w:rPr>
            </w:pPr>
            <w:r w:rsidRPr="00BA2046">
              <w:rPr>
                <w:rFonts w:ascii="Calibri" w:eastAsia="新細明體"/>
                <w:sz w:val="20"/>
                <w:szCs w:val="20"/>
              </w:rPr>
              <w:t xml:space="preserve"> - </w:t>
            </w:r>
          </w:p>
        </w:tc>
      </w:tr>
      <w:tr w:rsidR="00462582" w:rsidRPr="00BA2046" w:rsidTr="00462582">
        <w:tc>
          <w:tcPr>
            <w:tcW w:w="1726"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left"/>
              <w:rPr>
                <w:rFonts w:hAnsi="標楷體"/>
                <w:sz w:val="20"/>
                <w:szCs w:val="20"/>
              </w:rPr>
            </w:pPr>
            <w:r w:rsidRPr="00BA2046">
              <w:rPr>
                <w:rFonts w:hAnsi="標楷體" w:hint="eastAsia"/>
                <w:sz w:val="20"/>
                <w:szCs w:val="20"/>
              </w:rPr>
              <w:t>合計</w:t>
            </w:r>
          </w:p>
        </w:tc>
        <w:tc>
          <w:tcPr>
            <w:tcW w:w="480"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widowControl/>
              <w:overflowPunct/>
              <w:autoSpaceDE/>
              <w:spacing w:line="240" w:lineRule="exact"/>
              <w:jc w:val="center"/>
              <w:rPr>
                <w:rFonts w:ascii="Times New Roman" w:eastAsia="新細明體"/>
                <w:sz w:val="20"/>
                <w:szCs w:val="20"/>
              </w:rPr>
            </w:pPr>
            <w:r w:rsidRPr="00BA2046">
              <w:rPr>
                <w:rFonts w:ascii="Times New Roman" w:eastAsia="新細明體"/>
                <w:sz w:val="20"/>
                <w:szCs w:val="20"/>
              </w:rPr>
              <w:t xml:space="preserve">   37 </w:t>
            </w:r>
          </w:p>
        </w:tc>
        <w:tc>
          <w:tcPr>
            <w:tcW w:w="807"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center"/>
              <w:rPr>
                <w:rFonts w:ascii="Times New Roman" w:eastAsia="新細明體"/>
                <w:sz w:val="20"/>
                <w:szCs w:val="20"/>
              </w:rPr>
            </w:pPr>
            <w:r w:rsidRPr="00BA2046">
              <w:rPr>
                <w:rFonts w:ascii="Times New Roman" w:eastAsia="新細明體"/>
                <w:sz w:val="20"/>
                <w:szCs w:val="20"/>
              </w:rPr>
              <w:t xml:space="preserve">  2,003 </w:t>
            </w:r>
          </w:p>
        </w:tc>
        <w:tc>
          <w:tcPr>
            <w:tcW w:w="864"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center"/>
              <w:rPr>
                <w:rFonts w:ascii="Times New Roman" w:eastAsia="新細明體"/>
                <w:sz w:val="20"/>
                <w:szCs w:val="20"/>
              </w:rPr>
            </w:pPr>
            <w:r w:rsidRPr="00BA2046">
              <w:rPr>
                <w:rFonts w:ascii="Times New Roman" w:eastAsia="新細明體"/>
                <w:sz w:val="20"/>
                <w:szCs w:val="20"/>
              </w:rPr>
              <w:t>1.8%</w:t>
            </w:r>
          </w:p>
        </w:tc>
        <w:tc>
          <w:tcPr>
            <w:tcW w:w="480"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widowControl/>
              <w:overflowPunct/>
              <w:autoSpaceDE/>
              <w:spacing w:line="240" w:lineRule="exact"/>
              <w:jc w:val="center"/>
              <w:rPr>
                <w:rFonts w:ascii="Times New Roman" w:eastAsia="新細明體"/>
                <w:sz w:val="20"/>
                <w:szCs w:val="20"/>
              </w:rPr>
            </w:pPr>
            <w:r w:rsidRPr="00BA2046">
              <w:rPr>
                <w:rFonts w:ascii="Times New Roman" w:eastAsia="新細明體"/>
                <w:sz w:val="20"/>
                <w:szCs w:val="20"/>
              </w:rPr>
              <w:t xml:space="preserve">   40 </w:t>
            </w:r>
          </w:p>
        </w:tc>
        <w:tc>
          <w:tcPr>
            <w:tcW w:w="807"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center"/>
              <w:rPr>
                <w:rFonts w:ascii="Times New Roman" w:eastAsia="新細明體"/>
                <w:sz w:val="20"/>
                <w:szCs w:val="20"/>
              </w:rPr>
            </w:pPr>
            <w:r w:rsidRPr="00BA2046">
              <w:rPr>
                <w:rFonts w:ascii="Times New Roman" w:eastAsia="新細明體"/>
                <w:sz w:val="20"/>
                <w:szCs w:val="20"/>
              </w:rPr>
              <w:t xml:space="preserve">    1,977 </w:t>
            </w:r>
          </w:p>
        </w:tc>
        <w:tc>
          <w:tcPr>
            <w:tcW w:w="864"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center"/>
              <w:rPr>
                <w:rFonts w:ascii="Times New Roman" w:eastAsia="新細明體"/>
                <w:sz w:val="20"/>
                <w:szCs w:val="20"/>
              </w:rPr>
            </w:pPr>
            <w:r w:rsidRPr="00BA2046">
              <w:rPr>
                <w:rFonts w:ascii="Times New Roman" w:eastAsia="新細明體"/>
                <w:sz w:val="20"/>
                <w:szCs w:val="20"/>
              </w:rPr>
              <w:t>2.0%</w:t>
            </w:r>
          </w:p>
        </w:tc>
        <w:tc>
          <w:tcPr>
            <w:tcW w:w="480"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widowControl/>
              <w:overflowPunct/>
              <w:autoSpaceDE/>
              <w:spacing w:line="240" w:lineRule="exact"/>
              <w:jc w:val="center"/>
              <w:rPr>
                <w:rFonts w:ascii="Times New Roman" w:eastAsia="新細明體"/>
                <w:sz w:val="20"/>
                <w:szCs w:val="20"/>
              </w:rPr>
            </w:pPr>
            <w:r w:rsidRPr="00BA2046">
              <w:rPr>
                <w:rFonts w:ascii="Times New Roman" w:eastAsia="新細明體"/>
                <w:sz w:val="20"/>
                <w:szCs w:val="20"/>
              </w:rPr>
              <w:t xml:space="preserve">   48 </w:t>
            </w:r>
          </w:p>
        </w:tc>
        <w:tc>
          <w:tcPr>
            <w:tcW w:w="807"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center"/>
              <w:rPr>
                <w:rFonts w:ascii="Times New Roman" w:eastAsia="新細明體"/>
                <w:sz w:val="20"/>
                <w:szCs w:val="20"/>
              </w:rPr>
            </w:pPr>
            <w:r w:rsidRPr="00BA2046">
              <w:rPr>
                <w:rFonts w:ascii="Times New Roman" w:eastAsia="新細明體"/>
                <w:sz w:val="20"/>
                <w:szCs w:val="20"/>
              </w:rPr>
              <w:t xml:space="preserve">  2,020 </w:t>
            </w:r>
          </w:p>
        </w:tc>
        <w:tc>
          <w:tcPr>
            <w:tcW w:w="864"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center"/>
              <w:rPr>
                <w:rFonts w:ascii="Times New Roman" w:eastAsia="新細明體"/>
                <w:sz w:val="20"/>
                <w:szCs w:val="20"/>
              </w:rPr>
            </w:pPr>
            <w:r w:rsidRPr="00BA2046">
              <w:rPr>
                <w:rFonts w:ascii="Times New Roman" w:eastAsia="新細明體"/>
                <w:sz w:val="20"/>
                <w:szCs w:val="20"/>
              </w:rPr>
              <w:t>2.4%</w:t>
            </w:r>
          </w:p>
        </w:tc>
        <w:tc>
          <w:tcPr>
            <w:tcW w:w="480"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widowControl/>
              <w:overflowPunct/>
              <w:autoSpaceDE/>
              <w:spacing w:line="240" w:lineRule="exact"/>
              <w:jc w:val="center"/>
              <w:rPr>
                <w:rFonts w:ascii="Times New Roman" w:eastAsia="新細明體"/>
                <w:sz w:val="20"/>
                <w:szCs w:val="20"/>
              </w:rPr>
            </w:pPr>
            <w:r w:rsidRPr="00BA2046">
              <w:rPr>
                <w:rFonts w:ascii="Times New Roman" w:eastAsia="新細明體"/>
                <w:sz w:val="20"/>
                <w:szCs w:val="20"/>
              </w:rPr>
              <w:t xml:space="preserve">   43 </w:t>
            </w:r>
          </w:p>
        </w:tc>
        <w:tc>
          <w:tcPr>
            <w:tcW w:w="807"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center"/>
              <w:rPr>
                <w:rFonts w:ascii="Times New Roman" w:eastAsia="新細明體"/>
                <w:sz w:val="20"/>
                <w:szCs w:val="20"/>
              </w:rPr>
            </w:pPr>
            <w:r w:rsidRPr="00BA2046">
              <w:rPr>
                <w:rFonts w:ascii="Times New Roman" w:eastAsia="新細明體"/>
                <w:sz w:val="20"/>
                <w:szCs w:val="20"/>
              </w:rPr>
              <w:t xml:space="preserve">   2,014 </w:t>
            </w:r>
          </w:p>
        </w:tc>
        <w:tc>
          <w:tcPr>
            <w:tcW w:w="864" w:type="dxa"/>
            <w:tcBorders>
              <w:top w:val="single" w:sz="4" w:space="0" w:color="auto"/>
              <w:left w:val="single" w:sz="4" w:space="0" w:color="auto"/>
              <w:bottom w:val="single" w:sz="4" w:space="0" w:color="auto"/>
              <w:right w:val="single" w:sz="4" w:space="0" w:color="auto"/>
            </w:tcBorders>
            <w:vAlign w:val="center"/>
            <w:hideMark/>
          </w:tcPr>
          <w:p w:rsidR="00462582" w:rsidRPr="00BA2046" w:rsidRDefault="00462582" w:rsidP="000020CC">
            <w:pPr>
              <w:overflowPunct/>
              <w:autoSpaceDE/>
              <w:spacing w:line="240" w:lineRule="exact"/>
              <w:jc w:val="right"/>
              <w:rPr>
                <w:rFonts w:ascii="Times New Roman" w:eastAsia="新細明體"/>
                <w:sz w:val="20"/>
                <w:szCs w:val="20"/>
              </w:rPr>
            </w:pPr>
            <w:r w:rsidRPr="00BA2046">
              <w:rPr>
                <w:rFonts w:ascii="Times New Roman" w:eastAsia="新細明體"/>
                <w:sz w:val="20"/>
                <w:szCs w:val="20"/>
              </w:rPr>
              <w:t>2.1%</w:t>
            </w:r>
          </w:p>
        </w:tc>
      </w:tr>
    </w:tbl>
    <w:p w:rsidR="00462582" w:rsidRDefault="00462582" w:rsidP="00462582">
      <w:pPr>
        <w:ind w:leftChars="-166" w:left="2" w:hangingChars="218" w:hanging="567"/>
        <w:rPr>
          <w:kern w:val="32"/>
          <w:sz w:val="24"/>
          <w:szCs w:val="24"/>
        </w:rPr>
      </w:pPr>
      <w:r w:rsidRPr="00BA2046">
        <w:rPr>
          <w:rFonts w:hint="eastAsia"/>
          <w:kern w:val="32"/>
          <w:sz w:val="24"/>
          <w:szCs w:val="24"/>
        </w:rPr>
        <w:t>資料來源：司法院。</w:t>
      </w:r>
    </w:p>
    <w:sectPr w:rsidR="00462582"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0D4" w:rsidRDefault="006F10D4">
      <w:r>
        <w:separator/>
      </w:r>
    </w:p>
  </w:endnote>
  <w:endnote w:type="continuationSeparator" w:id="0">
    <w:p w:rsidR="006F10D4" w:rsidRDefault="006F1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081" w:rsidRDefault="00877081">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F26D2D">
      <w:rPr>
        <w:rStyle w:val="ae"/>
        <w:noProof/>
        <w:sz w:val="24"/>
      </w:rPr>
      <w:t>34</w:t>
    </w:r>
    <w:r>
      <w:rPr>
        <w:rStyle w:val="ae"/>
        <w:sz w:val="24"/>
      </w:rPr>
      <w:fldChar w:fldCharType="end"/>
    </w:r>
  </w:p>
  <w:p w:rsidR="00877081" w:rsidRDefault="0087708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0D4" w:rsidRDefault="006F10D4">
      <w:r>
        <w:separator/>
      </w:r>
    </w:p>
  </w:footnote>
  <w:footnote w:type="continuationSeparator" w:id="0">
    <w:p w:rsidR="006F10D4" w:rsidRDefault="006F10D4">
      <w:r>
        <w:continuationSeparator/>
      </w:r>
    </w:p>
  </w:footnote>
  <w:footnote w:id="1">
    <w:p w:rsidR="00877081" w:rsidRPr="00872B78" w:rsidRDefault="00877081">
      <w:pPr>
        <w:pStyle w:val="aff1"/>
      </w:pPr>
      <w:r>
        <w:rPr>
          <w:rStyle w:val="aff3"/>
        </w:rPr>
        <w:footnoteRef/>
      </w:r>
      <w:r>
        <w:t xml:space="preserve"> </w:t>
      </w:r>
      <w:r>
        <w:rPr>
          <w:rStyle w:val="article-contentauthor"/>
          <w:rFonts w:hint="eastAsia"/>
          <w:kern w:val="0"/>
        </w:rPr>
        <w:t>記者</w:t>
      </w:r>
      <w:hyperlink r:id="rId1" w:history="1">
        <w:r w:rsidRPr="00872B78">
          <w:rPr>
            <w:rStyle w:val="article-contentauthor"/>
            <w:rFonts w:hint="eastAsia"/>
          </w:rPr>
          <w:t>王宏舜</w:t>
        </w:r>
      </w:hyperlink>
      <w:r>
        <w:rPr>
          <w:rStyle w:val="article-contentauthor"/>
          <w:rFonts w:hint="eastAsia"/>
        </w:rPr>
        <w:t>，</w:t>
      </w:r>
      <w:r>
        <w:rPr>
          <w:kern w:val="0"/>
        </w:rPr>
        <w:t>109</w:t>
      </w:r>
      <w:r>
        <w:rPr>
          <w:rFonts w:hint="eastAsia"/>
          <w:kern w:val="0"/>
        </w:rPr>
        <w:t>年</w:t>
      </w:r>
      <w:r>
        <w:rPr>
          <w:kern w:val="0"/>
        </w:rPr>
        <w:t>5</w:t>
      </w:r>
      <w:r>
        <w:rPr>
          <w:rFonts w:hint="eastAsia"/>
          <w:kern w:val="0"/>
        </w:rPr>
        <w:t>月</w:t>
      </w:r>
      <w:r>
        <w:rPr>
          <w:kern w:val="0"/>
        </w:rPr>
        <w:t>28</w:t>
      </w:r>
      <w:r>
        <w:rPr>
          <w:rFonts w:hint="eastAsia"/>
          <w:kern w:val="0"/>
        </w:rPr>
        <w:t>日，</w:t>
      </w:r>
      <w:r>
        <w:rPr>
          <w:rStyle w:val="article-contentauthor"/>
          <w:rFonts w:hint="eastAsia"/>
          <w:kern w:val="0"/>
        </w:rPr>
        <w:t>聯合報，</w:t>
      </w:r>
      <w:r>
        <w:rPr>
          <w:rStyle w:val="btn"/>
          <w:rFonts w:hAnsi="標楷體" w:hint="eastAsia"/>
          <w:kern w:val="0"/>
          <w:sz w:val="23"/>
          <w:szCs w:val="23"/>
        </w:rPr>
        <w:t>&lt;</w:t>
      </w:r>
      <w:r>
        <w:rPr>
          <w:rFonts w:hint="eastAsia"/>
          <w:kern w:val="0"/>
        </w:rPr>
        <w:t>法官老爸關說肇逃判無罪</w:t>
      </w:r>
      <w:r>
        <w:rPr>
          <w:kern w:val="0"/>
        </w:rPr>
        <w:t xml:space="preserve"> </w:t>
      </w:r>
      <w:r>
        <w:rPr>
          <w:rFonts w:hint="eastAsia"/>
          <w:kern w:val="0"/>
        </w:rPr>
        <w:t>再審恐翻案他撤上訴</w:t>
      </w:r>
      <w:r>
        <w:rPr>
          <w:rFonts w:hAnsi="標楷體" w:hint="eastAsia"/>
          <w:kern w:val="0"/>
        </w:rPr>
        <w:t>&gt;</w:t>
      </w:r>
    </w:p>
  </w:footnote>
  <w:footnote w:id="2">
    <w:p w:rsidR="00877081" w:rsidRDefault="00877081" w:rsidP="00CC6CA5">
      <w:pPr>
        <w:pStyle w:val="aff1"/>
      </w:pPr>
      <w:r>
        <w:rPr>
          <w:rStyle w:val="aff3"/>
        </w:rPr>
        <w:footnoteRef/>
      </w:r>
      <w:r>
        <w:rPr>
          <w:rFonts w:hint="eastAsia"/>
        </w:rPr>
        <w:t xml:space="preserve"> </w:t>
      </w:r>
      <w:r>
        <w:rPr>
          <w:rFonts w:hAnsi="標楷體" w:hint="eastAsia"/>
        </w:rPr>
        <w:t>Lobby：</w:t>
      </w:r>
      <w:r>
        <w:rPr>
          <w:rFonts w:hAnsi="標楷體" w:hint="eastAsia"/>
          <w:color w:val="000000"/>
          <w:sz w:val="23"/>
          <w:szCs w:val="23"/>
          <w:shd w:val="clear" w:color="auto" w:fill="FFFFFF"/>
        </w:rPr>
        <w:t>為影響議員的決定而經常到議會大廳，向議員遊說、施壓及關說。</w:t>
      </w:r>
    </w:p>
  </w:footnote>
  <w:footnote w:id="3">
    <w:p w:rsidR="00877081" w:rsidRPr="006D60F9" w:rsidRDefault="00877081" w:rsidP="006D60F9">
      <w:pPr>
        <w:pStyle w:val="aff1"/>
        <w:jc w:val="both"/>
        <w:rPr>
          <w:rStyle w:val="ArialUnicodeMS"/>
          <w:rFonts w:ascii="標楷體" w:eastAsia="標楷體" w:hAnsi="標楷體" w:cs="微軟正黑體"/>
          <w:color w:val="auto"/>
          <w:sz w:val="20"/>
          <w:szCs w:val="20"/>
        </w:rPr>
      </w:pPr>
      <w:r>
        <w:rPr>
          <w:rStyle w:val="aff3"/>
        </w:rPr>
        <w:footnoteRef/>
      </w:r>
      <w:r>
        <w:t xml:space="preserve"> </w:t>
      </w:r>
      <w:hyperlink r:id="rId2" w:history="1">
        <w:r w:rsidRPr="006D60F9">
          <w:rPr>
            <w:rStyle w:val="af1"/>
            <w:rFonts w:hAnsi="標楷體"/>
            <w:color w:val="auto"/>
            <w:u w:val="none"/>
          </w:rPr>
          <w:t>黃錦嵐</w:t>
        </w:r>
      </w:hyperlink>
      <w:r w:rsidRPr="006D60F9">
        <w:rPr>
          <w:rFonts w:hAnsi="標楷體" w:hint="eastAsia"/>
        </w:rPr>
        <w:t>，</w:t>
      </w:r>
      <w:r w:rsidRPr="006D60F9">
        <w:rPr>
          <w:rStyle w:val="230"/>
          <w:rFonts w:ascii="標楷體" w:eastAsia="標楷體" w:hAnsi="標楷體"/>
          <w:color w:val="auto"/>
          <w:lang w:eastAsia="ja-JP"/>
        </w:rPr>
        <w:t>109</w:t>
      </w:r>
      <w:r w:rsidRPr="006D60F9">
        <w:rPr>
          <w:rStyle w:val="ArialUnicodeMS"/>
          <w:rFonts w:ascii="標楷體" w:eastAsia="標楷體" w:hAnsi="標楷體" w:cs="微軟正黑體" w:hint="eastAsia"/>
          <w:color w:val="auto"/>
          <w:sz w:val="20"/>
          <w:szCs w:val="20"/>
        </w:rPr>
        <w:t>年</w:t>
      </w:r>
      <w:r w:rsidRPr="006D60F9">
        <w:rPr>
          <w:rStyle w:val="230"/>
          <w:rFonts w:ascii="標楷體" w:eastAsia="標楷體" w:hAnsi="標楷體"/>
          <w:color w:val="auto"/>
        </w:rPr>
        <w:t>1</w:t>
      </w:r>
      <w:r w:rsidRPr="006D60F9">
        <w:rPr>
          <w:rStyle w:val="ArialUnicodeMS"/>
          <w:rFonts w:ascii="標楷體" w:eastAsia="標楷體" w:hAnsi="標楷體" w:cs="微軟正黑體" w:hint="eastAsia"/>
          <w:color w:val="auto"/>
          <w:sz w:val="20"/>
          <w:szCs w:val="20"/>
        </w:rPr>
        <w:t>月</w:t>
      </w:r>
      <w:r w:rsidRPr="006D60F9">
        <w:rPr>
          <w:rStyle w:val="230"/>
          <w:rFonts w:ascii="標楷體" w:eastAsia="標楷體" w:hAnsi="標楷體"/>
          <w:color w:val="auto"/>
        </w:rPr>
        <w:t>14</w:t>
      </w:r>
      <w:r w:rsidRPr="006D60F9">
        <w:rPr>
          <w:rStyle w:val="ArialUnicodeMS"/>
          <w:rFonts w:ascii="標楷體" w:eastAsia="標楷體" w:hAnsi="標楷體" w:cs="微軟正黑體" w:hint="eastAsia"/>
          <w:color w:val="auto"/>
          <w:sz w:val="20"/>
          <w:szCs w:val="20"/>
        </w:rPr>
        <w:t>日，上報/評論，&lt;</w:t>
      </w:r>
      <w:bookmarkStart w:id="50" w:name="bookmark4"/>
      <w:r w:rsidRPr="006D60F9">
        <w:rPr>
          <w:rStyle w:val="ArialUnicodeMS"/>
          <w:rFonts w:ascii="標楷體" w:eastAsia="標楷體" w:hAnsi="標楷體" w:cs="微軟正黑體"/>
          <w:color w:val="auto"/>
          <w:sz w:val="20"/>
          <w:szCs w:val="20"/>
        </w:rPr>
        <w:t>仍活在刑事訴訟舊制時代的法官司法院該怎麼辦</w:t>
      </w:r>
      <w:bookmarkEnd w:id="50"/>
      <w:r w:rsidRPr="006D60F9">
        <w:rPr>
          <w:rStyle w:val="ArialUnicodeMS"/>
          <w:rFonts w:ascii="標楷體" w:eastAsia="標楷體" w:hAnsi="標楷體" w:cs="微軟正黑體" w:hint="eastAsia"/>
          <w:color w:val="auto"/>
          <w:sz w:val="20"/>
          <w:szCs w:val="20"/>
        </w:rPr>
        <w:t>&gt;</w:t>
      </w:r>
      <w:r>
        <w:rPr>
          <w:rStyle w:val="ArialUnicodeMS"/>
          <w:rFonts w:ascii="標楷體" w:eastAsia="標楷體" w:hAnsi="標楷體" w:cs="微軟正黑體" w:hint="eastAsia"/>
          <w:color w:val="auto"/>
          <w:sz w:val="20"/>
          <w:szCs w:val="20"/>
        </w:rPr>
        <w:t>。</w:t>
      </w:r>
    </w:p>
  </w:footnote>
  <w:footnote w:id="4">
    <w:p w:rsidR="00877081" w:rsidRDefault="00877081">
      <w:pPr>
        <w:pStyle w:val="aff1"/>
      </w:pPr>
      <w:r>
        <w:rPr>
          <w:rStyle w:val="aff3"/>
        </w:rPr>
        <w:footnoteRef/>
      </w:r>
      <w:r>
        <w:t xml:space="preserve"> </w:t>
      </w:r>
      <w:hyperlink r:id="rId3" w:history="1">
        <w:r w:rsidRPr="00B27714">
          <w:rPr>
            <w:rStyle w:val="ArialUnicodeMS"/>
            <w:rFonts w:ascii="標楷體" w:eastAsia="標楷體" w:hAnsi="標楷體" w:cs="微軟正黑體" w:hint="eastAsia"/>
            <w:color w:val="auto"/>
            <w:sz w:val="20"/>
            <w:szCs w:val="20"/>
          </w:rPr>
          <w:t>黃錦嵐</w:t>
        </w:r>
      </w:hyperlink>
      <w:r w:rsidRPr="00B27714">
        <w:rPr>
          <w:rStyle w:val="ArialUnicodeMS"/>
          <w:rFonts w:ascii="標楷體" w:eastAsia="標楷體" w:hAnsi="標楷體" w:cs="微軟正黑體" w:hint="eastAsia"/>
          <w:color w:val="auto"/>
          <w:sz w:val="20"/>
          <w:szCs w:val="20"/>
        </w:rPr>
        <w:t>，109年</w:t>
      </w:r>
      <w:r w:rsidRPr="00B27714">
        <w:rPr>
          <w:rStyle w:val="ArialUnicodeMS"/>
          <w:rFonts w:ascii="標楷體" w:eastAsia="標楷體" w:hAnsi="標楷體" w:cs="微軟正黑體"/>
          <w:color w:val="auto"/>
          <w:sz w:val="20"/>
          <w:szCs w:val="20"/>
        </w:rPr>
        <w:t>2</w:t>
      </w:r>
      <w:r w:rsidRPr="00B27714">
        <w:rPr>
          <w:rStyle w:val="ArialUnicodeMS"/>
          <w:rFonts w:ascii="標楷體" w:eastAsia="標楷體" w:hAnsi="標楷體" w:cs="微軟正黑體" w:hint="eastAsia"/>
          <w:color w:val="auto"/>
          <w:sz w:val="20"/>
          <w:szCs w:val="20"/>
        </w:rPr>
        <w:t>月</w:t>
      </w:r>
      <w:r w:rsidRPr="00B27714">
        <w:rPr>
          <w:rStyle w:val="ArialUnicodeMS"/>
          <w:rFonts w:ascii="標楷體" w:eastAsia="標楷體" w:hAnsi="標楷體" w:cs="微軟正黑體"/>
          <w:color w:val="auto"/>
          <w:sz w:val="20"/>
          <w:szCs w:val="20"/>
        </w:rPr>
        <w:t>26</w:t>
      </w:r>
      <w:r w:rsidRPr="00B27714">
        <w:rPr>
          <w:rStyle w:val="ArialUnicodeMS"/>
          <w:rFonts w:ascii="標楷體" w:eastAsia="標楷體" w:hAnsi="標楷體" w:cs="微軟正黑體" w:hint="eastAsia"/>
          <w:color w:val="auto"/>
          <w:sz w:val="20"/>
          <w:szCs w:val="20"/>
        </w:rPr>
        <w:t>日，上報/評論，&lt;</w:t>
      </w:r>
      <w:bookmarkStart w:id="51" w:name="bookmark0"/>
      <w:r w:rsidRPr="00B27714">
        <w:rPr>
          <w:rStyle w:val="ArialUnicodeMS"/>
          <w:rFonts w:ascii="標楷體" w:eastAsia="標楷體" w:hAnsi="標楷體" w:cs="微軟正黑體"/>
          <w:color w:val="auto"/>
          <w:sz w:val="20"/>
          <w:szCs w:val="20"/>
        </w:rPr>
        <w:t>司法烏龍檔案一司法院該如何處理落伍掉隊的庭長法官</w:t>
      </w:r>
      <w:bookmarkEnd w:id="51"/>
      <w:r w:rsidRPr="00B27714">
        <w:rPr>
          <w:rStyle w:val="ArialUnicodeMS"/>
          <w:rFonts w:ascii="標楷體" w:eastAsia="標楷體" w:hAnsi="標楷體" w:cs="微軟正黑體" w:hint="eastAsia"/>
          <w:color w:val="auto"/>
          <w:sz w:val="20"/>
          <w:szCs w:val="20"/>
        </w:rPr>
        <w:t>&gt;。</w:t>
      </w:r>
    </w:p>
  </w:footnote>
  <w:footnote w:id="5">
    <w:p w:rsidR="00877081" w:rsidRDefault="00877081">
      <w:pPr>
        <w:pStyle w:val="aff1"/>
      </w:pPr>
      <w:r>
        <w:rPr>
          <w:rStyle w:val="aff3"/>
        </w:rPr>
        <w:footnoteRef/>
      </w:r>
      <w:r>
        <w:t xml:space="preserve"> </w:t>
      </w:r>
      <w:hyperlink r:id="rId4" w:history="1">
        <w:r w:rsidRPr="005F702E">
          <w:rPr>
            <w:rStyle w:val="af1"/>
            <w:rFonts w:hAnsi="標楷體" w:cs="微軟正黑體" w:hint="eastAsia"/>
            <w:color w:val="auto"/>
            <w:u w:val="none"/>
            <w:shd w:val="clear" w:color="auto" w:fill="FFFFFF"/>
          </w:rPr>
          <w:t>黃錦嵐</w:t>
        </w:r>
      </w:hyperlink>
      <w:r w:rsidRPr="005F702E">
        <w:rPr>
          <w:rStyle w:val="ArialUnicodeMS"/>
          <w:rFonts w:ascii="標楷體" w:eastAsia="標楷體" w:hAnsi="標楷體" w:cs="微軟正黑體" w:hint="eastAsia"/>
          <w:color w:val="auto"/>
          <w:sz w:val="20"/>
          <w:szCs w:val="20"/>
        </w:rPr>
        <w:t>，</w:t>
      </w:r>
      <w:r w:rsidRPr="005F702E">
        <w:rPr>
          <w:rStyle w:val="ArialUnicodeMS"/>
          <w:rFonts w:ascii="標楷體" w:eastAsia="標楷體" w:hAnsi="標楷體" w:cs="微軟正黑體" w:hint="eastAsia"/>
          <w:color w:val="auto"/>
          <w:sz w:val="20"/>
          <w:szCs w:val="20"/>
          <w:lang w:eastAsia="ja-JP"/>
        </w:rPr>
        <w:t>109</w:t>
      </w:r>
      <w:r w:rsidRPr="005F702E">
        <w:rPr>
          <w:rStyle w:val="ArialUnicodeMS"/>
          <w:rFonts w:ascii="標楷體" w:eastAsia="標楷體" w:hAnsi="標楷體" w:cs="微軟正黑體" w:hint="eastAsia"/>
          <w:color w:val="auto"/>
          <w:sz w:val="20"/>
          <w:szCs w:val="20"/>
        </w:rPr>
        <w:t>年</w:t>
      </w:r>
      <w:r w:rsidRPr="005F702E">
        <w:rPr>
          <w:rStyle w:val="ArialUnicodeMS"/>
          <w:rFonts w:ascii="標楷體" w:eastAsia="標楷體" w:hAnsi="標楷體" w:cs="微軟正黑體" w:hint="eastAsia"/>
          <w:color w:val="auto"/>
          <w:sz w:val="20"/>
          <w:szCs w:val="20"/>
          <w:lang w:eastAsia="ja-JP"/>
        </w:rPr>
        <w:t>2</w:t>
      </w:r>
      <w:r w:rsidRPr="005F702E">
        <w:rPr>
          <w:rStyle w:val="ArialUnicodeMS"/>
          <w:rFonts w:ascii="標楷體" w:eastAsia="標楷體" w:hAnsi="標楷體" w:cs="微軟正黑體" w:hint="eastAsia"/>
          <w:color w:val="auto"/>
          <w:sz w:val="20"/>
          <w:szCs w:val="20"/>
        </w:rPr>
        <w:t>月</w:t>
      </w:r>
      <w:r w:rsidRPr="005F702E">
        <w:rPr>
          <w:rStyle w:val="ArialUnicodeMS"/>
          <w:rFonts w:ascii="標楷體" w:eastAsia="標楷體" w:hAnsi="標楷體" w:cs="微軟正黑體" w:hint="eastAsia"/>
          <w:color w:val="auto"/>
          <w:sz w:val="20"/>
          <w:szCs w:val="20"/>
          <w:lang w:eastAsia="ja-JP"/>
        </w:rPr>
        <w:t>26</w:t>
      </w:r>
      <w:r w:rsidRPr="005F702E">
        <w:rPr>
          <w:rStyle w:val="ArialUnicodeMS"/>
          <w:rFonts w:ascii="標楷體" w:eastAsia="標楷體" w:hAnsi="標楷體" w:cs="微軟正黑體" w:hint="eastAsia"/>
          <w:color w:val="auto"/>
          <w:sz w:val="20"/>
          <w:szCs w:val="20"/>
        </w:rPr>
        <w:t>日，上報</w:t>
      </w:r>
      <w:r w:rsidRPr="005F702E">
        <w:rPr>
          <w:rStyle w:val="ArialUnicodeMS"/>
          <w:rFonts w:ascii="標楷體" w:eastAsia="標楷體" w:hAnsi="標楷體" w:cs="微軟正黑體" w:hint="eastAsia"/>
          <w:color w:val="auto"/>
          <w:sz w:val="20"/>
          <w:szCs w:val="20"/>
          <w:lang w:eastAsia="ja-JP"/>
        </w:rPr>
        <w:t>/</w:t>
      </w:r>
      <w:r w:rsidRPr="005F702E">
        <w:rPr>
          <w:rStyle w:val="ArialUnicodeMS"/>
          <w:rFonts w:ascii="標楷體" w:eastAsia="標楷體" w:hAnsi="標楷體" w:cs="微軟正黑體" w:hint="eastAsia"/>
          <w:color w:val="auto"/>
          <w:sz w:val="20"/>
          <w:szCs w:val="20"/>
        </w:rPr>
        <w:t>評論，</w:t>
      </w:r>
      <w:r w:rsidRPr="005F702E">
        <w:rPr>
          <w:rStyle w:val="ArialUnicodeMS"/>
          <w:rFonts w:ascii="標楷體" w:eastAsia="標楷體" w:hAnsi="標楷體" w:cs="微軟正黑體" w:hint="eastAsia"/>
          <w:color w:val="auto"/>
          <w:sz w:val="20"/>
          <w:szCs w:val="20"/>
          <w:lang w:eastAsia="ja-JP"/>
        </w:rPr>
        <w:t>&lt;</w:t>
      </w:r>
      <w:r w:rsidRPr="005F702E">
        <w:rPr>
          <w:rStyle w:val="ArialUnicodeMS"/>
          <w:rFonts w:ascii="標楷體" w:eastAsia="標楷體" w:hAnsi="標楷體" w:cs="微軟正黑體" w:hint="eastAsia"/>
          <w:color w:val="auto"/>
          <w:sz w:val="20"/>
          <w:szCs w:val="20"/>
        </w:rPr>
        <w:t>司法烏龍檔案一司法院該如何處理落伍掉隊的庭長法官</w:t>
      </w:r>
      <w:r w:rsidRPr="005F702E">
        <w:rPr>
          <w:rStyle w:val="ArialUnicodeMS"/>
          <w:rFonts w:ascii="標楷體" w:eastAsia="標楷體" w:hAnsi="標楷體" w:cs="微軟正黑體" w:hint="eastAsia"/>
          <w:color w:val="auto"/>
          <w:sz w:val="20"/>
          <w:szCs w:val="20"/>
          <w:lang w:eastAsia="ja-JP"/>
        </w:rPr>
        <w:t>&gt;</w:t>
      </w:r>
      <w:r w:rsidRPr="005F702E">
        <w:rPr>
          <w:rStyle w:val="ArialUnicodeMS"/>
          <w:rFonts w:ascii="標楷體" w:eastAsia="標楷體" w:hAnsi="標楷體" w:cs="微軟正黑體" w:hint="eastAsia"/>
          <w:color w:val="auto"/>
          <w:sz w:val="20"/>
          <w:szCs w:val="20"/>
        </w:rPr>
        <w:t>。</w:t>
      </w:r>
    </w:p>
  </w:footnote>
  <w:footnote w:id="6">
    <w:p w:rsidR="00877081" w:rsidRDefault="00877081">
      <w:pPr>
        <w:pStyle w:val="aff1"/>
      </w:pPr>
      <w:r>
        <w:rPr>
          <w:rStyle w:val="aff3"/>
        </w:rPr>
        <w:footnoteRef/>
      </w:r>
      <w:r>
        <w:t xml:space="preserve"> </w:t>
      </w:r>
      <w:r>
        <w:rPr>
          <w:rFonts w:hint="eastAsia"/>
        </w:rPr>
        <w:t>同上。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2858"/>
        </w:tabs>
        <w:ind w:left="2113" w:hanging="695"/>
      </w:pPr>
      <w:rPr>
        <w:rFonts w:ascii="標楷體" w:eastAsia="標楷體" w:hint="eastAsia"/>
        <w:b w:val="0"/>
        <w:i w:val="0"/>
        <w:sz w:val="32"/>
      </w:rPr>
    </w:lvl>
    <w:lvl w:ilvl="1" w:tplc="04090019" w:tentative="1">
      <w:start w:val="1"/>
      <w:numFmt w:val="ideographTraditional"/>
      <w:lvlText w:val="%2、"/>
      <w:lvlJc w:val="left"/>
      <w:pPr>
        <w:tabs>
          <w:tab w:val="num" w:pos="2378"/>
        </w:tabs>
        <w:ind w:left="2378" w:hanging="480"/>
      </w:pPr>
    </w:lvl>
    <w:lvl w:ilvl="2" w:tplc="0409001B" w:tentative="1">
      <w:start w:val="1"/>
      <w:numFmt w:val="lowerRoman"/>
      <w:lvlText w:val="%3."/>
      <w:lvlJc w:val="right"/>
      <w:pPr>
        <w:tabs>
          <w:tab w:val="num" w:pos="2858"/>
        </w:tabs>
        <w:ind w:left="2858" w:hanging="480"/>
      </w:pPr>
    </w:lvl>
    <w:lvl w:ilvl="3" w:tplc="0409000F" w:tentative="1">
      <w:start w:val="1"/>
      <w:numFmt w:val="decimal"/>
      <w:lvlText w:val="%4."/>
      <w:lvlJc w:val="left"/>
      <w:pPr>
        <w:tabs>
          <w:tab w:val="num" w:pos="3338"/>
        </w:tabs>
        <w:ind w:left="3338" w:hanging="480"/>
      </w:pPr>
    </w:lvl>
    <w:lvl w:ilvl="4" w:tplc="04090019" w:tentative="1">
      <w:start w:val="1"/>
      <w:numFmt w:val="ideographTraditional"/>
      <w:lvlText w:val="%5、"/>
      <w:lvlJc w:val="left"/>
      <w:pPr>
        <w:tabs>
          <w:tab w:val="num" w:pos="3818"/>
        </w:tabs>
        <w:ind w:left="3818" w:hanging="480"/>
      </w:pPr>
    </w:lvl>
    <w:lvl w:ilvl="5" w:tplc="0409001B" w:tentative="1">
      <w:start w:val="1"/>
      <w:numFmt w:val="lowerRoman"/>
      <w:lvlText w:val="%6."/>
      <w:lvlJc w:val="right"/>
      <w:pPr>
        <w:tabs>
          <w:tab w:val="num" w:pos="4298"/>
        </w:tabs>
        <w:ind w:left="4298" w:hanging="480"/>
      </w:pPr>
    </w:lvl>
    <w:lvl w:ilvl="6" w:tplc="0409000F" w:tentative="1">
      <w:start w:val="1"/>
      <w:numFmt w:val="decimal"/>
      <w:lvlText w:val="%7."/>
      <w:lvlJc w:val="left"/>
      <w:pPr>
        <w:tabs>
          <w:tab w:val="num" w:pos="4778"/>
        </w:tabs>
        <w:ind w:left="4778" w:hanging="480"/>
      </w:pPr>
    </w:lvl>
    <w:lvl w:ilvl="7" w:tplc="04090019" w:tentative="1">
      <w:start w:val="1"/>
      <w:numFmt w:val="ideographTraditional"/>
      <w:lvlText w:val="%8、"/>
      <w:lvlJc w:val="left"/>
      <w:pPr>
        <w:tabs>
          <w:tab w:val="num" w:pos="5258"/>
        </w:tabs>
        <w:ind w:left="5258" w:hanging="480"/>
      </w:pPr>
    </w:lvl>
    <w:lvl w:ilvl="8" w:tplc="0409001B" w:tentative="1">
      <w:start w:val="1"/>
      <w:numFmt w:val="lowerRoman"/>
      <w:lvlText w:val="%9."/>
      <w:lvlJc w:val="right"/>
      <w:pPr>
        <w:tabs>
          <w:tab w:val="num" w:pos="5738"/>
        </w:tabs>
        <w:ind w:left="5738" w:hanging="480"/>
      </w:pPr>
    </w:lvl>
  </w:abstractNum>
  <w:abstractNum w:abstractNumId="1" w15:restartNumberingAfterBreak="0">
    <w:nsid w:val="140E010C"/>
    <w:multiLevelType w:val="multilevel"/>
    <w:tmpl w:val="67360E7C"/>
    <w:lvl w:ilvl="0">
      <w:start w:val="1"/>
      <w:numFmt w:val="ideographLegalTraditional"/>
      <w:pStyle w:val="1"/>
      <w:suff w:val="nothing"/>
      <w:lvlText w:val="%1、"/>
      <w:lvlJc w:val="left"/>
      <w:pPr>
        <w:ind w:left="309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39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4084"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6606"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970"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7230"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D40C6D34"/>
    <w:lvl w:ilvl="0" w:tplc="CA18AAE4">
      <w:start w:val="1"/>
      <w:numFmt w:val="taiwaneseCountingThousand"/>
      <w:pStyle w:val="a0"/>
      <w:lvlText w:val="附表%1、"/>
      <w:lvlJc w:val="left"/>
      <w:pPr>
        <w:tabs>
          <w:tab w:val="num" w:pos="1440"/>
        </w:tabs>
        <w:ind w:left="695" w:hanging="695"/>
      </w:pPr>
      <w:rPr>
        <w:rFonts w:ascii="標楷體" w:eastAsia="標楷體" w:hint="eastAsia"/>
        <w:b w:val="0"/>
        <w:i w:val="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0A20AB1A"/>
    <w:lvl w:ilvl="0" w:tplc="95DE02DA">
      <w:start w:val="1"/>
      <w:numFmt w:val="decimal"/>
      <w:pStyle w:val="a3"/>
      <w:lvlText w:val="表%1　"/>
      <w:lvlJc w:val="left"/>
      <w:pPr>
        <w:ind w:left="4450" w:hanging="480"/>
      </w:pPr>
      <w:rPr>
        <w:rFonts w:ascii="標楷體" w:eastAsia="標楷體" w:hint="eastAsia"/>
        <w:b w:val="0"/>
        <w:i w:val="0"/>
        <w:sz w:val="32"/>
        <w:szCs w:val="32"/>
        <w:lang w:val="en-US"/>
      </w:rPr>
    </w:lvl>
    <w:lvl w:ilvl="1" w:tplc="04090019">
      <w:start w:val="1"/>
      <w:numFmt w:val="ideographTraditional"/>
      <w:lvlText w:val="%2、"/>
      <w:lvlJc w:val="left"/>
      <w:pPr>
        <w:tabs>
          <w:tab w:val="num" w:pos="2803"/>
        </w:tabs>
        <w:ind w:left="2803" w:hanging="480"/>
      </w:pPr>
    </w:lvl>
    <w:lvl w:ilvl="2" w:tplc="0409001B" w:tentative="1">
      <w:start w:val="1"/>
      <w:numFmt w:val="lowerRoman"/>
      <w:lvlText w:val="%3."/>
      <w:lvlJc w:val="right"/>
      <w:pPr>
        <w:tabs>
          <w:tab w:val="num" w:pos="3283"/>
        </w:tabs>
        <w:ind w:left="3283" w:hanging="480"/>
      </w:pPr>
    </w:lvl>
    <w:lvl w:ilvl="3" w:tplc="0409000F" w:tentative="1">
      <w:start w:val="1"/>
      <w:numFmt w:val="decimal"/>
      <w:lvlText w:val="%4."/>
      <w:lvlJc w:val="left"/>
      <w:pPr>
        <w:tabs>
          <w:tab w:val="num" w:pos="3763"/>
        </w:tabs>
        <w:ind w:left="3763" w:hanging="480"/>
      </w:pPr>
    </w:lvl>
    <w:lvl w:ilvl="4" w:tplc="04090019" w:tentative="1">
      <w:start w:val="1"/>
      <w:numFmt w:val="ideographTraditional"/>
      <w:lvlText w:val="%5、"/>
      <w:lvlJc w:val="left"/>
      <w:pPr>
        <w:tabs>
          <w:tab w:val="num" w:pos="4243"/>
        </w:tabs>
        <w:ind w:left="4243" w:hanging="480"/>
      </w:pPr>
    </w:lvl>
    <w:lvl w:ilvl="5" w:tplc="0409001B" w:tentative="1">
      <w:start w:val="1"/>
      <w:numFmt w:val="lowerRoman"/>
      <w:lvlText w:val="%6."/>
      <w:lvlJc w:val="right"/>
      <w:pPr>
        <w:tabs>
          <w:tab w:val="num" w:pos="4723"/>
        </w:tabs>
        <w:ind w:left="4723" w:hanging="480"/>
      </w:pPr>
    </w:lvl>
    <w:lvl w:ilvl="6" w:tplc="0409000F" w:tentative="1">
      <w:start w:val="1"/>
      <w:numFmt w:val="decimal"/>
      <w:lvlText w:val="%7."/>
      <w:lvlJc w:val="left"/>
      <w:pPr>
        <w:tabs>
          <w:tab w:val="num" w:pos="5203"/>
        </w:tabs>
        <w:ind w:left="5203" w:hanging="480"/>
      </w:pPr>
    </w:lvl>
    <w:lvl w:ilvl="7" w:tplc="04090019" w:tentative="1">
      <w:start w:val="1"/>
      <w:numFmt w:val="ideographTraditional"/>
      <w:lvlText w:val="%8、"/>
      <w:lvlJc w:val="left"/>
      <w:pPr>
        <w:tabs>
          <w:tab w:val="num" w:pos="5683"/>
        </w:tabs>
        <w:ind w:left="5683" w:hanging="480"/>
      </w:pPr>
    </w:lvl>
    <w:lvl w:ilvl="8" w:tplc="0409001B" w:tentative="1">
      <w:start w:val="1"/>
      <w:numFmt w:val="lowerRoman"/>
      <w:lvlText w:val="%9."/>
      <w:lvlJc w:val="right"/>
      <w:pPr>
        <w:tabs>
          <w:tab w:val="num" w:pos="6163"/>
        </w:tabs>
        <w:ind w:left="6163"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1048"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111" w:hanging="480"/>
      </w:pPr>
    </w:lvl>
    <w:lvl w:ilvl="2" w:tplc="0409001B" w:tentative="1">
      <w:start w:val="1"/>
      <w:numFmt w:val="lowerRoman"/>
      <w:lvlText w:val="%3."/>
      <w:lvlJc w:val="right"/>
      <w:pPr>
        <w:ind w:left="591" w:hanging="480"/>
      </w:pPr>
    </w:lvl>
    <w:lvl w:ilvl="3" w:tplc="0409000F" w:tentative="1">
      <w:start w:val="1"/>
      <w:numFmt w:val="decimal"/>
      <w:lvlText w:val="%4."/>
      <w:lvlJc w:val="left"/>
      <w:pPr>
        <w:ind w:left="1071" w:hanging="480"/>
      </w:pPr>
    </w:lvl>
    <w:lvl w:ilvl="4" w:tplc="04090019" w:tentative="1">
      <w:start w:val="1"/>
      <w:numFmt w:val="ideographTraditional"/>
      <w:lvlText w:val="%5、"/>
      <w:lvlJc w:val="left"/>
      <w:pPr>
        <w:ind w:left="1551" w:hanging="480"/>
      </w:pPr>
    </w:lvl>
    <w:lvl w:ilvl="5" w:tplc="0409001B" w:tentative="1">
      <w:start w:val="1"/>
      <w:numFmt w:val="lowerRoman"/>
      <w:lvlText w:val="%6."/>
      <w:lvlJc w:val="right"/>
      <w:pPr>
        <w:ind w:left="2031" w:hanging="480"/>
      </w:pPr>
    </w:lvl>
    <w:lvl w:ilvl="6" w:tplc="0409000F" w:tentative="1">
      <w:start w:val="1"/>
      <w:numFmt w:val="decimal"/>
      <w:lvlText w:val="%7."/>
      <w:lvlJc w:val="left"/>
      <w:pPr>
        <w:ind w:left="2511" w:hanging="480"/>
      </w:pPr>
    </w:lvl>
    <w:lvl w:ilvl="7" w:tplc="04090019" w:tentative="1">
      <w:start w:val="1"/>
      <w:numFmt w:val="ideographTraditional"/>
      <w:lvlText w:val="%8、"/>
      <w:lvlJc w:val="left"/>
      <w:pPr>
        <w:ind w:left="2991" w:hanging="480"/>
      </w:pPr>
    </w:lvl>
    <w:lvl w:ilvl="8" w:tplc="0409001B" w:tentative="1">
      <w:start w:val="1"/>
      <w:numFmt w:val="lowerRoman"/>
      <w:lvlText w:val="%9."/>
      <w:lvlJc w:val="right"/>
      <w:pPr>
        <w:ind w:left="3471"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5"/>
  </w:num>
  <w:num w:numId="5">
    <w:abstractNumId w:val="3"/>
  </w:num>
  <w:num w:numId="6">
    <w:abstractNumId w:val="6"/>
  </w:num>
  <w:num w:numId="7">
    <w:abstractNumId w:val="1"/>
  </w:num>
  <w:num w:numId="8">
    <w:abstractNumId w:val="7"/>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0CC"/>
    <w:rsid w:val="00006961"/>
    <w:rsid w:val="000076FC"/>
    <w:rsid w:val="000112BF"/>
    <w:rsid w:val="00012233"/>
    <w:rsid w:val="0001244D"/>
    <w:rsid w:val="00013F29"/>
    <w:rsid w:val="00017318"/>
    <w:rsid w:val="000229AD"/>
    <w:rsid w:val="00024694"/>
    <w:rsid w:val="000246F7"/>
    <w:rsid w:val="0003114D"/>
    <w:rsid w:val="00031E36"/>
    <w:rsid w:val="00032C8D"/>
    <w:rsid w:val="00036D76"/>
    <w:rsid w:val="000411F9"/>
    <w:rsid w:val="00041661"/>
    <w:rsid w:val="00044F07"/>
    <w:rsid w:val="0004646C"/>
    <w:rsid w:val="00047E32"/>
    <w:rsid w:val="00050A80"/>
    <w:rsid w:val="0005127A"/>
    <w:rsid w:val="00052FA2"/>
    <w:rsid w:val="000549DF"/>
    <w:rsid w:val="00056708"/>
    <w:rsid w:val="00057F32"/>
    <w:rsid w:val="00062A25"/>
    <w:rsid w:val="00063014"/>
    <w:rsid w:val="0006494B"/>
    <w:rsid w:val="00067A8C"/>
    <w:rsid w:val="0007138B"/>
    <w:rsid w:val="00073CB5"/>
    <w:rsid w:val="0007425C"/>
    <w:rsid w:val="000759C0"/>
    <w:rsid w:val="00077553"/>
    <w:rsid w:val="0008383E"/>
    <w:rsid w:val="000843D5"/>
    <w:rsid w:val="000851A2"/>
    <w:rsid w:val="0009352E"/>
    <w:rsid w:val="00096B96"/>
    <w:rsid w:val="000A26F8"/>
    <w:rsid w:val="000A2930"/>
    <w:rsid w:val="000A2F3F"/>
    <w:rsid w:val="000A372B"/>
    <w:rsid w:val="000A4835"/>
    <w:rsid w:val="000A4927"/>
    <w:rsid w:val="000B0B4A"/>
    <w:rsid w:val="000B279A"/>
    <w:rsid w:val="000B61D2"/>
    <w:rsid w:val="000B70A7"/>
    <w:rsid w:val="000B73DD"/>
    <w:rsid w:val="000C3160"/>
    <w:rsid w:val="000C495F"/>
    <w:rsid w:val="000C57AB"/>
    <w:rsid w:val="000D004B"/>
    <w:rsid w:val="000D0120"/>
    <w:rsid w:val="000D0C31"/>
    <w:rsid w:val="000D3E4C"/>
    <w:rsid w:val="000D610E"/>
    <w:rsid w:val="000D66D9"/>
    <w:rsid w:val="000E2958"/>
    <w:rsid w:val="000E6431"/>
    <w:rsid w:val="000E7736"/>
    <w:rsid w:val="000E7ACC"/>
    <w:rsid w:val="000E7AF2"/>
    <w:rsid w:val="000F00CD"/>
    <w:rsid w:val="000F21A5"/>
    <w:rsid w:val="000F6DEC"/>
    <w:rsid w:val="00102B9F"/>
    <w:rsid w:val="001042D0"/>
    <w:rsid w:val="00105903"/>
    <w:rsid w:val="00110B8A"/>
    <w:rsid w:val="00111572"/>
    <w:rsid w:val="00112371"/>
    <w:rsid w:val="00112637"/>
    <w:rsid w:val="00112ABC"/>
    <w:rsid w:val="00116317"/>
    <w:rsid w:val="0012001E"/>
    <w:rsid w:val="001221FB"/>
    <w:rsid w:val="00123D8F"/>
    <w:rsid w:val="00124773"/>
    <w:rsid w:val="00125F91"/>
    <w:rsid w:val="00126A55"/>
    <w:rsid w:val="00133AB0"/>
    <w:rsid w:val="00133F08"/>
    <w:rsid w:val="001345E6"/>
    <w:rsid w:val="00137081"/>
    <w:rsid w:val="001378B0"/>
    <w:rsid w:val="00141BF4"/>
    <w:rsid w:val="00142E00"/>
    <w:rsid w:val="00145FB0"/>
    <w:rsid w:val="00150ACA"/>
    <w:rsid w:val="00152793"/>
    <w:rsid w:val="00152E26"/>
    <w:rsid w:val="00153B7E"/>
    <w:rsid w:val="001541B3"/>
    <w:rsid w:val="001545A9"/>
    <w:rsid w:val="00155C74"/>
    <w:rsid w:val="001566FE"/>
    <w:rsid w:val="00157AB9"/>
    <w:rsid w:val="00160649"/>
    <w:rsid w:val="001637C7"/>
    <w:rsid w:val="00164173"/>
    <w:rsid w:val="001644C0"/>
    <w:rsid w:val="00164596"/>
    <w:rsid w:val="0016480E"/>
    <w:rsid w:val="00174297"/>
    <w:rsid w:val="00176F1D"/>
    <w:rsid w:val="00177220"/>
    <w:rsid w:val="00180E06"/>
    <w:rsid w:val="00180FB1"/>
    <w:rsid w:val="00181756"/>
    <w:rsid w:val="001817B3"/>
    <w:rsid w:val="00183014"/>
    <w:rsid w:val="00194ACC"/>
    <w:rsid w:val="001959C2"/>
    <w:rsid w:val="00196650"/>
    <w:rsid w:val="001A2A92"/>
    <w:rsid w:val="001A51E3"/>
    <w:rsid w:val="001A7968"/>
    <w:rsid w:val="001B1D1C"/>
    <w:rsid w:val="001B28F6"/>
    <w:rsid w:val="001B2E98"/>
    <w:rsid w:val="001B3483"/>
    <w:rsid w:val="001B3C1E"/>
    <w:rsid w:val="001B3E47"/>
    <w:rsid w:val="001B4494"/>
    <w:rsid w:val="001B646C"/>
    <w:rsid w:val="001C011C"/>
    <w:rsid w:val="001C0D8B"/>
    <w:rsid w:val="001C0DA8"/>
    <w:rsid w:val="001C1030"/>
    <w:rsid w:val="001C31D9"/>
    <w:rsid w:val="001C3454"/>
    <w:rsid w:val="001C4715"/>
    <w:rsid w:val="001D0FF2"/>
    <w:rsid w:val="001D4AD7"/>
    <w:rsid w:val="001E0608"/>
    <w:rsid w:val="001E0D8A"/>
    <w:rsid w:val="001E3653"/>
    <w:rsid w:val="001E67BA"/>
    <w:rsid w:val="001E74C2"/>
    <w:rsid w:val="001F0330"/>
    <w:rsid w:val="001F474A"/>
    <w:rsid w:val="001F4F82"/>
    <w:rsid w:val="001F5A48"/>
    <w:rsid w:val="001F6260"/>
    <w:rsid w:val="00200007"/>
    <w:rsid w:val="002030A5"/>
    <w:rsid w:val="00203131"/>
    <w:rsid w:val="0020425D"/>
    <w:rsid w:val="00205E8C"/>
    <w:rsid w:val="00210868"/>
    <w:rsid w:val="00212E88"/>
    <w:rsid w:val="00213C9C"/>
    <w:rsid w:val="00216D3B"/>
    <w:rsid w:val="0022009E"/>
    <w:rsid w:val="00223241"/>
    <w:rsid w:val="002234DF"/>
    <w:rsid w:val="0022425C"/>
    <w:rsid w:val="002246DE"/>
    <w:rsid w:val="00225E44"/>
    <w:rsid w:val="00240342"/>
    <w:rsid w:val="002429E2"/>
    <w:rsid w:val="00242A06"/>
    <w:rsid w:val="002434ED"/>
    <w:rsid w:val="00243630"/>
    <w:rsid w:val="00247491"/>
    <w:rsid w:val="00252BC4"/>
    <w:rsid w:val="00254014"/>
    <w:rsid w:val="00254B39"/>
    <w:rsid w:val="00263E37"/>
    <w:rsid w:val="0026504D"/>
    <w:rsid w:val="0026588F"/>
    <w:rsid w:val="002675EE"/>
    <w:rsid w:val="0027352C"/>
    <w:rsid w:val="00273A2F"/>
    <w:rsid w:val="00277D73"/>
    <w:rsid w:val="00280986"/>
    <w:rsid w:val="00281ECE"/>
    <w:rsid w:val="002831C7"/>
    <w:rsid w:val="002840C6"/>
    <w:rsid w:val="002841FA"/>
    <w:rsid w:val="0028490E"/>
    <w:rsid w:val="00287512"/>
    <w:rsid w:val="00295174"/>
    <w:rsid w:val="00296172"/>
    <w:rsid w:val="002964E9"/>
    <w:rsid w:val="00296B92"/>
    <w:rsid w:val="00297033"/>
    <w:rsid w:val="002A0CB6"/>
    <w:rsid w:val="002A2C22"/>
    <w:rsid w:val="002A3033"/>
    <w:rsid w:val="002A4B07"/>
    <w:rsid w:val="002A6A2A"/>
    <w:rsid w:val="002A6DA8"/>
    <w:rsid w:val="002B02EB"/>
    <w:rsid w:val="002B1C0C"/>
    <w:rsid w:val="002B4261"/>
    <w:rsid w:val="002B72CD"/>
    <w:rsid w:val="002C0110"/>
    <w:rsid w:val="002C0602"/>
    <w:rsid w:val="002C248F"/>
    <w:rsid w:val="002D1F07"/>
    <w:rsid w:val="002D26BC"/>
    <w:rsid w:val="002D2D19"/>
    <w:rsid w:val="002D5C16"/>
    <w:rsid w:val="002D6892"/>
    <w:rsid w:val="002D6D9A"/>
    <w:rsid w:val="002E0777"/>
    <w:rsid w:val="002E343E"/>
    <w:rsid w:val="002F2476"/>
    <w:rsid w:val="002F3DFF"/>
    <w:rsid w:val="002F5E05"/>
    <w:rsid w:val="0030253E"/>
    <w:rsid w:val="003040D7"/>
    <w:rsid w:val="00306E0B"/>
    <w:rsid w:val="003070E0"/>
    <w:rsid w:val="00307A76"/>
    <w:rsid w:val="0031455E"/>
    <w:rsid w:val="00315A16"/>
    <w:rsid w:val="00317053"/>
    <w:rsid w:val="0032109C"/>
    <w:rsid w:val="00322B45"/>
    <w:rsid w:val="00323809"/>
    <w:rsid w:val="00323D41"/>
    <w:rsid w:val="00325414"/>
    <w:rsid w:val="003302F1"/>
    <w:rsid w:val="0033334A"/>
    <w:rsid w:val="00333421"/>
    <w:rsid w:val="00334D3A"/>
    <w:rsid w:val="00340DEB"/>
    <w:rsid w:val="00343459"/>
    <w:rsid w:val="0034470E"/>
    <w:rsid w:val="00344B9E"/>
    <w:rsid w:val="00347331"/>
    <w:rsid w:val="00351A2B"/>
    <w:rsid w:val="00352DB0"/>
    <w:rsid w:val="0035436D"/>
    <w:rsid w:val="00354897"/>
    <w:rsid w:val="00361063"/>
    <w:rsid w:val="00361168"/>
    <w:rsid w:val="00363C43"/>
    <w:rsid w:val="00367F4F"/>
    <w:rsid w:val="0037094A"/>
    <w:rsid w:val="00371ED3"/>
    <w:rsid w:val="00372659"/>
    <w:rsid w:val="00372FFC"/>
    <w:rsid w:val="00375358"/>
    <w:rsid w:val="00375C26"/>
    <w:rsid w:val="00376DA5"/>
    <w:rsid w:val="0037728A"/>
    <w:rsid w:val="00380B7D"/>
    <w:rsid w:val="00381A99"/>
    <w:rsid w:val="00381DDD"/>
    <w:rsid w:val="003829C2"/>
    <w:rsid w:val="00382F96"/>
    <w:rsid w:val="003830B2"/>
    <w:rsid w:val="00384724"/>
    <w:rsid w:val="00385523"/>
    <w:rsid w:val="00387FAB"/>
    <w:rsid w:val="003919B7"/>
    <w:rsid w:val="00391D57"/>
    <w:rsid w:val="00392292"/>
    <w:rsid w:val="00392A7E"/>
    <w:rsid w:val="00394F45"/>
    <w:rsid w:val="00395C31"/>
    <w:rsid w:val="00395EC7"/>
    <w:rsid w:val="003966AD"/>
    <w:rsid w:val="0039783A"/>
    <w:rsid w:val="003A102A"/>
    <w:rsid w:val="003A2261"/>
    <w:rsid w:val="003A299C"/>
    <w:rsid w:val="003A5927"/>
    <w:rsid w:val="003B1017"/>
    <w:rsid w:val="003B3C07"/>
    <w:rsid w:val="003B5570"/>
    <w:rsid w:val="003B6081"/>
    <w:rsid w:val="003B6775"/>
    <w:rsid w:val="003B6920"/>
    <w:rsid w:val="003C2AEA"/>
    <w:rsid w:val="003C311B"/>
    <w:rsid w:val="003C5FE2"/>
    <w:rsid w:val="003C622E"/>
    <w:rsid w:val="003C6887"/>
    <w:rsid w:val="003D05FB"/>
    <w:rsid w:val="003D1797"/>
    <w:rsid w:val="003D1B16"/>
    <w:rsid w:val="003D3269"/>
    <w:rsid w:val="003D364B"/>
    <w:rsid w:val="003D45BF"/>
    <w:rsid w:val="003D508A"/>
    <w:rsid w:val="003D537F"/>
    <w:rsid w:val="003D68AC"/>
    <w:rsid w:val="003D769D"/>
    <w:rsid w:val="003D7B75"/>
    <w:rsid w:val="003E0208"/>
    <w:rsid w:val="003E4852"/>
    <w:rsid w:val="003E4B57"/>
    <w:rsid w:val="003F0D27"/>
    <w:rsid w:val="003F27E1"/>
    <w:rsid w:val="003F437A"/>
    <w:rsid w:val="003F563B"/>
    <w:rsid w:val="003F5C2B"/>
    <w:rsid w:val="00401D10"/>
    <w:rsid w:val="00402240"/>
    <w:rsid w:val="004023E9"/>
    <w:rsid w:val="0040454A"/>
    <w:rsid w:val="00405AF8"/>
    <w:rsid w:val="00411AAA"/>
    <w:rsid w:val="00411F75"/>
    <w:rsid w:val="0041356D"/>
    <w:rsid w:val="004135F9"/>
    <w:rsid w:val="00413F83"/>
    <w:rsid w:val="00414011"/>
    <w:rsid w:val="00414729"/>
    <w:rsid w:val="0041490C"/>
    <w:rsid w:val="00416191"/>
    <w:rsid w:val="00416721"/>
    <w:rsid w:val="00421EF0"/>
    <w:rsid w:val="004224FA"/>
    <w:rsid w:val="00423CBF"/>
    <w:rsid w:val="00423D07"/>
    <w:rsid w:val="00425599"/>
    <w:rsid w:val="00427936"/>
    <w:rsid w:val="004303D9"/>
    <w:rsid w:val="00431FF7"/>
    <w:rsid w:val="00432030"/>
    <w:rsid w:val="00434391"/>
    <w:rsid w:val="004425AC"/>
    <w:rsid w:val="0044346F"/>
    <w:rsid w:val="00445749"/>
    <w:rsid w:val="00445AF4"/>
    <w:rsid w:val="0044705C"/>
    <w:rsid w:val="00447D01"/>
    <w:rsid w:val="00453AB0"/>
    <w:rsid w:val="00453FF6"/>
    <w:rsid w:val="004602CF"/>
    <w:rsid w:val="0046200C"/>
    <w:rsid w:val="00462582"/>
    <w:rsid w:val="0046520A"/>
    <w:rsid w:val="004672AB"/>
    <w:rsid w:val="004714FE"/>
    <w:rsid w:val="00475202"/>
    <w:rsid w:val="00477BAA"/>
    <w:rsid w:val="0048032F"/>
    <w:rsid w:val="0048443F"/>
    <w:rsid w:val="004856E6"/>
    <w:rsid w:val="0049452D"/>
    <w:rsid w:val="00495053"/>
    <w:rsid w:val="004969EC"/>
    <w:rsid w:val="004A0495"/>
    <w:rsid w:val="004A0C47"/>
    <w:rsid w:val="004A1F59"/>
    <w:rsid w:val="004A29BE"/>
    <w:rsid w:val="004A3225"/>
    <w:rsid w:val="004A33EE"/>
    <w:rsid w:val="004A3AA8"/>
    <w:rsid w:val="004B0B2F"/>
    <w:rsid w:val="004B13C7"/>
    <w:rsid w:val="004B4C4B"/>
    <w:rsid w:val="004B778F"/>
    <w:rsid w:val="004C0609"/>
    <w:rsid w:val="004C1277"/>
    <w:rsid w:val="004C2A1C"/>
    <w:rsid w:val="004C639F"/>
    <w:rsid w:val="004D141F"/>
    <w:rsid w:val="004D1C2E"/>
    <w:rsid w:val="004D2742"/>
    <w:rsid w:val="004D3811"/>
    <w:rsid w:val="004D6310"/>
    <w:rsid w:val="004E0062"/>
    <w:rsid w:val="004E05A1"/>
    <w:rsid w:val="004E17DA"/>
    <w:rsid w:val="004E3D0A"/>
    <w:rsid w:val="004F037D"/>
    <w:rsid w:val="004F1D79"/>
    <w:rsid w:val="004F472A"/>
    <w:rsid w:val="004F536D"/>
    <w:rsid w:val="004F5E57"/>
    <w:rsid w:val="004F6710"/>
    <w:rsid w:val="004F7C39"/>
    <w:rsid w:val="00500C3E"/>
    <w:rsid w:val="005023B8"/>
    <w:rsid w:val="00502849"/>
    <w:rsid w:val="00502A4C"/>
    <w:rsid w:val="00504334"/>
    <w:rsid w:val="0050498D"/>
    <w:rsid w:val="005068F2"/>
    <w:rsid w:val="00507249"/>
    <w:rsid w:val="00507E52"/>
    <w:rsid w:val="005104D7"/>
    <w:rsid w:val="00510B9E"/>
    <w:rsid w:val="00520DCC"/>
    <w:rsid w:val="00523CB0"/>
    <w:rsid w:val="00525633"/>
    <w:rsid w:val="00536BC2"/>
    <w:rsid w:val="005425E1"/>
    <w:rsid w:val="005427C5"/>
    <w:rsid w:val="00542CF6"/>
    <w:rsid w:val="00553C03"/>
    <w:rsid w:val="00557AB4"/>
    <w:rsid w:val="00560DDA"/>
    <w:rsid w:val="00563692"/>
    <w:rsid w:val="00567911"/>
    <w:rsid w:val="00571679"/>
    <w:rsid w:val="00573C81"/>
    <w:rsid w:val="00574CF3"/>
    <w:rsid w:val="00581D4C"/>
    <w:rsid w:val="00584235"/>
    <w:rsid w:val="005843A9"/>
    <w:rsid w:val="005844E7"/>
    <w:rsid w:val="00585661"/>
    <w:rsid w:val="005908B8"/>
    <w:rsid w:val="005910E1"/>
    <w:rsid w:val="00593BDD"/>
    <w:rsid w:val="0059512E"/>
    <w:rsid w:val="005A6DD2"/>
    <w:rsid w:val="005B1BFB"/>
    <w:rsid w:val="005B28ED"/>
    <w:rsid w:val="005B3B77"/>
    <w:rsid w:val="005B4530"/>
    <w:rsid w:val="005B4B81"/>
    <w:rsid w:val="005B54FF"/>
    <w:rsid w:val="005C1115"/>
    <w:rsid w:val="005C385D"/>
    <w:rsid w:val="005C39EA"/>
    <w:rsid w:val="005D1B37"/>
    <w:rsid w:val="005D3B20"/>
    <w:rsid w:val="005D4772"/>
    <w:rsid w:val="005D49D0"/>
    <w:rsid w:val="005D5EA0"/>
    <w:rsid w:val="005D71B7"/>
    <w:rsid w:val="005D77D1"/>
    <w:rsid w:val="005E0DD5"/>
    <w:rsid w:val="005E1C1E"/>
    <w:rsid w:val="005E286B"/>
    <w:rsid w:val="005E35CA"/>
    <w:rsid w:val="005E4759"/>
    <w:rsid w:val="005E5C68"/>
    <w:rsid w:val="005E65C0"/>
    <w:rsid w:val="005F0390"/>
    <w:rsid w:val="005F702E"/>
    <w:rsid w:val="00605640"/>
    <w:rsid w:val="00606581"/>
    <w:rsid w:val="006072CD"/>
    <w:rsid w:val="00607FD3"/>
    <w:rsid w:val="00612023"/>
    <w:rsid w:val="00612BED"/>
    <w:rsid w:val="00614190"/>
    <w:rsid w:val="00616AD3"/>
    <w:rsid w:val="00616B16"/>
    <w:rsid w:val="00616EAA"/>
    <w:rsid w:val="00617CDA"/>
    <w:rsid w:val="00622A99"/>
    <w:rsid w:val="00622DFA"/>
    <w:rsid w:val="00622E4D"/>
    <w:rsid w:val="00622E67"/>
    <w:rsid w:val="00625726"/>
    <w:rsid w:val="00626B57"/>
    <w:rsid w:val="00626EDC"/>
    <w:rsid w:val="0062702E"/>
    <w:rsid w:val="00632441"/>
    <w:rsid w:val="00632E9D"/>
    <w:rsid w:val="00633738"/>
    <w:rsid w:val="006337AE"/>
    <w:rsid w:val="00637A9F"/>
    <w:rsid w:val="006452D3"/>
    <w:rsid w:val="006470EC"/>
    <w:rsid w:val="0065107D"/>
    <w:rsid w:val="006510C6"/>
    <w:rsid w:val="006542D6"/>
    <w:rsid w:val="0065598E"/>
    <w:rsid w:val="00655AF2"/>
    <w:rsid w:val="00655BC5"/>
    <w:rsid w:val="006568BE"/>
    <w:rsid w:val="0066025D"/>
    <w:rsid w:val="0066091A"/>
    <w:rsid w:val="0067032C"/>
    <w:rsid w:val="00671B5B"/>
    <w:rsid w:val="00673192"/>
    <w:rsid w:val="00673390"/>
    <w:rsid w:val="00673A85"/>
    <w:rsid w:val="00673DC2"/>
    <w:rsid w:val="006773A9"/>
    <w:rsid w:val="006773EC"/>
    <w:rsid w:val="00680504"/>
    <w:rsid w:val="0068113D"/>
    <w:rsid w:val="00681CD9"/>
    <w:rsid w:val="00683D29"/>
    <w:rsid w:val="00683E30"/>
    <w:rsid w:val="00685B9B"/>
    <w:rsid w:val="00687024"/>
    <w:rsid w:val="00693B8B"/>
    <w:rsid w:val="0069444A"/>
    <w:rsid w:val="006955A2"/>
    <w:rsid w:val="00695E22"/>
    <w:rsid w:val="006A015A"/>
    <w:rsid w:val="006B64A0"/>
    <w:rsid w:val="006B7093"/>
    <w:rsid w:val="006B7417"/>
    <w:rsid w:val="006C3D98"/>
    <w:rsid w:val="006C5975"/>
    <w:rsid w:val="006C77FD"/>
    <w:rsid w:val="006D1012"/>
    <w:rsid w:val="006D31F9"/>
    <w:rsid w:val="006D3691"/>
    <w:rsid w:val="006D4B40"/>
    <w:rsid w:val="006D4D8A"/>
    <w:rsid w:val="006D60F9"/>
    <w:rsid w:val="006D68A1"/>
    <w:rsid w:val="006D7AB7"/>
    <w:rsid w:val="006E1ED6"/>
    <w:rsid w:val="006E5974"/>
    <w:rsid w:val="006E5EF0"/>
    <w:rsid w:val="006F10D4"/>
    <w:rsid w:val="006F3563"/>
    <w:rsid w:val="006F42B9"/>
    <w:rsid w:val="006F6103"/>
    <w:rsid w:val="0070186F"/>
    <w:rsid w:val="0070443D"/>
    <w:rsid w:val="00704E00"/>
    <w:rsid w:val="0070601C"/>
    <w:rsid w:val="00712CA4"/>
    <w:rsid w:val="00712F56"/>
    <w:rsid w:val="007170BE"/>
    <w:rsid w:val="00717F7A"/>
    <w:rsid w:val="007209E7"/>
    <w:rsid w:val="007211EF"/>
    <w:rsid w:val="00724EB8"/>
    <w:rsid w:val="00726182"/>
    <w:rsid w:val="00727635"/>
    <w:rsid w:val="00727F34"/>
    <w:rsid w:val="0073028A"/>
    <w:rsid w:val="00732329"/>
    <w:rsid w:val="00732A63"/>
    <w:rsid w:val="007337CA"/>
    <w:rsid w:val="00734CE4"/>
    <w:rsid w:val="00735123"/>
    <w:rsid w:val="00736BD9"/>
    <w:rsid w:val="00737C92"/>
    <w:rsid w:val="00741837"/>
    <w:rsid w:val="00741C53"/>
    <w:rsid w:val="0074353D"/>
    <w:rsid w:val="007453E6"/>
    <w:rsid w:val="0075103A"/>
    <w:rsid w:val="00751D1F"/>
    <w:rsid w:val="00755284"/>
    <w:rsid w:val="007558B3"/>
    <w:rsid w:val="00755F0A"/>
    <w:rsid w:val="0075721B"/>
    <w:rsid w:val="00765A3A"/>
    <w:rsid w:val="00766374"/>
    <w:rsid w:val="00770453"/>
    <w:rsid w:val="0077309D"/>
    <w:rsid w:val="007732EC"/>
    <w:rsid w:val="007740E1"/>
    <w:rsid w:val="00774C8C"/>
    <w:rsid w:val="00775FD9"/>
    <w:rsid w:val="007774EE"/>
    <w:rsid w:val="00780418"/>
    <w:rsid w:val="00781822"/>
    <w:rsid w:val="00783B98"/>
    <w:rsid w:val="00783F21"/>
    <w:rsid w:val="00785AE5"/>
    <w:rsid w:val="0078654D"/>
    <w:rsid w:val="00787159"/>
    <w:rsid w:val="0079043A"/>
    <w:rsid w:val="00791668"/>
    <w:rsid w:val="00791AA1"/>
    <w:rsid w:val="00794F73"/>
    <w:rsid w:val="007963FC"/>
    <w:rsid w:val="00797A1A"/>
    <w:rsid w:val="007A3793"/>
    <w:rsid w:val="007A4BDC"/>
    <w:rsid w:val="007A66E0"/>
    <w:rsid w:val="007B0AC3"/>
    <w:rsid w:val="007B5153"/>
    <w:rsid w:val="007C1BA2"/>
    <w:rsid w:val="007C2B48"/>
    <w:rsid w:val="007C4339"/>
    <w:rsid w:val="007C6A5B"/>
    <w:rsid w:val="007C7284"/>
    <w:rsid w:val="007C7BBA"/>
    <w:rsid w:val="007D20E9"/>
    <w:rsid w:val="007D2C52"/>
    <w:rsid w:val="007D4321"/>
    <w:rsid w:val="007D549C"/>
    <w:rsid w:val="007D7881"/>
    <w:rsid w:val="007D7E3A"/>
    <w:rsid w:val="007E0E10"/>
    <w:rsid w:val="007E4768"/>
    <w:rsid w:val="007E772B"/>
    <w:rsid w:val="007E777B"/>
    <w:rsid w:val="007F2070"/>
    <w:rsid w:val="007F36BE"/>
    <w:rsid w:val="007F5027"/>
    <w:rsid w:val="007F599E"/>
    <w:rsid w:val="007F63C1"/>
    <w:rsid w:val="00801C9C"/>
    <w:rsid w:val="00804F0D"/>
    <w:rsid w:val="008053F5"/>
    <w:rsid w:val="00807AF7"/>
    <w:rsid w:val="00810125"/>
    <w:rsid w:val="00810198"/>
    <w:rsid w:val="00810783"/>
    <w:rsid w:val="00810DD6"/>
    <w:rsid w:val="008116C3"/>
    <w:rsid w:val="00815479"/>
    <w:rsid w:val="00815DA8"/>
    <w:rsid w:val="00820658"/>
    <w:rsid w:val="0082194D"/>
    <w:rsid w:val="008221F9"/>
    <w:rsid w:val="00826EF5"/>
    <w:rsid w:val="00831693"/>
    <w:rsid w:val="00837591"/>
    <w:rsid w:val="00840104"/>
    <w:rsid w:val="00840C1F"/>
    <w:rsid w:val="008411C9"/>
    <w:rsid w:val="00841FC5"/>
    <w:rsid w:val="00843BED"/>
    <w:rsid w:val="00843D0F"/>
    <w:rsid w:val="00845709"/>
    <w:rsid w:val="008520A4"/>
    <w:rsid w:val="00855BBB"/>
    <w:rsid w:val="008576BD"/>
    <w:rsid w:val="00860463"/>
    <w:rsid w:val="00862704"/>
    <w:rsid w:val="00871F5F"/>
    <w:rsid w:val="00872B78"/>
    <w:rsid w:val="008733DA"/>
    <w:rsid w:val="00874FCB"/>
    <w:rsid w:val="00876DA1"/>
    <w:rsid w:val="00877081"/>
    <w:rsid w:val="00880BE6"/>
    <w:rsid w:val="00883688"/>
    <w:rsid w:val="008850E4"/>
    <w:rsid w:val="00887786"/>
    <w:rsid w:val="00892C79"/>
    <w:rsid w:val="008939AB"/>
    <w:rsid w:val="00893BBA"/>
    <w:rsid w:val="008940B1"/>
    <w:rsid w:val="0089739E"/>
    <w:rsid w:val="008A12F5"/>
    <w:rsid w:val="008A2DA3"/>
    <w:rsid w:val="008A3DB4"/>
    <w:rsid w:val="008A5ED6"/>
    <w:rsid w:val="008B0CFB"/>
    <w:rsid w:val="008B1587"/>
    <w:rsid w:val="008B188F"/>
    <w:rsid w:val="008B1B01"/>
    <w:rsid w:val="008B306D"/>
    <w:rsid w:val="008B3BCD"/>
    <w:rsid w:val="008B50E7"/>
    <w:rsid w:val="008B6DF8"/>
    <w:rsid w:val="008C106C"/>
    <w:rsid w:val="008C10F1"/>
    <w:rsid w:val="008C1926"/>
    <w:rsid w:val="008C1E99"/>
    <w:rsid w:val="008D402E"/>
    <w:rsid w:val="008D65C0"/>
    <w:rsid w:val="008E0085"/>
    <w:rsid w:val="008E00CB"/>
    <w:rsid w:val="008E2AA6"/>
    <w:rsid w:val="008E311B"/>
    <w:rsid w:val="008E3CD8"/>
    <w:rsid w:val="008E6964"/>
    <w:rsid w:val="008E773A"/>
    <w:rsid w:val="008F3FF7"/>
    <w:rsid w:val="008F46E7"/>
    <w:rsid w:val="008F64CA"/>
    <w:rsid w:val="008F6F0B"/>
    <w:rsid w:val="008F6F8E"/>
    <w:rsid w:val="008F754B"/>
    <w:rsid w:val="008F7E4B"/>
    <w:rsid w:val="009001C0"/>
    <w:rsid w:val="00903815"/>
    <w:rsid w:val="0090438A"/>
    <w:rsid w:val="00907B72"/>
    <w:rsid w:val="00907BA7"/>
    <w:rsid w:val="0091064E"/>
    <w:rsid w:val="00911FC5"/>
    <w:rsid w:val="009202BA"/>
    <w:rsid w:val="00922D3C"/>
    <w:rsid w:val="009241E2"/>
    <w:rsid w:val="00926487"/>
    <w:rsid w:val="00931A10"/>
    <w:rsid w:val="00933F3F"/>
    <w:rsid w:val="0093554E"/>
    <w:rsid w:val="00945CBA"/>
    <w:rsid w:val="009462CD"/>
    <w:rsid w:val="00947967"/>
    <w:rsid w:val="00950E0E"/>
    <w:rsid w:val="0095212C"/>
    <w:rsid w:val="00955201"/>
    <w:rsid w:val="00956085"/>
    <w:rsid w:val="00957A9D"/>
    <w:rsid w:val="00960CBB"/>
    <w:rsid w:val="00962712"/>
    <w:rsid w:val="0096301A"/>
    <w:rsid w:val="009635EF"/>
    <w:rsid w:val="00965009"/>
    <w:rsid w:val="00965200"/>
    <w:rsid w:val="009668B3"/>
    <w:rsid w:val="00971471"/>
    <w:rsid w:val="00972415"/>
    <w:rsid w:val="009849C2"/>
    <w:rsid w:val="00984C31"/>
    <w:rsid w:val="00984D24"/>
    <w:rsid w:val="009858EB"/>
    <w:rsid w:val="009928F1"/>
    <w:rsid w:val="009A0FAC"/>
    <w:rsid w:val="009A3F47"/>
    <w:rsid w:val="009A7EDD"/>
    <w:rsid w:val="009B0046"/>
    <w:rsid w:val="009B12BC"/>
    <w:rsid w:val="009B434C"/>
    <w:rsid w:val="009C1440"/>
    <w:rsid w:val="009C2107"/>
    <w:rsid w:val="009C4E4D"/>
    <w:rsid w:val="009C5D9E"/>
    <w:rsid w:val="009C6067"/>
    <w:rsid w:val="009D1C91"/>
    <w:rsid w:val="009D2C3E"/>
    <w:rsid w:val="009E0625"/>
    <w:rsid w:val="009E13B7"/>
    <w:rsid w:val="009E2508"/>
    <w:rsid w:val="009E2867"/>
    <w:rsid w:val="009E3034"/>
    <w:rsid w:val="009E4754"/>
    <w:rsid w:val="009E549F"/>
    <w:rsid w:val="009F28A8"/>
    <w:rsid w:val="009F3DC6"/>
    <w:rsid w:val="009F473E"/>
    <w:rsid w:val="009F4BB5"/>
    <w:rsid w:val="009F5247"/>
    <w:rsid w:val="009F52F1"/>
    <w:rsid w:val="009F682A"/>
    <w:rsid w:val="00A0158A"/>
    <w:rsid w:val="00A022BE"/>
    <w:rsid w:val="00A0613C"/>
    <w:rsid w:val="00A07B4B"/>
    <w:rsid w:val="00A14E82"/>
    <w:rsid w:val="00A150F3"/>
    <w:rsid w:val="00A15463"/>
    <w:rsid w:val="00A201BA"/>
    <w:rsid w:val="00A23D7D"/>
    <w:rsid w:val="00A24C95"/>
    <w:rsid w:val="00A2599A"/>
    <w:rsid w:val="00A26094"/>
    <w:rsid w:val="00A301BF"/>
    <w:rsid w:val="00A302B2"/>
    <w:rsid w:val="00A3156E"/>
    <w:rsid w:val="00A331B4"/>
    <w:rsid w:val="00A33374"/>
    <w:rsid w:val="00A3484E"/>
    <w:rsid w:val="00A356D3"/>
    <w:rsid w:val="00A3611C"/>
    <w:rsid w:val="00A36ADA"/>
    <w:rsid w:val="00A36C38"/>
    <w:rsid w:val="00A37C4D"/>
    <w:rsid w:val="00A438D8"/>
    <w:rsid w:val="00A47375"/>
    <w:rsid w:val="00A473F5"/>
    <w:rsid w:val="00A474E7"/>
    <w:rsid w:val="00A51F9D"/>
    <w:rsid w:val="00A5416A"/>
    <w:rsid w:val="00A639F4"/>
    <w:rsid w:val="00A650B0"/>
    <w:rsid w:val="00A65864"/>
    <w:rsid w:val="00A65FAE"/>
    <w:rsid w:val="00A65FC0"/>
    <w:rsid w:val="00A7294F"/>
    <w:rsid w:val="00A74A2B"/>
    <w:rsid w:val="00A765CE"/>
    <w:rsid w:val="00A81A32"/>
    <w:rsid w:val="00A835BD"/>
    <w:rsid w:val="00A86629"/>
    <w:rsid w:val="00A911F4"/>
    <w:rsid w:val="00A92E5A"/>
    <w:rsid w:val="00A97B15"/>
    <w:rsid w:val="00AA1596"/>
    <w:rsid w:val="00AA42D5"/>
    <w:rsid w:val="00AA517E"/>
    <w:rsid w:val="00AA7840"/>
    <w:rsid w:val="00AB0599"/>
    <w:rsid w:val="00AB10E6"/>
    <w:rsid w:val="00AB2FAB"/>
    <w:rsid w:val="00AB5C14"/>
    <w:rsid w:val="00AB6770"/>
    <w:rsid w:val="00AC1EE7"/>
    <w:rsid w:val="00AC2E17"/>
    <w:rsid w:val="00AC333F"/>
    <w:rsid w:val="00AC585C"/>
    <w:rsid w:val="00AD0A30"/>
    <w:rsid w:val="00AD0B21"/>
    <w:rsid w:val="00AD0BDE"/>
    <w:rsid w:val="00AD1110"/>
    <w:rsid w:val="00AD1925"/>
    <w:rsid w:val="00AD2405"/>
    <w:rsid w:val="00AD5641"/>
    <w:rsid w:val="00AD5A6D"/>
    <w:rsid w:val="00AD65E1"/>
    <w:rsid w:val="00AD797F"/>
    <w:rsid w:val="00AE067D"/>
    <w:rsid w:val="00AE1B85"/>
    <w:rsid w:val="00AE473E"/>
    <w:rsid w:val="00AE6FE0"/>
    <w:rsid w:val="00AF1181"/>
    <w:rsid w:val="00AF2F79"/>
    <w:rsid w:val="00AF4653"/>
    <w:rsid w:val="00AF7DB7"/>
    <w:rsid w:val="00AF7EA9"/>
    <w:rsid w:val="00B02F54"/>
    <w:rsid w:val="00B03D01"/>
    <w:rsid w:val="00B054BE"/>
    <w:rsid w:val="00B10D02"/>
    <w:rsid w:val="00B114BB"/>
    <w:rsid w:val="00B13079"/>
    <w:rsid w:val="00B13A21"/>
    <w:rsid w:val="00B201E2"/>
    <w:rsid w:val="00B20451"/>
    <w:rsid w:val="00B22981"/>
    <w:rsid w:val="00B27714"/>
    <w:rsid w:val="00B32D90"/>
    <w:rsid w:val="00B41328"/>
    <w:rsid w:val="00B42212"/>
    <w:rsid w:val="00B443E4"/>
    <w:rsid w:val="00B453A4"/>
    <w:rsid w:val="00B508C9"/>
    <w:rsid w:val="00B52095"/>
    <w:rsid w:val="00B5484D"/>
    <w:rsid w:val="00B55A7E"/>
    <w:rsid w:val="00B563EA"/>
    <w:rsid w:val="00B56CDF"/>
    <w:rsid w:val="00B57C9A"/>
    <w:rsid w:val="00B60E51"/>
    <w:rsid w:val="00B63A54"/>
    <w:rsid w:val="00B64AE8"/>
    <w:rsid w:val="00B667AD"/>
    <w:rsid w:val="00B66EC7"/>
    <w:rsid w:val="00B70C82"/>
    <w:rsid w:val="00B712FF"/>
    <w:rsid w:val="00B73C1B"/>
    <w:rsid w:val="00B7710A"/>
    <w:rsid w:val="00B77D18"/>
    <w:rsid w:val="00B8313A"/>
    <w:rsid w:val="00B87067"/>
    <w:rsid w:val="00B93503"/>
    <w:rsid w:val="00BA1FD2"/>
    <w:rsid w:val="00BA2046"/>
    <w:rsid w:val="00BA31E8"/>
    <w:rsid w:val="00BA343E"/>
    <w:rsid w:val="00BA55E0"/>
    <w:rsid w:val="00BA645A"/>
    <w:rsid w:val="00BA6BD4"/>
    <w:rsid w:val="00BA6C7A"/>
    <w:rsid w:val="00BB17D1"/>
    <w:rsid w:val="00BB1BD3"/>
    <w:rsid w:val="00BB3752"/>
    <w:rsid w:val="00BB61D7"/>
    <w:rsid w:val="00BB6688"/>
    <w:rsid w:val="00BC26D4"/>
    <w:rsid w:val="00BC55E6"/>
    <w:rsid w:val="00BD1850"/>
    <w:rsid w:val="00BD5E8B"/>
    <w:rsid w:val="00BD67C8"/>
    <w:rsid w:val="00BE0C80"/>
    <w:rsid w:val="00BE52EA"/>
    <w:rsid w:val="00BE6D2D"/>
    <w:rsid w:val="00BE7DEC"/>
    <w:rsid w:val="00BF2A42"/>
    <w:rsid w:val="00BF308B"/>
    <w:rsid w:val="00C03CB6"/>
    <w:rsid w:val="00C03D8C"/>
    <w:rsid w:val="00C03F6C"/>
    <w:rsid w:val="00C055EC"/>
    <w:rsid w:val="00C0590A"/>
    <w:rsid w:val="00C10A09"/>
    <w:rsid w:val="00C10DC9"/>
    <w:rsid w:val="00C12B3C"/>
    <w:rsid w:val="00C12FB3"/>
    <w:rsid w:val="00C17341"/>
    <w:rsid w:val="00C1772F"/>
    <w:rsid w:val="00C20FFE"/>
    <w:rsid w:val="00C22500"/>
    <w:rsid w:val="00C23F6E"/>
    <w:rsid w:val="00C2474C"/>
    <w:rsid w:val="00C24EEF"/>
    <w:rsid w:val="00C25CF6"/>
    <w:rsid w:val="00C26C36"/>
    <w:rsid w:val="00C26F6F"/>
    <w:rsid w:val="00C32768"/>
    <w:rsid w:val="00C3534D"/>
    <w:rsid w:val="00C379CC"/>
    <w:rsid w:val="00C42197"/>
    <w:rsid w:val="00C431DF"/>
    <w:rsid w:val="00C456BD"/>
    <w:rsid w:val="00C460B3"/>
    <w:rsid w:val="00C46C82"/>
    <w:rsid w:val="00C52F76"/>
    <w:rsid w:val="00C530DC"/>
    <w:rsid w:val="00C5350D"/>
    <w:rsid w:val="00C53C53"/>
    <w:rsid w:val="00C54920"/>
    <w:rsid w:val="00C60484"/>
    <w:rsid w:val="00C60938"/>
    <w:rsid w:val="00C6123C"/>
    <w:rsid w:val="00C6311A"/>
    <w:rsid w:val="00C7084D"/>
    <w:rsid w:val="00C7315E"/>
    <w:rsid w:val="00C7392E"/>
    <w:rsid w:val="00C75895"/>
    <w:rsid w:val="00C77785"/>
    <w:rsid w:val="00C83C9F"/>
    <w:rsid w:val="00C870B8"/>
    <w:rsid w:val="00C912EF"/>
    <w:rsid w:val="00C947D8"/>
    <w:rsid w:val="00C94840"/>
    <w:rsid w:val="00CA4EE3"/>
    <w:rsid w:val="00CB027F"/>
    <w:rsid w:val="00CB0F4E"/>
    <w:rsid w:val="00CB52F9"/>
    <w:rsid w:val="00CB5F09"/>
    <w:rsid w:val="00CC0EBB"/>
    <w:rsid w:val="00CC3376"/>
    <w:rsid w:val="00CC6297"/>
    <w:rsid w:val="00CC63BA"/>
    <w:rsid w:val="00CC6CA5"/>
    <w:rsid w:val="00CC7690"/>
    <w:rsid w:val="00CD1986"/>
    <w:rsid w:val="00CD2D79"/>
    <w:rsid w:val="00CD31D0"/>
    <w:rsid w:val="00CD54BF"/>
    <w:rsid w:val="00CD5F2C"/>
    <w:rsid w:val="00CE19B2"/>
    <w:rsid w:val="00CE46E1"/>
    <w:rsid w:val="00CE4D5C"/>
    <w:rsid w:val="00CF01B9"/>
    <w:rsid w:val="00CF05DA"/>
    <w:rsid w:val="00CF07B9"/>
    <w:rsid w:val="00CF318C"/>
    <w:rsid w:val="00CF4D98"/>
    <w:rsid w:val="00CF4EA4"/>
    <w:rsid w:val="00CF4F10"/>
    <w:rsid w:val="00CF58EB"/>
    <w:rsid w:val="00CF69AB"/>
    <w:rsid w:val="00CF6FEC"/>
    <w:rsid w:val="00D00354"/>
    <w:rsid w:val="00D0106E"/>
    <w:rsid w:val="00D06383"/>
    <w:rsid w:val="00D12916"/>
    <w:rsid w:val="00D15A5E"/>
    <w:rsid w:val="00D1730C"/>
    <w:rsid w:val="00D20E85"/>
    <w:rsid w:val="00D21436"/>
    <w:rsid w:val="00D22652"/>
    <w:rsid w:val="00D24615"/>
    <w:rsid w:val="00D320A1"/>
    <w:rsid w:val="00D37842"/>
    <w:rsid w:val="00D37EC5"/>
    <w:rsid w:val="00D42DC2"/>
    <w:rsid w:val="00D4302B"/>
    <w:rsid w:val="00D44A0A"/>
    <w:rsid w:val="00D537E1"/>
    <w:rsid w:val="00D55BB2"/>
    <w:rsid w:val="00D60656"/>
    <w:rsid w:val="00D6091A"/>
    <w:rsid w:val="00D648A0"/>
    <w:rsid w:val="00D6605A"/>
    <w:rsid w:val="00D6649C"/>
    <w:rsid w:val="00D6695F"/>
    <w:rsid w:val="00D710EF"/>
    <w:rsid w:val="00D7171F"/>
    <w:rsid w:val="00D720A7"/>
    <w:rsid w:val="00D7536C"/>
    <w:rsid w:val="00D75644"/>
    <w:rsid w:val="00D75F1E"/>
    <w:rsid w:val="00D81656"/>
    <w:rsid w:val="00D83D87"/>
    <w:rsid w:val="00D843B0"/>
    <w:rsid w:val="00D84A6D"/>
    <w:rsid w:val="00D86A30"/>
    <w:rsid w:val="00D936F4"/>
    <w:rsid w:val="00D94B8E"/>
    <w:rsid w:val="00D97CB4"/>
    <w:rsid w:val="00D97DD4"/>
    <w:rsid w:val="00DA3DE1"/>
    <w:rsid w:val="00DA4BA4"/>
    <w:rsid w:val="00DA5A8A"/>
    <w:rsid w:val="00DB1170"/>
    <w:rsid w:val="00DB26CD"/>
    <w:rsid w:val="00DB441C"/>
    <w:rsid w:val="00DB44AF"/>
    <w:rsid w:val="00DC1F58"/>
    <w:rsid w:val="00DC3283"/>
    <w:rsid w:val="00DC339B"/>
    <w:rsid w:val="00DC344F"/>
    <w:rsid w:val="00DC5D40"/>
    <w:rsid w:val="00DC5D53"/>
    <w:rsid w:val="00DC62CE"/>
    <w:rsid w:val="00DC69A7"/>
    <w:rsid w:val="00DC7372"/>
    <w:rsid w:val="00DC7556"/>
    <w:rsid w:val="00DD0AA2"/>
    <w:rsid w:val="00DD30E9"/>
    <w:rsid w:val="00DD4F47"/>
    <w:rsid w:val="00DD7FBB"/>
    <w:rsid w:val="00DE0B9F"/>
    <w:rsid w:val="00DE2A9E"/>
    <w:rsid w:val="00DE4238"/>
    <w:rsid w:val="00DE657F"/>
    <w:rsid w:val="00DF1218"/>
    <w:rsid w:val="00DF1C17"/>
    <w:rsid w:val="00DF331C"/>
    <w:rsid w:val="00DF5655"/>
    <w:rsid w:val="00DF6462"/>
    <w:rsid w:val="00E00F19"/>
    <w:rsid w:val="00E02FA0"/>
    <w:rsid w:val="00E036DC"/>
    <w:rsid w:val="00E07859"/>
    <w:rsid w:val="00E07A6F"/>
    <w:rsid w:val="00E07F37"/>
    <w:rsid w:val="00E10454"/>
    <w:rsid w:val="00E1053F"/>
    <w:rsid w:val="00E112E5"/>
    <w:rsid w:val="00E1187B"/>
    <w:rsid w:val="00E1220E"/>
    <w:rsid w:val="00E122D8"/>
    <w:rsid w:val="00E12CC8"/>
    <w:rsid w:val="00E15352"/>
    <w:rsid w:val="00E17EAA"/>
    <w:rsid w:val="00E21CC7"/>
    <w:rsid w:val="00E24D9E"/>
    <w:rsid w:val="00E25849"/>
    <w:rsid w:val="00E27905"/>
    <w:rsid w:val="00E3197E"/>
    <w:rsid w:val="00E31C99"/>
    <w:rsid w:val="00E3252C"/>
    <w:rsid w:val="00E33098"/>
    <w:rsid w:val="00E342F8"/>
    <w:rsid w:val="00E351ED"/>
    <w:rsid w:val="00E367C6"/>
    <w:rsid w:val="00E37003"/>
    <w:rsid w:val="00E41BF9"/>
    <w:rsid w:val="00E42B19"/>
    <w:rsid w:val="00E43C3B"/>
    <w:rsid w:val="00E45176"/>
    <w:rsid w:val="00E551D1"/>
    <w:rsid w:val="00E5630F"/>
    <w:rsid w:val="00E572CB"/>
    <w:rsid w:val="00E6034B"/>
    <w:rsid w:val="00E621D9"/>
    <w:rsid w:val="00E6549E"/>
    <w:rsid w:val="00E65EDE"/>
    <w:rsid w:val="00E70F81"/>
    <w:rsid w:val="00E71144"/>
    <w:rsid w:val="00E71B01"/>
    <w:rsid w:val="00E736AF"/>
    <w:rsid w:val="00E73858"/>
    <w:rsid w:val="00E77055"/>
    <w:rsid w:val="00E77460"/>
    <w:rsid w:val="00E83ABC"/>
    <w:rsid w:val="00E844F2"/>
    <w:rsid w:val="00E90AD0"/>
    <w:rsid w:val="00E92FCB"/>
    <w:rsid w:val="00E95DC5"/>
    <w:rsid w:val="00EA0F83"/>
    <w:rsid w:val="00EA147F"/>
    <w:rsid w:val="00EA4A27"/>
    <w:rsid w:val="00EA4FA6"/>
    <w:rsid w:val="00EB1A25"/>
    <w:rsid w:val="00EB6673"/>
    <w:rsid w:val="00EC05AF"/>
    <w:rsid w:val="00EC7363"/>
    <w:rsid w:val="00ED03AB"/>
    <w:rsid w:val="00ED1963"/>
    <w:rsid w:val="00ED1CD4"/>
    <w:rsid w:val="00ED1D2B"/>
    <w:rsid w:val="00ED34DD"/>
    <w:rsid w:val="00ED35ED"/>
    <w:rsid w:val="00ED54F3"/>
    <w:rsid w:val="00ED6490"/>
    <w:rsid w:val="00ED64B5"/>
    <w:rsid w:val="00ED7A8A"/>
    <w:rsid w:val="00EE1B3A"/>
    <w:rsid w:val="00EE3417"/>
    <w:rsid w:val="00EE47DD"/>
    <w:rsid w:val="00EE7CCA"/>
    <w:rsid w:val="00EF1FA5"/>
    <w:rsid w:val="00EF3F21"/>
    <w:rsid w:val="00F03856"/>
    <w:rsid w:val="00F05836"/>
    <w:rsid w:val="00F05E95"/>
    <w:rsid w:val="00F05F97"/>
    <w:rsid w:val="00F06E53"/>
    <w:rsid w:val="00F10867"/>
    <w:rsid w:val="00F13AD0"/>
    <w:rsid w:val="00F1574F"/>
    <w:rsid w:val="00F16A14"/>
    <w:rsid w:val="00F16D52"/>
    <w:rsid w:val="00F24730"/>
    <w:rsid w:val="00F26587"/>
    <w:rsid w:val="00F26D2D"/>
    <w:rsid w:val="00F30A86"/>
    <w:rsid w:val="00F30BDB"/>
    <w:rsid w:val="00F35EFE"/>
    <w:rsid w:val="00F362D7"/>
    <w:rsid w:val="00F37D7B"/>
    <w:rsid w:val="00F45ED9"/>
    <w:rsid w:val="00F4615D"/>
    <w:rsid w:val="00F5314C"/>
    <w:rsid w:val="00F54061"/>
    <w:rsid w:val="00F55181"/>
    <w:rsid w:val="00F5688C"/>
    <w:rsid w:val="00F57058"/>
    <w:rsid w:val="00F60048"/>
    <w:rsid w:val="00F635DD"/>
    <w:rsid w:val="00F65743"/>
    <w:rsid w:val="00F6627B"/>
    <w:rsid w:val="00F6781F"/>
    <w:rsid w:val="00F7033D"/>
    <w:rsid w:val="00F725E5"/>
    <w:rsid w:val="00F7336E"/>
    <w:rsid w:val="00F734F2"/>
    <w:rsid w:val="00F75052"/>
    <w:rsid w:val="00F76139"/>
    <w:rsid w:val="00F804D3"/>
    <w:rsid w:val="00F816CB"/>
    <w:rsid w:val="00F81CD2"/>
    <w:rsid w:val="00F82641"/>
    <w:rsid w:val="00F8436E"/>
    <w:rsid w:val="00F86F41"/>
    <w:rsid w:val="00F87818"/>
    <w:rsid w:val="00F90F18"/>
    <w:rsid w:val="00F937E4"/>
    <w:rsid w:val="00F95EE7"/>
    <w:rsid w:val="00F9660B"/>
    <w:rsid w:val="00FA280A"/>
    <w:rsid w:val="00FA299B"/>
    <w:rsid w:val="00FA39E6"/>
    <w:rsid w:val="00FA7BC9"/>
    <w:rsid w:val="00FB0A4F"/>
    <w:rsid w:val="00FB22C7"/>
    <w:rsid w:val="00FB278A"/>
    <w:rsid w:val="00FB378E"/>
    <w:rsid w:val="00FB37F1"/>
    <w:rsid w:val="00FB3D4F"/>
    <w:rsid w:val="00FB47C0"/>
    <w:rsid w:val="00FB501B"/>
    <w:rsid w:val="00FB5248"/>
    <w:rsid w:val="00FB719A"/>
    <w:rsid w:val="00FB7770"/>
    <w:rsid w:val="00FC0F71"/>
    <w:rsid w:val="00FC1BE8"/>
    <w:rsid w:val="00FC4228"/>
    <w:rsid w:val="00FC679C"/>
    <w:rsid w:val="00FD0BE9"/>
    <w:rsid w:val="00FD3B91"/>
    <w:rsid w:val="00FD576B"/>
    <w:rsid w:val="00FD579E"/>
    <w:rsid w:val="00FD6845"/>
    <w:rsid w:val="00FD6F20"/>
    <w:rsid w:val="00FE4516"/>
    <w:rsid w:val="00FE64C8"/>
    <w:rsid w:val="00FF031B"/>
    <w:rsid w:val="00FF05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FF5B3C5-100B-46C1-B2BD-05401568F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E5630F"/>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ind w:left="2381"/>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501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
    <w:name w:val="Plain Text"/>
    <w:basedOn w:val="a6"/>
    <w:link w:val="aff0"/>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f1">
    <w:name w:val="footnote text"/>
    <w:basedOn w:val="a6"/>
    <w:link w:val="aff2"/>
    <w:uiPriority w:val="99"/>
    <w:semiHidden/>
    <w:unhideWhenUsed/>
    <w:rsid w:val="0075721B"/>
    <w:pPr>
      <w:snapToGrid w:val="0"/>
      <w:jc w:val="left"/>
    </w:pPr>
    <w:rPr>
      <w:sz w:val="20"/>
    </w:rPr>
  </w:style>
  <w:style w:type="character" w:customStyle="1" w:styleId="aff2">
    <w:name w:val="註腳文字 字元"/>
    <w:basedOn w:val="a7"/>
    <w:link w:val="aff1"/>
    <w:uiPriority w:val="99"/>
    <w:semiHidden/>
    <w:rsid w:val="0075721B"/>
    <w:rPr>
      <w:rFonts w:ascii="標楷體" w:eastAsia="標楷體"/>
      <w:kern w:val="2"/>
    </w:rPr>
  </w:style>
  <w:style w:type="character" w:styleId="aff3">
    <w:name w:val="footnote reference"/>
    <w:basedOn w:val="a7"/>
    <w:uiPriority w:val="99"/>
    <w:semiHidden/>
    <w:unhideWhenUsed/>
    <w:rsid w:val="0075721B"/>
    <w:rPr>
      <w:vertAlign w:val="superscript"/>
    </w:rPr>
  </w:style>
  <w:style w:type="character" w:customStyle="1" w:styleId="aff4">
    <w:name w:val="內文文字_"/>
    <w:basedOn w:val="a7"/>
    <w:link w:val="aff5"/>
    <w:locked/>
    <w:rsid w:val="00962712"/>
    <w:rPr>
      <w:rFonts w:eastAsia="Times New Roman"/>
      <w:shd w:val="clear" w:color="auto" w:fill="FFFFFF"/>
    </w:rPr>
  </w:style>
  <w:style w:type="paragraph" w:customStyle="1" w:styleId="aff5">
    <w:name w:val="內文文字"/>
    <w:basedOn w:val="a6"/>
    <w:link w:val="aff4"/>
    <w:rsid w:val="00962712"/>
    <w:pPr>
      <w:shd w:val="clear" w:color="auto" w:fill="FFFFFF"/>
      <w:overflowPunct/>
      <w:autoSpaceDE/>
      <w:autoSpaceDN/>
      <w:jc w:val="left"/>
    </w:pPr>
    <w:rPr>
      <w:rFonts w:ascii="Times New Roman" w:eastAsia="Times New Roman"/>
      <w:kern w:val="0"/>
      <w:sz w:val="20"/>
    </w:rPr>
  </w:style>
  <w:style w:type="character" w:customStyle="1" w:styleId="MingLiU">
    <w:name w:val="內文文字 + MingLiU"/>
    <w:aliases w:val="11.5 pt,4.5 pt,縮放 150%,間距 3 pt,6 pt,間距 4 pt,縮放 66%,7 pt"/>
    <w:basedOn w:val="aff4"/>
    <w:rsid w:val="00962712"/>
    <w:rPr>
      <w:rFonts w:ascii="細明體" w:eastAsia="細明體" w:hAnsi="細明體" w:cs="細明體" w:hint="eastAsia"/>
      <w:color w:val="000000"/>
      <w:spacing w:val="0"/>
      <w:w w:val="100"/>
      <w:position w:val="0"/>
      <w:sz w:val="23"/>
      <w:szCs w:val="23"/>
      <w:shd w:val="clear" w:color="auto" w:fill="FFFFFF"/>
      <w:lang w:val="ja-JP"/>
    </w:rPr>
  </w:style>
  <w:style w:type="character" w:customStyle="1" w:styleId="ArialUnicodeMS">
    <w:name w:val="內文文字 + Arial Unicode MS"/>
    <w:aliases w:val="10.5 pt,8 pt,15 pt,間距 2 pt,內文文字 (23) + MS Gothic"/>
    <w:basedOn w:val="aff4"/>
    <w:rsid w:val="00962712"/>
    <w:rPr>
      <w:rFonts w:ascii="Arial Unicode MS" w:eastAsia="Arial Unicode MS" w:hAnsi="Arial Unicode MS" w:cs="Arial Unicode MS"/>
      <w:color w:val="000000"/>
      <w:spacing w:val="0"/>
      <w:w w:val="100"/>
      <w:position w:val="0"/>
      <w:sz w:val="21"/>
      <w:szCs w:val="21"/>
      <w:shd w:val="clear" w:color="auto" w:fill="FFFFFF"/>
      <w:lang w:val="ja-JP"/>
    </w:rPr>
  </w:style>
  <w:style w:type="character" w:customStyle="1" w:styleId="MSGothic">
    <w:name w:val="內文文字 + MS Gothic"/>
    <w:aliases w:val="4 pt,斜體,小型大寫字母,間距 -1 pt,5.5 pt,22 pt,間距 0 pt"/>
    <w:basedOn w:val="aff4"/>
    <w:rsid w:val="00962712"/>
    <w:rPr>
      <w:rFonts w:ascii="MS Gothic" w:eastAsia="MS Gothic" w:hAnsi="MS Gothic" w:cs="MS Gothic" w:hint="eastAsia"/>
      <w:i/>
      <w:iCs/>
      <w:smallCaps/>
      <w:color w:val="000000"/>
      <w:spacing w:val="-20"/>
      <w:w w:val="100"/>
      <w:position w:val="0"/>
      <w:sz w:val="8"/>
      <w:szCs w:val="8"/>
      <w:shd w:val="clear" w:color="auto" w:fill="FFFFFF"/>
      <w:lang w:val="en-US"/>
    </w:rPr>
  </w:style>
  <w:style w:type="character" w:customStyle="1" w:styleId="Calibri">
    <w:name w:val="內文文字 + Calibri"/>
    <w:aliases w:val="7.5 pt,粗體"/>
    <w:basedOn w:val="aff4"/>
    <w:rsid w:val="00962712"/>
    <w:rPr>
      <w:rFonts w:ascii="Calibri" w:eastAsia="Calibri" w:hAnsi="Calibri" w:cs="Calibri"/>
      <w:b/>
      <w:bCs/>
      <w:color w:val="000000"/>
      <w:spacing w:val="0"/>
      <w:w w:val="100"/>
      <w:position w:val="0"/>
      <w:sz w:val="15"/>
      <w:szCs w:val="15"/>
      <w:shd w:val="clear" w:color="auto" w:fill="FFFFFF"/>
      <w:lang w:val="en-US"/>
    </w:rPr>
  </w:style>
  <w:style w:type="table" w:customStyle="1" w:styleId="13">
    <w:name w:val="表格格線1"/>
    <w:basedOn w:val="a8"/>
    <w:next w:val="afb"/>
    <w:uiPriority w:val="39"/>
    <w:rsid w:val="005B54FF"/>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b"/>
    <w:uiPriority w:val="39"/>
    <w:rsid w:val="002D2D1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b"/>
    <w:uiPriority w:val="39"/>
    <w:rsid w:val="0016417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標題 7 字元"/>
    <w:basedOn w:val="a7"/>
    <w:link w:val="7"/>
    <w:rsid w:val="00810783"/>
    <w:rPr>
      <w:rFonts w:ascii="標楷體" w:eastAsia="標楷體" w:hAnsi="Arial"/>
      <w:bCs/>
      <w:kern w:val="32"/>
      <w:sz w:val="32"/>
      <w:szCs w:val="36"/>
    </w:rPr>
  </w:style>
  <w:style w:type="character" w:customStyle="1" w:styleId="10">
    <w:name w:val="標題 1 字元"/>
    <w:basedOn w:val="a7"/>
    <w:link w:val="1"/>
    <w:rsid w:val="00E5630F"/>
    <w:rPr>
      <w:rFonts w:ascii="標楷體" w:eastAsia="標楷體" w:hAnsi="Arial"/>
      <w:bCs/>
      <w:kern w:val="32"/>
      <w:sz w:val="32"/>
      <w:szCs w:val="52"/>
    </w:rPr>
  </w:style>
  <w:style w:type="character" w:customStyle="1" w:styleId="30">
    <w:name w:val="標題 3 字元"/>
    <w:basedOn w:val="a7"/>
    <w:link w:val="3"/>
    <w:rsid w:val="00E5630F"/>
    <w:rPr>
      <w:rFonts w:ascii="標楷體" w:eastAsia="標楷體" w:hAnsi="Arial"/>
      <w:bCs/>
      <w:kern w:val="32"/>
      <w:sz w:val="32"/>
      <w:szCs w:val="36"/>
    </w:rPr>
  </w:style>
  <w:style w:type="character" w:customStyle="1" w:styleId="40">
    <w:name w:val="標題 4 字元"/>
    <w:basedOn w:val="a7"/>
    <w:link w:val="4"/>
    <w:rsid w:val="00E5630F"/>
    <w:rPr>
      <w:rFonts w:ascii="標楷體" w:eastAsia="標楷體" w:hAnsi="Arial"/>
      <w:kern w:val="32"/>
      <w:sz w:val="32"/>
      <w:szCs w:val="36"/>
    </w:rPr>
  </w:style>
  <w:style w:type="character" w:customStyle="1" w:styleId="50">
    <w:name w:val="標題 5 字元"/>
    <w:basedOn w:val="a7"/>
    <w:link w:val="5"/>
    <w:rsid w:val="00E5630F"/>
    <w:rPr>
      <w:rFonts w:ascii="標楷體" w:eastAsia="標楷體" w:hAnsi="Arial"/>
      <w:bCs/>
      <w:kern w:val="32"/>
      <w:sz w:val="32"/>
      <w:szCs w:val="36"/>
    </w:rPr>
  </w:style>
  <w:style w:type="character" w:customStyle="1" w:styleId="60">
    <w:name w:val="標題 6 字元"/>
    <w:basedOn w:val="a7"/>
    <w:link w:val="6"/>
    <w:rsid w:val="00E5630F"/>
    <w:rPr>
      <w:rFonts w:ascii="標楷體" w:eastAsia="標楷體" w:hAnsi="Arial"/>
      <w:kern w:val="32"/>
      <w:sz w:val="32"/>
      <w:szCs w:val="36"/>
    </w:rPr>
  </w:style>
  <w:style w:type="character" w:customStyle="1" w:styleId="80">
    <w:name w:val="標題 8 字元"/>
    <w:basedOn w:val="a7"/>
    <w:link w:val="8"/>
    <w:rsid w:val="00E5630F"/>
    <w:rPr>
      <w:rFonts w:ascii="標楷體" w:eastAsia="標楷體" w:hAnsi="Arial"/>
      <w:kern w:val="32"/>
      <w:sz w:val="32"/>
      <w:szCs w:val="36"/>
    </w:rPr>
  </w:style>
  <w:style w:type="character" w:styleId="aff6">
    <w:name w:val="FollowedHyperlink"/>
    <w:basedOn w:val="a7"/>
    <w:uiPriority w:val="99"/>
    <w:semiHidden/>
    <w:unhideWhenUsed/>
    <w:rsid w:val="00E5630F"/>
    <w:rPr>
      <w:color w:val="800080" w:themeColor="followedHyperlink"/>
      <w:u w:val="single"/>
    </w:rPr>
  </w:style>
  <w:style w:type="paragraph" w:customStyle="1" w:styleId="msonormal0">
    <w:name w:val="msonormal"/>
    <w:basedOn w:val="a6"/>
    <w:rsid w:val="00E5630F"/>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f0">
    <w:name w:val="頁首 字元"/>
    <w:basedOn w:val="a7"/>
    <w:link w:val="af"/>
    <w:semiHidden/>
    <w:rsid w:val="00E5630F"/>
    <w:rPr>
      <w:rFonts w:ascii="標楷體" w:eastAsia="標楷體"/>
      <w:kern w:val="2"/>
    </w:rPr>
  </w:style>
  <w:style w:type="character" w:customStyle="1" w:styleId="af8">
    <w:name w:val="頁尾 字元"/>
    <w:basedOn w:val="a7"/>
    <w:link w:val="af7"/>
    <w:semiHidden/>
    <w:rsid w:val="00E5630F"/>
    <w:rPr>
      <w:rFonts w:ascii="標楷體" w:eastAsia="標楷體"/>
      <w:kern w:val="2"/>
    </w:rPr>
  </w:style>
  <w:style w:type="character" w:customStyle="1" w:styleId="ad">
    <w:name w:val="章節附註文字 字元"/>
    <w:basedOn w:val="a7"/>
    <w:link w:val="ac"/>
    <w:semiHidden/>
    <w:rsid w:val="00E5630F"/>
    <w:rPr>
      <w:rFonts w:ascii="標楷體" w:eastAsia="標楷體"/>
      <w:snapToGrid w:val="0"/>
      <w:spacing w:val="10"/>
      <w:kern w:val="2"/>
      <w:sz w:val="32"/>
    </w:rPr>
  </w:style>
  <w:style w:type="character" w:customStyle="1" w:styleId="ab">
    <w:name w:val="簽名 字元"/>
    <w:basedOn w:val="a7"/>
    <w:link w:val="aa"/>
    <w:semiHidden/>
    <w:rsid w:val="00E5630F"/>
    <w:rPr>
      <w:rFonts w:ascii="標楷體" w:eastAsia="標楷體"/>
      <w:b/>
      <w:snapToGrid w:val="0"/>
      <w:spacing w:val="10"/>
      <w:kern w:val="2"/>
      <w:sz w:val="36"/>
    </w:rPr>
  </w:style>
  <w:style w:type="character" w:customStyle="1" w:styleId="af5">
    <w:name w:val="本文縮排 字元"/>
    <w:basedOn w:val="a7"/>
    <w:link w:val="af4"/>
    <w:semiHidden/>
    <w:rsid w:val="00E5630F"/>
    <w:rPr>
      <w:rFonts w:ascii="標楷體" w:eastAsia="標楷體"/>
      <w:kern w:val="2"/>
      <w:sz w:val="32"/>
    </w:rPr>
  </w:style>
  <w:style w:type="table" w:customStyle="1" w:styleId="43">
    <w:name w:val="表格格線4"/>
    <w:basedOn w:val="a8"/>
    <w:next w:val="afb"/>
    <w:uiPriority w:val="59"/>
    <w:rsid w:val="001D0FF2"/>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6"/>
    <w:link w:val="HTML0"/>
    <w:uiPriority w:val="99"/>
    <w:unhideWhenUsed/>
    <w:rsid w:val="000A29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0A2930"/>
    <w:rPr>
      <w:rFonts w:ascii="細明體" w:eastAsia="細明體" w:hAnsi="細明體" w:cs="細明體"/>
      <w:sz w:val="24"/>
      <w:szCs w:val="24"/>
    </w:rPr>
  </w:style>
  <w:style w:type="character" w:customStyle="1" w:styleId="highlight1">
    <w:name w:val="highlight1"/>
    <w:basedOn w:val="a7"/>
    <w:rsid w:val="00956085"/>
    <w:rPr>
      <w:b/>
      <w:bCs/>
    </w:rPr>
  </w:style>
  <w:style w:type="character" w:customStyle="1" w:styleId="230">
    <w:name w:val="內文文字 (23)"/>
    <w:basedOn w:val="a7"/>
    <w:rsid w:val="006D60F9"/>
    <w:rPr>
      <w:rFonts w:ascii="Arial Unicode MS" w:eastAsia="Arial Unicode MS" w:hAnsi="Arial Unicode MS" w:cs="Arial Unicode MS" w:hint="default"/>
      <w:b w:val="0"/>
      <w:bCs w:val="0"/>
      <w:i w:val="0"/>
      <w:iCs w:val="0"/>
      <w:smallCaps w:val="0"/>
      <w:strike w:val="0"/>
      <w:dstrike w:val="0"/>
      <w:color w:val="000000"/>
      <w:spacing w:val="0"/>
      <w:w w:val="100"/>
      <w:position w:val="0"/>
      <w:sz w:val="20"/>
      <w:szCs w:val="20"/>
      <w:u w:val="none"/>
      <w:effect w:val="none"/>
      <w:lang w:val="ja-JP"/>
    </w:rPr>
  </w:style>
  <w:style w:type="character" w:customStyle="1" w:styleId="15">
    <w:name w:val="標題 #1"/>
    <w:basedOn w:val="a7"/>
    <w:rsid w:val="006D60F9"/>
    <w:rPr>
      <w:rFonts w:ascii="MS Gothic" w:eastAsia="MS Gothic" w:hAnsi="MS Gothic" w:cs="MS Gothic" w:hint="eastAsia"/>
      <w:b w:val="0"/>
      <w:bCs w:val="0"/>
      <w:i w:val="0"/>
      <w:iCs w:val="0"/>
      <w:smallCaps w:val="0"/>
      <w:strike w:val="0"/>
      <w:dstrike w:val="0"/>
      <w:color w:val="000000"/>
      <w:spacing w:val="60"/>
      <w:w w:val="100"/>
      <w:position w:val="0"/>
      <w:sz w:val="48"/>
      <w:szCs w:val="48"/>
      <w:u w:val="none"/>
      <w:effect w:val="none"/>
      <w:lang w:val="ja-JP"/>
    </w:rPr>
  </w:style>
  <w:style w:type="character" w:customStyle="1" w:styleId="article-contentauthor">
    <w:name w:val="article-content__author"/>
    <w:basedOn w:val="a7"/>
    <w:rsid w:val="00872B78"/>
  </w:style>
  <w:style w:type="character" w:customStyle="1" w:styleId="btn">
    <w:name w:val="btn"/>
    <w:basedOn w:val="a7"/>
    <w:rsid w:val="00872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8542">
      <w:bodyDiv w:val="1"/>
      <w:marLeft w:val="0"/>
      <w:marRight w:val="0"/>
      <w:marTop w:val="0"/>
      <w:marBottom w:val="0"/>
      <w:divBdr>
        <w:top w:val="none" w:sz="0" w:space="0" w:color="auto"/>
        <w:left w:val="none" w:sz="0" w:space="0" w:color="auto"/>
        <w:bottom w:val="none" w:sz="0" w:space="0" w:color="auto"/>
        <w:right w:val="none" w:sz="0" w:space="0" w:color="auto"/>
      </w:divBdr>
    </w:div>
    <w:div w:id="29917000">
      <w:bodyDiv w:val="1"/>
      <w:marLeft w:val="0"/>
      <w:marRight w:val="0"/>
      <w:marTop w:val="0"/>
      <w:marBottom w:val="0"/>
      <w:divBdr>
        <w:top w:val="none" w:sz="0" w:space="0" w:color="auto"/>
        <w:left w:val="none" w:sz="0" w:space="0" w:color="auto"/>
        <w:bottom w:val="none" w:sz="0" w:space="0" w:color="auto"/>
        <w:right w:val="none" w:sz="0" w:space="0" w:color="auto"/>
      </w:divBdr>
    </w:div>
    <w:div w:id="174924992">
      <w:bodyDiv w:val="1"/>
      <w:marLeft w:val="0"/>
      <w:marRight w:val="0"/>
      <w:marTop w:val="0"/>
      <w:marBottom w:val="0"/>
      <w:divBdr>
        <w:top w:val="none" w:sz="0" w:space="0" w:color="auto"/>
        <w:left w:val="none" w:sz="0" w:space="0" w:color="auto"/>
        <w:bottom w:val="none" w:sz="0" w:space="0" w:color="auto"/>
        <w:right w:val="none" w:sz="0" w:space="0" w:color="auto"/>
      </w:divBdr>
    </w:div>
    <w:div w:id="274213774">
      <w:bodyDiv w:val="1"/>
      <w:marLeft w:val="0"/>
      <w:marRight w:val="0"/>
      <w:marTop w:val="0"/>
      <w:marBottom w:val="0"/>
      <w:divBdr>
        <w:top w:val="none" w:sz="0" w:space="0" w:color="auto"/>
        <w:left w:val="none" w:sz="0" w:space="0" w:color="auto"/>
        <w:bottom w:val="none" w:sz="0" w:space="0" w:color="auto"/>
        <w:right w:val="none" w:sz="0" w:space="0" w:color="auto"/>
      </w:divBdr>
    </w:div>
    <w:div w:id="367489188">
      <w:bodyDiv w:val="1"/>
      <w:marLeft w:val="0"/>
      <w:marRight w:val="0"/>
      <w:marTop w:val="0"/>
      <w:marBottom w:val="0"/>
      <w:divBdr>
        <w:top w:val="none" w:sz="0" w:space="0" w:color="auto"/>
        <w:left w:val="none" w:sz="0" w:space="0" w:color="auto"/>
        <w:bottom w:val="none" w:sz="0" w:space="0" w:color="auto"/>
        <w:right w:val="none" w:sz="0" w:space="0" w:color="auto"/>
      </w:divBdr>
    </w:div>
    <w:div w:id="397021118">
      <w:bodyDiv w:val="1"/>
      <w:marLeft w:val="0"/>
      <w:marRight w:val="0"/>
      <w:marTop w:val="0"/>
      <w:marBottom w:val="0"/>
      <w:divBdr>
        <w:top w:val="none" w:sz="0" w:space="0" w:color="auto"/>
        <w:left w:val="none" w:sz="0" w:space="0" w:color="auto"/>
        <w:bottom w:val="none" w:sz="0" w:space="0" w:color="auto"/>
        <w:right w:val="none" w:sz="0" w:space="0" w:color="auto"/>
      </w:divBdr>
    </w:div>
    <w:div w:id="418138493">
      <w:bodyDiv w:val="1"/>
      <w:marLeft w:val="0"/>
      <w:marRight w:val="0"/>
      <w:marTop w:val="0"/>
      <w:marBottom w:val="0"/>
      <w:divBdr>
        <w:top w:val="none" w:sz="0" w:space="0" w:color="auto"/>
        <w:left w:val="none" w:sz="0" w:space="0" w:color="auto"/>
        <w:bottom w:val="none" w:sz="0" w:space="0" w:color="auto"/>
        <w:right w:val="none" w:sz="0" w:space="0" w:color="auto"/>
      </w:divBdr>
    </w:div>
    <w:div w:id="486440266">
      <w:bodyDiv w:val="1"/>
      <w:marLeft w:val="0"/>
      <w:marRight w:val="0"/>
      <w:marTop w:val="0"/>
      <w:marBottom w:val="0"/>
      <w:divBdr>
        <w:top w:val="none" w:sz="0" w:space="0" w:color="auto"/>
        <w:left w:val="none" w:sz="0" w:space="0" w:color="auto"/>
        <w:bottom w:val="none" w:sz="0" w:space="0" w:color="auto"/>
        <w:right w:val="none" w:sz="0" w:space="0" w:color="auto"/>
      </w:divBdr>
    </w:div>
    <w:div w:id="557713011">
      <w:bodyDiv w:val="1"/>
      <w:marLeft w:val="0"/>
      <w:marRight w:val="0"/>
      <w:marTop w:val="0"/>
      <w:marBottom w:val="0"/>
      <w:divBdr>
        <w:top w:val="none" w:sz="0" w:space="0" w:color="auto"/>
        <w:left w:val="none" w:sz="0" w:space="0" w:color="auto"/>
        <w:bottom w:val="none" w:sz="0" w:space="0" w:color="auto"/>
        <w:right w:val="none" w:sz="0" w:space="0" w:color="auto"/>
      </w:divBdr>
    </w:div>
    <w:div w:id="588734206">
      <w:bodyDiv w:val="1"/>
      <w:marLeft w:val="0"/>
      <w:marRight w:val="0"/>
      <w:marTop w:val="0"/>
      <w:marBottom w:val="0"/>
      <w:divBdr>
        <w:top w:val="none" w:sz="0" w:space="0" w:color="auto"/>
        <w:left w:val="none" w:sz="0" w:space="0" w:color="auto"/>
        <w:bottom w:val="none" w:sz="0" w:space="0" w:color="auto"/>
        <w:right w:val="none" w:sz="0" w:space="0" w:color="auto"/>
      </w:divBdr>
    </w:div>
    <w:div w:id="638648904">
      <w:bodyDiv w:val="1"/>
      <w:marLeft w:val="0"/>
      <w:marRight w:val="0"/>
      <w:marTop w:val="0"/>
      <w:marBottom w:val="0"/>
      <w:divBdr>
        <w:top w:val="none" w:sz="0" w:space="0" w:color="auto"/>
        <w:left w:val="none" w:sz="0" w:space="0" w:color="auto"/>
        <w:bottom w:val="none" w:sz="0" w:space="0" w:color="auto"/>
        <w:right w:val="none" w:sz="0" w:space="0" w:color="auto"/>
      </w:divBdr>
    </w:div>
    <w:div w:id="680622315">
      <w:bodyDiv w:val="1"/>
      <w:marLeft w:val="0"/>
      <w:marRight w:val="0"/>
      <w:marTop w:val="0"/>
      <w:marBottom w:val="0"/>
      <w:divBdr>
        <w:top w:val="none" w:sz="0" w:space="0" w:color="auto"/>
        <w:left w:val="none" w:sz="0" w:space="0" w:color="auto"/>
        <w:bottom w:val="none" w:sz="0" w:space="0" w:color="auto"/>
        <w:right w:val="none" w:sz="0" w:space="0" w:color="auto"/>
      </w:divBdr>
    </w:div>
    <w:div w:id="807434614">
      <w:bodyDiv w:val="1"/>
      <w:marLeft w:val="0"/>
      <w:marRight w:val="0"/>
      <w:marTop w:val="0"/>
      <w:marBottom w:val="0"/>
      <w:divBdr>
        <w:top w:val="none" w:sz="0" w:space="0" w:color="auto"/>
        <w:left w:val="none" w:sz="0" w:space="0" w:color="auto"/>
        <w:bottom w:val="none" w:sz="0" w:space="0" w:color="auto"/>
        <w:right w:val="none" w:sz="0" w:space="0" w:color="auto"/>
      </w:divBdr>
    </w:div>
    <w:div w:id="81560603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67260980">
      <w:bodyDiv w:val="1"/>
      <w:marLeft w:val="0"/>
      <w:marRight w:val="0"/>
      <w:marTop w:val="0"/>
      <w:marBottom w:val="0"/>
      <w:divBdr>
        <w:top w:val="none" w:sz="0" w:space="0" w:color="auto"/>
        <w:left w:val="none" w:sz="0" w:space="0" w:color="auto"/>
        <w:bottom w:val="none" w:sz="0" w:space="0" w:color="auto"/>
        <w:right w:val="none" w:sz="0" w:space="0" w:color="auto"/>
      </w:divBdr>
    </w:div>
    <w:div w:id="910582862">
      <w:bodyDiv w:val="1"/>
      <w:marLeft w:val="0"/>
      <w:marRight w:val="0"/>
      <w:marTop w:val="0"/>
      <w:marBottom w:val="0"/>
      <w:divBdr>
        <w:top w:val="none" w:sz="0" w:space="0" w:color="auto"/>
        <w:left w:val="none" w:sz="0" w:space="0" w:color="auto"/>
        <w:bottom w:val="none" w:sz="0" w:space="0" w:color="auto"/>
        <w:right w:val="none" w:sz="0" w:space="0" w:color="auto"/>
      </w:divBdr>
    </w:div>
    <w:div w:id="942498532">
      <w:bodyDiv w:val="1"/>
      <w:marLeft w:val="0"/>
      <w:marRight w:val="0"/>
      <w:marTop w:val="0"/>
      <w:marBottom w:val="0"/>
      <w:divBdr>
        <w:top w:val="none" w:sz="0" w:space="0" w:color="auto"/>
        <w:left w:val="none" w:sz="0" w:space="0" w:color="auto"/>
        <w:bottom w:val="none" w:sz="0" w:space="0" w:color="auto"/>
        <w:right w:val="none" w:sz="0" w:space="0" w:color="auto"/>
      </w:divBdr>
    </w:div>
    <w:div w:id="960573815">
      <w:bodyDiv w:val="1"/>
      <w:marLeft w:val="0"/>
      <w:marRight w:val="0"/>
      <w:marTop w:val="0"/>
      <w:marBottom w:val="0"/>
      <w:divBdr>
        <w:top w:val="none" w:sz="0" w:space="0" w:color="auto"/>
        <w:left w:val="none" w:sz="0" w:space="0" w:color="auto"/>
        <w:bottom w:val="none" w:sz="0" w:space="0" w:color="auto"/>
        <w:right w:val="none" w:sz="0" w:space="0" w:color="auto"/>
      </w:divBdr>
    </w:div>
    <w:div w:id="1014725551">
      <w:bodyDiv w:val="1"/>
      <w:marLeft w:val="0"/>
      <w:marRight w:val="0"/>
      <w:marTop w:val="0"/>
      <w:marBottom w:val="0"/>
      <w:divBdr>
        <w:top w:val="none" w:sz="0" w:space="0" w:color="auto"/>
        <w:left w:val="none" w:sz="0" w:space="0" w:color="auto"/>
        <w:bottom w:val="none" w:sz="0" w:space="0" w:color="auto"/>
        <w:right w:val="none" w:sz="0" w:space="0" w:color="auto"/>
      </w:divBdr>
    </w:div>
    <w:div w:id="1017341824">
      <w:bodyDiv w:val="1"/>
      <w:marLeft w:val="0"/>
      <w:marRight w:val="0"/>
      <w:marTop w:val="0"/>
      <w:marBottom w:val="0"/>
      <w:divBdr>
        <w:top w:val="none" w:sz="0" w:space="0" w:color="auto"/>
        <w:left w:val="none" w:sz="0" w:space="0" w:color="auto"/>
        <w:bottom w:val="none" w:sz="0" w:space="0" w:color="auto"/>
        <w:right w:val="none" w:sz="0" w:space="0" w:color="auto"/>
      </w:divBdr>
    </w:div>
    <w:div w:id="1078013379">
      <w:bodyDiv w:val="1"/>
      <w:marLeft w:val="0"/>
      <w:marRight w:val="0"/>
      <w:marTop w:val="0"/>
      <w:marBottom w:val="0"/>
      <w:divBdr>
        <w:top w:val="none" w:sz="0" w:space="0" w:color="auto"/>
        <w:left w:val="none" w:sz="0" w:space="0" w:color="auto"/>
        <w:bottom w:val="none" w:sz="0" w:space="0" w:color="auto"/>
        <w:right w:val="none" w:sz="0" w:space="0" w:color="auto"/>
      </w:divBdr>
    </w:div>
    <w:div w:id="1103577082">
      <w:bodyDiv w:val="1"/>
      <w:marLeft w:val="0"/>
      <w:marRight w:val="0"/>
      <w:marTop w:val="0"/>
      <w:marBottom w:val="0"/>
      <w:divBdr>
        <w:top w:val="none" w:sz="0" w:space="0" w:color="auto"/>
        <w:left w:val="none" w:sz="0" w:space="0" w:color="auto"/>
        <w:bottom w:val="none" w:sz="0" w:space="0" w:color="auto"/>
        <w:right w:val="none" w:sz="0" w:space="0" w:color="auto"/>
      </w:divBdr>
    </w:div>
    <w:div w:id="1115834960">
      <w:bodyDiv w:val="1"/>
      <w:marLeft w:val="0"/>
      <w:marRight w:val="0"/>
      <w:marTop w:val="0"/>
      <w:marBottom w:val="0"/>
      <w:divBdr>
        <w:top w:val="none" w:sz="0" w:space="0" w:color="auto"/>
        <w:left w:val="none" w:sz="0" w:space="0" w:color="auto"/>
        <w:bottom w:val="none" w:sz="0" w:space="0" w:color="auto"/>
        <w:right w:val="none" w:sz="0" w:space="0" w:color="auto"/>
      </w:divBdr>
    </w:div>
    <w:div w:id="1188132398">
      <w:bodyDiv w:val="1"/>
      <w:marLeft w:val="0"/>
      <w:marRight w:val="0"/>
      <w:marTop w:val="0"/>
      <w:marBottom w:val="0"/>
      <w:divBdr>
        <w:top w:val="none" w:sz="0" w:space="0" w:color="auto"/>
        <w:left w:val="none" w:sz="0" w:space="0" w:color="auto"/>
        <w:bottom w:val="none" w:sz="0" w:space="0" w:color="auto"/>
        <w:right w:val="none" w:sz="0" w:space="0" w:color="auto"/>
      </w:divBdr>
    </w:div>
    <w:div w:id="1190754013">
      <w:bodyDiv w:val="1"/>
      <w:marLeft w:val="0"/>
      <w:marRight w:val="0"/>
      <w:marTop w:val="0"/>
      <w:marBottom w:val="0"/>
      <w:divBdr>
        <w:top w:val="none" w:sz="0" w:space="0" w:color="auto"/>
        <w:left w:val="none" w:sz="0" w:space="0" w:color="auto"/>
        <w:bottom w:val="none" w:sz="0" w:space="0" w:color="auto"/>
        <w:right w:val="none" w:sz="0" w:space="0" w:color="auto"/>
      </w:divBdr>
    </w:div>
    <w:div w:id="1304310853">
      <w:bodyDiv w:val="1"/>
      <w:marLeft w:val="0"/>
      <w:marRight w:val="0"/>
      <w:marTop w:val="0"/>
      <w:marBottom w:val="0"/>
      <w:divBdr>
        <w:top w:val="none" w:sz="0" w:space="0" w:color="auto"/>
        <w:left w:val="none" w:sz="0" w:space="0" w:color="auto"/>
        <w:bottom w:val="none" w:sz="0" w:space="0" w:color="auto"/>
        <w:right w:val="none" w:sz="0" w:space="0" w:color="auto"/>
      </w:divBdr>
    </w:div>
    <w:div w:id="1309554020">
      <w:bodyDiv w:val="1"/>
      <w:marLeft w:val="0"/>
      <w:marRight w:val="0"/>
      <w:marTop w:val="0"/>
      <w:marBottom w:val="0"/>
      <w:divBdr>
        <w:top w:val="none" w:sz="0" w:space="0" w:color="auto"/>
        <w:left w:val="none" w:sz="0" w:space="0" w:color="auto"/>
        <w:bottom w:val="none" w:sz="0" w:space="0" w:color="auto"/>
        <w:right w:val="none" w:sz="0" w:space="0" w:color="auto"/>
      </w:divBdr>
    </w:div>
    <w:div w:id="1323313160">
      <w:bodyDiv w:val="1"/>
      <w:marLeft w:val="0"/>
      <w:marRight w:val="0"/>
      <w:marTop w:val="0"/>
      <w:marBottom w:val="0"/>
      <w:divBdr>
        <w:top w:val="none" w:sz="0" w:space="0" w:color="auto"/>
        <w:left w:val="none" w:sz="0" w:space="0" w:color="auto"/>
        <w:bottom w:val="none" w:sz="0" w:space="0" w:color="auto"/>
        <w:right w:val="none" w:sz="0" w:space="0" w:color="auto"/>
      </w:divBdr>
    </w:div>
    <w:div w:id="1353259616">
      <w:bodyDiv w:val="1"/>
      <w:marLeft w:val="0"/>
      <w:marRight w:val="0"/>
      <w:marTop w:val="0"/>
      <w:marBottom w:val="0"/>
      <w:divBdr>
        <w:top w:val="none" w:sz="0" w:space="0" w:color="auto"/>
        <w:left w:val="none" w:sz="0" w:space="0" w:color="auto"/>
        <w:bottom w:val="none" w:sz="0" w:space="0" w:color="auto"/>
        <w:right w:val="none" w:sz="0" w:space="0" w:color="auto"/>
      </w:divBdr>
    </w:div>
    <w:div w:id="1389180599">
      <w:bodyDiv w:val="1"/>
      <w:marLeft w:val="0"/>
      <w:marRight w:val="0"/>
      <w:marTop w:val="0"/>
      <w:marBottom w:val="0"/>
      <w:divBdr>
        <w:top w:val="none" w:sz="0" w:space="0" w:color="auto"/>
        <w:left w:val="none" w:sz="0" w:space="0" w:color="auto"/>
        <w:bottom w:val="none" w:sz="0" w:space="0" w:color="auto"/>
        <w:right w:val="none" w:sz="0" w:space="0" w:color="auto"/>
      </w:divBdr>
    </w:div>
    <w:div w:id="1430849150">
      <w:bodyDiv w:val="1"/>
      <w:marLeft w:val="0"/>
      <w:marRight w:val="0"/>
      <w:marTop w:val="0"/>
      <w:marBottom w:val="0"/>
      <w:divBdr>
        <w:top w:val="none" w:sz="0" w:space="0" w:color="auto"/>
        <w:left w:val="none" w:sz="0" w:space="0" w:color="auto"/>
        <w:bottom w:val="none" w:sz="0" w:space="0" w:color="auto"/>
        <w:right w:val="none" w:sz="0" w:space="0" w:color="auto"/>
      </w:divBdr>
    </w:div>
    <w:div w:id="1477917911">
      <w:bodyDiv w:val="1"/>
      <w:marLeft w:val="0"/>
      <w:marRight w:val="0"/>
      <w:marTop w:val="0"/>
      <w:marBottom w:val="0"/>
      <w:divBdr>
        <w:top w:val="none" w:sz="0" w:space="0" w:color="auto"/>
        <w:left w:val="none" w:sz="0" w:space="0" w:color="auto"/>
        <w:bottom w:val="none" w:sz="0" w:space="0" w:color="auto"/>
        <w:right w:val="none" w:sz="0" w:space="0" w:color="auto"/>
      </w:divBdr>
    </w:div>
    <w:div w:id="1548302551">
      <w:bodyDiv w:val="1"/>
      <w:marLeft w:val="0"/>
      <w:marRight w:val="0"/>
      <w:marTop w:val="0"/>
      <w:marBottom w:val="0"/>
      <w:divBdr>
        <w:top w:val="none" w:sz="0" w:space="0" w:color="auto"/>
        <w:left w:val="none" w:sz="0" w:space="0" w:color="auto"/>
        <w:bottom w:val="none" w:sz="0" w:space="0" w:color="auto"/>
        <w:right w:val="none" w:sz="0" w:space="0" w:color="auto"/>
      </w:divBdr>
    </w:div>
    <w:div w:id="1570076987">
      <w:bodyDiv w:val="1"/>
      <w:marLeft w:val="0"/>
      <w:marRight w:val="0"/>
      <w:marTop w:val="0"/>
      <w:marBottom w:val="0"/>
      <w:divBdr>
        <w:top w:val="none" w:sz="0" w:space="0" w:color="auto"/>
        <w:left w:val="none" w:sz="0" w:space="0" w:color="auto"/>
        <w:bottom w:val="none" w:sz="0" w:space="0" w:color="auto"/>
        <w:right w:val="none" w:sz="0" w:space="0" w:color="auto"/>
      </w:divBdr>
    </w:div>
    <w:div w:id="1616864013">
      <w:bodyDiv w:val="1"/>
      <w:marLeft w:val="0"/>
      <w:marRight w:val="0"/>
      <w:marTop w:val="0"/>
      <w:marBottom w:val="0"/>
      <w:divBdr>
        <w:top w:val="none" w:sz="0" w:space="0" w:color="auto"/>
        <w:left w:val="none" w:sz="0" w:space="0" w:color="auto"/>
        <w:bottom w:val="none" w:sz="0" w:space="0" w:color="auto"/>
        <w:right w:val="none" w:sz="0" w:space="0" w:color="auto"/>
      </w:divBdr>
    </w:div>
    <w:div w:id="1715152370">
      <w:bodyDiv w:val="1"/>
      <w:marLeft w:val="0"/>
      <w:marRight w:val="0"/>
      <w:marTop w:val="0"/>
      <w:marBottom w:val="0"/>
      <w:divBdr>
        <w:top w:val="none" w:sz="0" w:space="0" w:color="auto"/>
        <w:left w:val="none" w:sz="0" w:space="0" w:color="auto"/>
        <w:bottom w:val="none" w:sz="0" w:space="0" w:color="auto"/>
        <w:right w:val="none" w:sz="0" w:space="0" w:color="auto"/>
      </w:divBdr>
    </w:div>
    <w:div w:id="1776244498">
      <w:bodyDiv w:val="1"/>
      <w:marLeft w:val="0"/>
      <w:marRight w:val="0"/>
      <w:marTop w:val="0"/>
      <w:marBottom w:val="0"/>
      <w:divBdr>
        <w:top w:val="none" w:sz="0" w:space="0" w:color="auto"/>
        <w:left w:val="none" w:sz="0" w:space="0" w:color="auto"/>
        <w:bottom w:val="none" w:sz="0" w:space="0" w:color="auto"/>
        <w:right w:val="none" w:sz="0" w:space="0" w:color="auto"/>
      </w:divBdr>
    </w:div>
    <w:div w:id="1884899430">
      <w:bodyDiv w:val="1"/>
      <w:marLeft w:val="0"/>
      <w:marRight w:val="0"/>
      <w:marTop w:val="0"/>
      <w:marBottom w:val="0"/>
      <w:divBdr>
        <w:top w:val="none" w:sz="0" w:space="0" w:color="auto"/>
        <w:left w:val="none" w:sz="0" w:space="0" w:color="auto"/>
        <w:bottom w:val="none" w:sz="0" w:space="0" w:color="auto"/>
        <w:right w:val="none" w:sz="0" w:space="0" w:color="auto"/>
      </w:divBdr>
    </w:div>
    <w:div w:id="1886719428">
      <w:bodyDiv w:val="1"/>
      <w:marLeft w:val="0"/>
      <w:marRight w:val="0"/>
      <w:marTop w:val="0"/>
      <w:marBottom w:val="0"/>
      <w:divBdr>
        <w:top w:val="none" w:sz="0" w:space="0" w:color="auto"/>
        <w:left w:val="none" w:sz="0" w:space="0" w:color="auto"/>
        <w:bottom w:val="none" w:sz="0" w:space="0" w:color="auto"/>
        <w:right w:val="none" w:sz="0" w:space="0" w:color="auto"/>
      </w:divBdr>
    </w:div>
    <w:div w:id="1972634560">
      <w:bodyDiv w:val="1"/>
      <w:marLeft w:val="0"/>
      <w:marRight w:val="0"/>
      <w:marTop w:val="0"/>
      <w:marBottom w:val="0"/>
      <w:divBdr>
        <w:top w:val="none" w:sz="0" w:space="0" w:color="auto"/>
        <w:left w:val="none" w:sz="0" w:space="0" w:color="auto"/>
        <w:bottom w:val="none" w:sz="0" w:space="0" w:color="auto"/>
        <w:right w:val="none" w:sz="0" w:space="0" w:color="auto"/>
      </w:divBdr>
    </w:div>
    <w:div w:id="198523804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327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upmedia.mg/search.php?sh_keyword=%E9%BB%83%E9%8C%A6%E5%B5%90" TargetMode="External"/><Relationship Id="rId2" Type="http://schemas.openxmlformats.org/officeDocument/2006/relationships/hyperlink" Target="https://www.upmedia.mg/search.php?sh_keyword=%E9%BB%83%E9%8C%A6%E5%B5%90" TargetMode="External"/><Relationship Id="rId1" Type="http://schemas.openxmlformats.org/officeDocument/2006/relationships/hyperlink" Target="https://udn.com/news/reporter/MDM3MDY=" TargetMode="External"/><Relationship Id="rId4" Type="http://schemas.openxmlformats.org/officeDocument/2006/relationships/hyperlink" Target="https://www.upmedia.mg/search.php?sh_keyword=%E9%BB%83%E9%8C%A6%E5%B5%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60116-E7A5-453B-9DC0-0453A3DA5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41</TotalTime>
  <Pages>37</Pages>
  <Words>4123</Words>
  <Characters>23506</Characters>
  <Application>Microsoft Office Word</Application>
  <DocSecurity>0</DocSecurity>
  <Lines>195</Lines>
  <Paragraphs>55</Paragraphs>
  <ScaleCrop>false</ScaleCrop>
  <Company>cy</Company>
  <LinksUpToDate>false</LinksUpToDate>
  <CharactersWithSpaces>27574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林秀珍</cp:lastModifiedBy>
  <cp:revision>15</cp:revision>
  <cp:lastPrinted>2020-07-15T08:40:00Z</cp:lastPrinted>
  <dcterms:created xsi:type="dcterms:W3CDTF">2020-07-15T08:09:00Z</dcterms:created>
  <dcterms:modified xsi:type="dcterms:W3CDTF">2020-07-17T06:21:00Z</dcterms:modified>
</cp:coreProperties>
</file>