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C93FB6" w:rsidRDefault="00AD2243" w:rsidP="00F37D7B">
      <w:pPr>
        <w:pStyle w:val="af3"/>
      </w:pPr>
      <w:r w:rsidRPr="00C93FB6">
        <w:rPr>
          <w:rFonts w:hint="eastAsia"/>
        </w:rPr>
        <w:t>調查</w:t>
      </w:r>
      <w:r w:rsidR="00D75644" w:rsidRPr="00C93FB6">
        <w:rPr>
          <w:rFonts w:hint="eastAsia"/>
        </w:rPr>
        <w:t>報告</w:t>
      </w:r>
    </w:p>
    <w:p w:rsidR="00E25849" w:rsidRPr="00C93FB6"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93FB6">
        <w:rPr>
          <w:rFonts w:hint="eastAsia"/>
        </w:rPr>
        <w:t>案　　由：</w:t>
      </w:r>
      <w:bookmarkEnd w:id="0"/>
      <w:bookmarkEnd w:id="1"/>
      <w:bookmarkEnd w:id="2"/>
      <w:bookmarkEnd w:id="3"/>
      <w:bookmarkEnd w:id="4"/>
      <w:bookmarkEnd w:id="5"/>
      <w:bookmarkEnd w:id="6"/>
      <w:bookmarkEnd w:id="7"/>
      <w:bookmarkEnd w:id="8"/>
      <w:bookmarkEnd w:id="9"/>
      <w:r w:rsidR="001C0DA8" w:rsidRPr="00C93FB6">
        <w:fldChar w:fldCharType="begin"/>
      </w:r>
      <w:r w:rsidRPr="00C93FB6">
        <w:instrText xml:space="preserve"> MERGEFIELD </w:instrText>
      </w:r>
      <w:r w:rsidRPr="00C93FB6">
        <w:rPr>
          <w:rFonts w:hint="eastAsia"/>
        </w:rPr>
        <w:instrText>案由</w:instrText>
      </w:r>
      <w:r w:rsidRPr="00C93FB6">
        <w:instrText xml:space="preserve"> </w:instrText>
      </w:r>
      <w:r w:rsidR="001C0DA8" w:rsidRPr="00C93FB6">
        <w:fldChar w:fldCharType="separate"/>
      </w:r>
      <w:bookmarkEnd w:id="11"/>
      <w:r w:rsidR="009F50F4" w:rsidRPr="00C93FB6">
        <w:rPr>
          <w:noProof/>
        </w:rPr>
        <w:t>據審計部107年度中央政府總決算審核報告，刑法沒收新制施行後應收犯罪所得逐年上升，法務部已訂頒相關規定積極執行沒收作業，惟實際收繳情形仍欠理想，且執行作業尚無法即時查詢受刑人銀行存款餘額，影響執行效能，有待賡續提升犯罪所得執行成效案。</w:t>
      </w:r>
      <w:bookmarkEnd w:id="10"/>
      <w:r w:rsidR="001C0DA8" w:rsidRPr="00C93FB6">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50483E" w:rsidRPr="00C93FB6" w:rsidRDefault="0050483E" w:rsidP="0050483E">
      <w:pPr>
        <w:pStyle w:val="1"/>
        <w:numPr>
          <w:ilvl w:val="0"/>
          <w:numId w:val="0"/>
        </w:numPr>
        <w:ind w:left="238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2371"/>
      <w:bookmarkStart w:id="36" w:name="_Toc524895642"/>
      <w:bookmarkStart w:id="37" w:name="_Toc524896188"/>
      <w:bookmarkStart w:id="38" w:name="_Toc524896218"/>
      <w:bookmarkStart w:id="39" w:name="_Toc524902724"/>
      <w:bookmarkStart w:id="40" w:name="_Toc525066143"/>
      <w:bookmarkStart w:id="41" w:name="_Toc525070833"/>
      <w:bookmarkStart w:id="42" w:name="_Toc525938373"/>
      <w:bookmarkStart w:id="43" w:name="_Toc525939221"/>
      <w:bookmarkStart w:id="44" w:name="_Toc525939726"/>
      <w:bookmarkStart w:id="45" w:name="_Toc529218260"/>
      <w:bookmarkStart w:id="46" w:name="_Toc529222683"/>
      <w:bookmarkStart w:id="47" w:name="_Toc529223105"/>
      <w:bookmarkStart w:id="48" w:name="_Toc529223856"/>
      <w:bookmarkStart w:id="49" w:name="_Toc529228252"/>
      <w:bookmarkStart w:id="50" w:name="_Toc2400389"/>
      <w:bookmarkStart w:id="51" w:name="_Toc4316183"/>
      <w:bookmarkStart w:id="52" w:name="_Toc4473324"/>
      <w:bookmarkStart w:id="53" w:name="_Toc69556891"/>
      <w:bookmarkStart w:id="54" w:name="_Toc69556940"/>
      <w:bookmarkStart w:id="55" w:name="_Toc69609814"/>
      <w:bookmarkStart w:id="56" w:name="_Toc70241810"/>
      <w:bookmarkStart w:id="57" w:name="_Toc70242199"/>
      <w:bookmarkStart w:id="58" w:name="_Toc421794869"/>
      <w:bookmarkStart w:id="59" w:name="_Toc422834154"/>
      <w:bookmarkEnd w:id="25"/>
      <w:bookmarkEnd w:id="26"/>
      <w:bookmarkEnd w:id="27"/>
      <w:bookmarkEnd w:id="28"/>
      <w:bookmarkEnd w:id="29"/>
      <w:bookmarkEnd w:id="30"/>
      <w:bookmarkEnd w:id="31"/>
      <w:bookmarkEnd w:id="32"/>
      <w:bookmarkEnd w:id="33"/>
      <w:bookmarkEnd w:id="34"/>
    </w:p>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rsidR="00E25849" w:rsidRPr="00C93FB6" w:rsidRDefault="00F40E30" w:rsidP="004E05A1">
      <w:pPr>
        <w:pStyle w:val="1"/>
        <w:ind w:left="2380" w:hanging="2380"/>
      </w:pPr>
      <w:r w:rsidRPr="00C93FB6">
        <w:rPr>
          <w:rFonts w:hint="eastAsia"/>
        </w:rPr>
        <w:t>調查意見：</w:t>
      </w:r>
    </w:p>
    <w:p w:rsidR="007941AC" w:rsidRPr="00C93FB6" w:rsidRDefault="007941AC" w:rsidP="007941AC">
      <w:pPr>
        <w:pStyle w:val="11"/>
        <w:ind w:left="680" w:firstLine="680"/>
        <w:rPr>
          <w:shd w:val="clear" w:color="auto" w:fill="FFFFFF"/>
        </w:rPr>
      </w:pPr>
      <w:r w:rsidRPr="00C93FB6">
        <w:rPr>
          <w:rFonts w:hint="eastAsia"/>
          <w:shd w:val="clear" w:color="auto" w:fill="FFFFFF"/>
        </w:rPr>
        <w:t>「無人能因犯罪而獲利益」係我國刑法沒收制度之核心，隨著現行刑事政策已由重刑</w:t>
      </w:r>
      <w:r w:rsidR="004C18A5" w:rsidRPr="00C93FB6">
        <w:rPr>
          <w:rFonts w:hint="eastAsia"/>
          <w:shd w:val="clear" w:color="auto" w:fill="FFFFFF"/>
        </w:rPr>
        <w:t>主義轉為以剝奪犯罪所得作為有效</w:t>
      </w:r>
      <w:r w:rsidRPr="00C93FB6">
        <w:rPr>
          <w:rFonts w:hint="eastAsia"/>
          <w:shd w:val="clear" w:color="auto" w:fill="FFFFFF"/>
        </w:rPr>
        <w:t>制裁犯罪之法律效果</w:t>
      </w:r>
      <w:r w:rsidR="0047467E" w:rsidRPr="00C93FB6">
        <w:rPr>
          <w:rFonts w:hint="eastAsia"/>
          <w:shd w:val="clear" w:color="auto" w:fill="FFFFFF"/>
        </w:rPr>
        <w:t>，以維護司法正義</w:t>
      </w:r>
      <w:r w:rsidR="004C18A5" w:rsidRPr="00C93FB6">
        <w:rPr>
          <w:rFonts w:hint="eastAsia"/>
          <w:shd w:val="clear" w:color="auto" w:fill="FFFFFF"/>
        </w:rPr>
        <w:t>，</w:t>
      </w:r>
      <w:r w:rsidR="00D0748E" w:rsidRPr="00C93FB6">
        <w:t>「中華民國刑法（沒收）部分修正條文」修法，經立法院於</w:t>
      </w:r>
      <w:r w:rsidR="00EF092A" w:rsidRPr="00C93FB6">
        <w:rPr>
          <w:rFonts w:hint="eastAsia"/>
        </w:rPr>
        <w:t>民國(下同)</w:t>
      </w:r>
      <w:r w:rsidR="00D0748E" w:rsidRPr="00C93FB6">
        <w:t>104年12月17日完成三讀程序</w:t>
      </w:r>
      <w:r w:rsidR="00D0748E" w:rsidRPr="00C93FB6">
        <w:rPr>
          <w:rFonts w:hint="eastAsia"/>
        </w:rPr>
        <w:t>，</w:t>
      </w:r>
      <w:r w:rsidR="00D0748E" w:rsidRPr="00C93FB6">
        <w:rPr>
          <w:rFonts w:hint="eastAsia"/>
          <w:shd w:val="clear" w:color="auto" w:fill="F9FBFB"/>
        </w:rPr>
        <w:t>1</w:t>
      </w:r>
      <w:r w:rsidR="00D0748E" w:rsidRPr="00C93FB6">
        <w:rPr>
          <w:shd w:val="clear" w:color="auto" w:fill="F9FBFB"/>
        </w:rPr>
        <w:t>04</w:t>
      </w:r>
      <w:r w:rsidR="00D0748E" w:rsidRPr="00C93FB6">
        <w:rPr>
          <w:rFonts w:hint="eastAsia"/>
          <w:shd w:val="clear" w:color="auto" w:fill="F9FBFB"/>
        </w:rPr>
        <w:t>年12月30日總統</w:t>
      </w:r>
      <w:proofErr w:type="gramStart"/>
      <w:r w:rsidR="00D0748E" w:rsidRPr="00C93FB6">
        <w:rPr>
          <w:rFonts w:hint="eastAsia"/>
          <w:shd w:val="clear" w:color="auto" w:fill="F9FBFB"/>
        </w:rPr>
        <w:t>華總一義字第10400153651</w:t>
      </w:r>
      <w:proofErr w:type="gramEnd"/>
      <w:r w:rsidR="00D0748E" w:rsidRPr="00C93FB6">
        <w:rPr>
          <w:rFonts w:hint="eastAsia"/>
          <w:shd w:val="clear" w:color="auto" w:fill="F9FBFB"/>
        </w:rPr>
        <w:t>號令修正公布，並自1</w:t>
      </w:r>
      <w:r w:rsidR="00D0748E" w:rsidRPr="00C93FB6">
        <w:rPr>
          <w:shd w:val="clear" w:color="auto" w:fill="F9FBFB"/>
        </w:rPr>
        <w:t>05</w:t>
      </w:r>
      <w:r w:rsidR="00D0748E" w:rsidRPr="00C93FB6">
        <w:rPr>
          <w:rFonts w:hint="eastAsia"/>
          <w:shd w:val="clear" w:color="auto" w:fill="F9FBFB"/>
        </w:rPr>
        <w:t>年7月1日施行。</w:t>
      </w:r>
      <w:r w:rsidR="00D0748E" w:rsidRPr="00C93FB6">
        <w:rPr>
          <w:rFonts w:hint="eastAsia"/>
          <w:shd w:val="clear" w:color="auto" w:fill="FFFFFF"/>
        </w:rPr>
        <w:t>該次修正通過之沒收新制</w:t>
      </w:r>
      <w:r w:rsidR="0047467E" w:rsidRPr="00C93FB6">
        <w:rPr>
          <w:rFonts w:hint="eastAsia"/>
          <w:shd w:val="clear" w:color="auto" w:fill="FFFFFF"/>
        </w:rPr>
        <w:t>，</w:t>
      </w:r>
      <w:r w:rsidR="004C18A5" w:rsidRPr="00C93FB6">
        <w:rPr>
          <w:rFonts w:hint="eastAsia"/>
          <w:shd w:val="clear" w:color="auto" w:fill="FFFFFF"/>
        </w:rPr>
        <w:t>係參考國際公約及外國立法例，</w:t>
      </w:r>
      <w:r w:rsidR="0047467E" w:rsidRPr="00C93FB6">
        <w:rPr>
          <w:rFonts w:hint="eastAsia"/>
          <w:shd w:val="clear" w:color="auto" w:fill="FFFFFF"/>
        </w:rPr>
        <w:t>重新為沒收定位，終結不能沒收第三人財產的困境，澈底追討犯罪所得，以根絕犯罪誘因</w:t>
      </w:r>
      <w:r w:rsidR="00D0748E" w:rsidRPr="00C93FB6">
        <w:rPr>
          <w:rFonts w:hint="eastAsia"/>
          <w:shd w:val="clear" w:color="auto" w:fill="FFFFFF"/>
        </w:rPr>
        <w:t>，意義重大。</w:t>
      </w:r>
    </w:p>
    <w:p w:rsidR="00FF2424" w:rsidRPr="00C93FB6" w:rsidRDefault="0047467E" w:rsidP="00FF2424">
      <w:pPr>
        <w:pStyle w:val="11"/>
        <w:ind w:left="680" w:firstLine="680"/>
        <w:rPr>
          <w:shd w:val="clear" w:color="auto" w:fill="FFFFFF"/>
        </w:rPr>
      </w:pPr>
      <w:r w:rsidRPr="00C93FB6">
        <w:rPr>
          <w:rFonts w:hint="eastAsia"/>
          <w:shd w:val="clear" w:color="auto" w:fill="FFFFFF"/>
        </w:rPr>
        <w:t>沒收新制施行後，為達上開</w:t>
      </w:r>
      <w:r w:rsidRPr="00C93FB6">
        <w:rPr>
          <w:rFonts w:hAnsi="標楷體" w:hint="eastAsia"/>
          <w:shd w:val="clear" w:color="auto" w:fill="FFFFFF"/>
        </w:rPr>
        <w:t>「</w:t>
      </w:r>
      <w:r w:rsidRPr="00C93FB6">
        <w:rPr>
          <w:rFonts w:hint="eastAsia"/>
          <w:shd w:val="clear" w:color="auto" w:fill="FFFFFF"/>
        </w:rPr>
        <w:t>遏止犯罪誘因、阻絕犯罪發生</w:t>
      </w:r>
      <w:r w:rsidRPr="00C93FB6">
        <w:rPr>
          <w:rFonts w:hAnsi="標楷體" w:hint="eastAsia"/>
          <w:shd w:val="clear" w:color="auto" w:fill="FFFFFF"/>
        </w:rPr>
        <w:t>」</w:t>
      </w:r>
      <w:r w:rsidRPr="00C93FB6">
        <w:rPr>
          <w:rFonts w:hint="eastAsia"/>
          <w:shd w:val="clear" w:color="auto" w:fill="FFFFFF"/>
        </w:rPr>
        <w:t>之目標，犯罪所得</w:t>
      </w:r>
      <w:proofErr w:type="gramStart"/>
      <w:r w:rsidRPr="00C93FB6">
        <w:rPr>
          <w:rFonts w:hint="eastAsia"/>
          <w:shd w:val="clear" w:color="auto" w:fill="FFFFFF"/>
        </w:rPr>
        <w:t>查扣</w:t>
      </w:r>
      <w:r w:rsidR="00AE28D3" w:rsidRPr="00C93FB6">
        <w:rPr>
          <w:rFonts w:hint="eastAsia"/>
          <w:shd w:val="clear" w:color="auto" w:fill="FFFFFF"/>
        </w:rPr>
        <w:t>縱不可能</w:t>
      </w:r>
      <w:proofErr w:type="gramEnd"/>
      <w:r w:rsidRPr="00C93FB6">
        <w:rPr>
          <w:rFonts w:hint="eastAsia"/>
          <w:shd w:val="clear" w:color="auto" w:fill="FFFFFF"/>
        </w:rPr>
        <w:t>達到百分之百，亦應</w:t>
      </w:r>
      <w:r w:rsidR="00AE28D3" w:rsidRPr="00C93FB6">
        <w:rPr>
          <w:rFonts w:hint="eastAsia"/>
          <w:shd w:val="clear" w:color="auto" w:fill="FFFFFF"/>
        </w:rPr>
        <w:t>傾</w:t>
      </w:r>
      <w:r w:rsidRPr="00C93FB6">
        <w:rPr>
          <w:rFonts w:hint="eastAsia"/>
          <w:shd w:val="clear" w:color="auto" w:fill="FFFFFF"/>
        </w:rPr>
        <w:t>力</w:t>
      </w:r>
      <w:r w:rsidR="00DF74E2" w:rsidRPr="00C93FB6">
        <w:rPr>
          <w:rFonts w:hint="eastAsia"/>
          <w:shd w:val="clear" w:color="auto" w:fill="FFFFFF"/>
        </w:rPr>
        <w:t>追查</w:t>
      </w:r>
      <w:r w:rsidR="00AE28D3" w:rsidRPr="00C93FB6">
        <w:rPr>
          <w:rFonts w:hint="eastAsia"/>
          <w:shd w:val="clear" w:color="auto" w:fill="FFFFFF"/>
        </w:rPr>
        <w:t>，</w:t>
      </w:r>
      <w:proofErr w:type="gramStart"/>
      <w:r w:rsidR="00AE28D3" w:rsidRPr="00C93FB6">
        <w:rPr>
          <w:rFonts w:hint="eastAsia"/>
          <w:shd w:val="clear" w:color="auto" w:fill="FFFFFF"/>
        </w:rPr>
        <w:t>務</w:t>
      </w:r>
      <w:proofErr w:type="gramEnd"/>
      <w:r w:rsidR="00AE28D3" w:rsidRPr="00C93FB6">
        <w:rPr>
          <w:rFonts w:hint="eastAsia"/>
          <w:shd w:val="clear" w:color="auto" w:fill="FFFFFF"/>
        </w:rPr>
        <w:t>使其</w:t>
      </w:r>
      <w:r w:rsidR="006C3DB3" w:rsidRPr="00C93FB6">
        <w:rPr>
          <w:rFonts w:hint="eastAsia"/>
          <w:shd w:val="clear" w:color="auto" w:fill="FFFFFF"/>
        </w:rPr>
        <w:t>盡可能</w:t>
      </w:r>
      <w:r w:rsidR="00AE28D3" w:rsidRPr="00C93FB6">
        <w:rPr>
          <w:rFonts w:hint="eastAsia"/>
          <w:shd w:val="clear" w:color="auto" w:fill="FFFFFF"/>
        </w:rPr>
        <w:t>無所闕漏</w:t>
      </w:r>
      <w:r w:rsidR="00892BCA" w:rsidRPr="00C93FB6">
        <w:rPr>
          <w:rFonts w:hint="eastAsia"/>
          <w:shd w:val="clear" w:color="auto" w:fill="FFFFFF"/>
        </w:rPr>
        <w:t>，</w:t>
      </w:r>
      <w:proofErr w:type="gramStart"/>
      <w:r w:rsidR="00AE28D3" w:rsidRPr="00C93FB6">
        <w:rPr>
          <w:rFonts w:hint="eastAsia"/>
          <w:shd w:val="clear" w:color="auto" w:fill="FFFFFF"/>
        </w:rPr>
        <w:t>當中</w:t>
      </w:r>
      <w:r w:rsidR="00892BCA" w:rsidRPr="00C93FB6">
        <w:rPr>
          <w:rFonts w:hint="eastAsia"/>
          <w:shd w:val="clear" w:color="auto" w:fill="FFFFFF"/>
        </w:rPr>
        <w:t>尤</w:t>
      </w:r>
      <w:proofErr w:type="gramEnd"/>
      <w:r w:rsidRPr="00C93FB6">
        <w:rPr>
          <w:rFonts w:hint="eastAsia"/>
          <w:shd w:val="clear" w:color="auto" w:fill="FFFFFF"/>
        </w:rPr>
        <w:t>以</w:t>
      </w:r>
      <w:r w:rsidR="00E852E7" w:rsidRPr="00C93FB6">
        <w:rPr>
          <w:rFonts w:hint="eastAsia"/>
          <w:shd w:val="clear" w:color="auto" w:fill="FFFFFF"/>
        </w:rPr>
        <w:t>建立</w:t>
      </w:r>
      <w:r w:rsidR="00AE28D3" w:rsidRPr="00C93FB6">
        <w:rPr>
          <w:rFonts w:hint="eastAsia"/>
          <w:shd w:val="clear" w:color="auto" w:fill="FFFFFF"/>
        </w:rPr>
        <w:t>機制及機關</w:t>
      </w:r>
      <w:r w:rsidR="00892BCA" w:rsidRPr="00C93FB6">
        <w:rPr>
          <w:rFonts w:hint="eastAsia"/>
          <w:shd w:val="clear" w:color="auto" w:fill="FFFFFF"/>
        </w:rPr>
        <w:t>協調</w:t>
      </w:r>
      <w:r w:rsidRPr="00C93FB6">
        <w:rPr>
          <w:rFonts w:hint="eastAsia"/>
          <w:shd w:val="clear" w:color="auto" w:fill="FFFFFF"/>
        </w:rPr>
        <w:t>，更為重要</w:t>
      </w:r>
      <w:r w:rsidR="00892BCA" w:rsidRPr="00C93FB6">
        <w:rPr>
          <w:rFonts w:hint="eastAsia"/>
          <w:shd w:val="clear" w:color="auto" w:fill="FFFFFF"/>
        </w:rPr>
        <w:t>，</w:t>
      </w:r>
      <w:proofErr w:type="gramStart"/>
      <w:r w:rsidR="00AE28D3" w:rsidRPr="00C93FB6">
        <w:rPr>
          <w:rFonts w:hint="eastAsia"/>
        </w:rPr>
        <w:t>爰</w:t>
      </w:r>
      <w:proofErr w:type="gramEnd"/>
      <w:r w:rsidR="00AE28D3" w:rsidRPr="00C93FB6">
        <w:rPr>
          <w:rFonts w:hint="eastAsia"/>
        </w:rPr>
        <w:t>立案調查</w:t>
      </w:r>
      <w:r w:rsidR="00892BCA" w:rsidRPr="00C93FB6">
        <w:rPr>
          <w:rFonts w:hint="eastAsia"/>
          <w:shd w:val="clear" w:color="auto" w:fill="FFFFFF"/>
        </w:rPr>
        <w:t>。</w:t>
      </w:r>
    </w:p>
    <w:p w:rsidR="00AD2243" w:rsidRPr="00C93FB6" w:rsidRDefault="00AD2243" w:rsidP="00AD2243">
      <w:pPr>
        <w:pStyle w:val="11"/>
        <w:ind w:left="680" w:firstLine="680"/>
      </w:pPr>
      <w:r w:rsidRPr="00C93FB6">
        <w:rPr>
          <w:rFonts w:hint="eastAsia"/>
        </w:rPr>
        <w:t>案經分別函請法務部、法務部行政執行署(下稱行政執行署)及財金資訊股份有限公司(</w:t>
      </w:r>
      <w:proofErr w:type="gramStart"/>
      <w:r w:rsidRPr="00C93FB6">
        <w:rPr>
          <w:rFonts w:hint="eastAsia"/>
        </w:rPr>
        <w:t>下稱財金</w:t>
      </w:r>
      <w:proofErr w:type="gramEnd"/>
      <w:r w:rsidRPr="00C93FB6">
        <w:rPr>
          <w:rFonts w:hint="eastAsia"/>
        </w:rPr>
        <w:t>公司)就有關事項提出說明</w:t>
      </w:r>
      <w:proofErr w:type="gramStart"/>
      <w:r w:rsidRPr="00C93FB6">
        <w:rPr>
          <w:rFonts w:hint="eastAsia"/>
        </w:rPr>
        <w:t>併</w:t>
      </w:r>
      <w:proofErr w:type="gramEnd"/>
      <w:r w:rsidRPr="00C93FB6">
        <w:rPr>
          <w:rFonts w:hint="eastAsia"/>
        </w:rPr>
        <w:t>附佐證資料到院</w:t>
      </w:r>
      <w:r w:rsidR="00C23246" w:rsidRPr="00C93FB6">
        <w:rPr>
          <w:rStyle w:val="aff2"/>
        </w:rPr>
        <w:footnoteReference w:id="1"/>
      </w:r>
      <w:r w:rsidRPr="00C93FB6">
        <w:rPr>
          <w:rFonts w:hint="eastAsia"/>
        </w:rPr>
        <w:t>，及請</w:t>
      </w:r>
      <w:proofErr w:type="gramStart"/>
      <w:r w:rsidRPr="00C93FB6">
        <w:rPr>
          <w:rFonts w:hint="eastAsia"/>
        </w:rPr>
        <w:t>審計部於108</w:t>
      </w:r>
      <w:r w:rsidRPr="00C93FB6">
        <w:rPr>
          <w:rFonts w:hint="eastAsia"/>
        </w:rPr>
        <w:lastRenderedPageBreak/>
        <w:t>年11月27日</w:t>
      </w:r>
      <w:proofErr w:type="gramEnd"/>
      <w:r w:rsidRPr="00C93FB6">
        <w:rPr>
          <w:rFonts w:hint="eastAsia"/>
        </w:rPr>
        <w:t>到院就該部歷年查核結果進行簡報。</w:t>
      </w:r>
      <w:proofErr w:type="gramStart"/>
      <w:r w:rsidRPr="00C93FB6">
        <w:rPr>
          <w:rFonts w:hint="eastAsia"/>
        </w:rPr>
        <w:t>嗣</w:t>
      </w:r>
      <w:proofErr w:type="gramEnd"/>
      <w:r w:rsidRPr="00C93FB6">
        <w:rPr>
          <w:rFonts w:hint="eastAsia"/>
        </w:rPr>
        <w:t>經</w:t>
      </w:r>
      <w:proofErr w:type="gramStart"/>
      <w:r w:rsidRPr="00C93FB6">
        <w:rPr>
          <w:rFonts w:hint="eastAsia"/>
        </w:rPr>
        <w:t>研</w:t>
      </w:r>
      <w:proofErr w:type="gramEnd"/>
      <w:r w:rsidRPr="00C93FB6">
        <w:rPr>
          <w:rFonts w:hint="eastAsia"/>
        </w:rPr>
        <w:t>析案情，再調閱法務部、金融監督管理委員會</w:t>
      </w:r>
      <w:r w:rsidR="005B5DFD" w:rsidRPr="00C93FB6">
        <w:rPr>
          <w:rFonts w:hint="eastAsia"/>
        </w:rPr>
        <w:t>(下稱金管會)</w:t>
      </w:r>
      <w:r w:rsidRPr="00C93FB6">
        <w:rPr>
          <w:rFonts w:hint="eastAsia"/>
        </w:rPr>
        <w:t>及國家發展委員會</w:t>
      </w:r>
      <w:r w:rsidR="005B5DFD" w:rsidRPr="00C93FB6">
        <w:rPr>
          <w:rFonts w:hint="eastAsia"/>
        </w:rPr>
        <w:t>(下稱國發會)</w:t>
      </w:r>
      <w:r w:rsidRPr="00C93FB6">
        <w:rPr>
          <w:rFonts w:hint="eastAsia"/>
        </w:rPr>
        <w:t>等機關卷證資料</w:t>
      </w:r>
      <w:r w:rsidR="00C240AD" w:rsidRPr="00C93FB6">
        <w:rPr>
          <w:rFonts w:hint="eastAsia"/>
        </w:rPr>
        <w:t>，業</w:t>
      </w:r>
      <w:proofErr w:type="gramStart"/>
      <w:r w:rsidR="00C240AD" w:rsidRPr="00C93FB6">
        <w:rPr>
          <w:rFonts w:hint="eastAsia"/>
        </w:rPr>
        <w:t>調查竣事</w:t>
      </w:r>
      <w:proofErr w:type="gramEnd"/>
      <w:r w:rsidR="00C240AD" w:rsidRPr="00C93FB6">
        <w:rPr>
          <w:rFonts w:hint="eastAsia"/>
        </w:rPr>
        <w:t>。茲</w:t>
      </w:r>
      <w:proofErr w:type="gramStart"/>
      <w:r w:rsidR="00C240AD" w:rsidRPr="00C93FB6">
        <w:rPr>
          <w:rFonts w:hint="eastAsia"/>
        </w:rPr>
        <w:t>臚</w:t>
      </w:r>
      <w:proofErr w:type="gramEnd"/>
      <w:r w:rsidR="00C240AD" w:rsidRPr="00C93FB6">
        <w:rPr>
          <w:rFonts w:hint="eastAsia"/>
        </w:rPr>
        <w:t>列調查意見如下：</w:t>
      </w:r>
    </w:p>
    <w:p w:rsidR="00026653" w:rsidRPr="00C93FB6" w:rsidRDefault="00026653" w:rsidP="00E852E7">
      <w:pPr>
        <w:pStyle w:val="2"/>
        <w:rPr>
          <w:b/>
        </w:rPr>
      </w:pPr>
      <w:bookmarkStart w:id="60" w:name="_Toc524902730"/>
      <w:r w:rsidRPr="00C93FB6">
        <w:rPr>
          <w:rFonts w:hint="eastAsia"/>
          <w:b/>
        </w:rPr>
        <w:t>法務部推動</w:t>
      </w:r>
      <w:r w:rsidR="00307C0E" w:rsidRPr="00C93FB6">
        <w:rPr>
          <w:rFonts w:hint="eastAsia"/>
          <w:b/>
        </w:rPr>
        <w:t>新法沒收新制</w:t>
      </w:r>
      <w:r w:rsidR="00307C0E" w:rsidRPr="00C93FB6">
        <w:rPr>
          <w:rFonts w:hint="eastAsia"/>
          <w:b/>
          <w:shd w:val="clear" w:color="auto" w:fill="FFFFFF"/>
        </w:rPr>
        <w:t>擴大沒收之主體，使及於第三人</w:t>
      </w:r>
      <w:r w:rsidR="00307C0E" w:rsidRPr="00C93FB6">
        <w:rPr>
          <w:rFonts w:hint="eastAsia"/>
          <w:b/>
        </w:rPr>
        <w:t>，並</w:t>
      </w:r>
      <w:r w:rsidR="00307C0E" w:rsidRPr="00C93FB6">
        <w:rPr>
          <w:rFonts w:hint="eastAsia"/>
          <w:b/>
          <w:shd w:val="clear" w:color="auto" w:fill="FFFFFF"/>
        </w:rPr>
        <w:t>擴大犯罪所得沒收之範圍，期澈底追討犯罪所得，根絕犯罪誘因。自105年7月1日實施後迄今(截</w:t>
      </w:r>
      <w:r w:rsidR="00307C0E" w:rsidRPr="00C93FB6">
        <w:rPr>
          <w:rFonts w:hint="eastAsia"/>
          <w:b/>
        </w:rPr>
        <w:t>至109年1月3日)</w:t>
      </w:r>
      <w:r w:rsidRPr="00C93FB6">
        <w:rPr>
          <w:rFonts w:hint="eastAsia"/>
          <w:b/>
        </w:rPr>
        <w:t>經判決確定之</w:t>
      </w:r>
      <w:r w:rsidR="00307C0E" w:rsidRPr="00C93FB6">
        <w:rPr>
          <w:rFonts w:hint="eastAsia"/>
          <w:b/>
          <w:shd w:val="clear" w:color="auto" w:fill="FFFFFF"/>
        </w:rPr>
        <w:t>應收</w:t>
      </w:r>
      <w:r w:rsidRPr="00C93FB6">
        <w:rPr>
          <w:rFonts w:hint="eastAsia"/>
          <w:b/>
        </w:rPr>
        <w:t>犯罪所得</w:t>
      </w:r>
      <w:r w:rsidR="00F5224E" w:rsidRPr="00C93FB6">
        <w:rPr>
          <w:rFonts w:hint="eastAsia"/>
          <w:b/>
        </w:rPr>
        <w:t>(下稱應收犯罪所得)</w:t>
      </w:r>
      <w:r w:rsidR="00307C0E" w:rsidRPr="00C93FB6">
        <w:rPr>
          <w:b/>
          <w:shd w:val="clear" w:color="auto" w:fill="FFFFFF"/>
        </w:rPr>
        <w:t>379</w:t>
      </w:r>
      <w:r w:rsidR="00307C0E" w:rsidRPr="00C93FB6">
        <w:rPr>
          <w:rFonts w:hint="eastAsia"/>
          <w:b/>
          <w:shd w:val="clear" w:color="auto" w:fill="FFFFFF"/>
        </w:rPr>
        <w:t>億</w:t>
      </w:r>
      <w:r w:rsidR="00307C0E" w:rsidRPr="00C93FB6">
        <w:rPr>
          <w:b/>
          <w:shd w:val="clear" w:color="auto" w:fill="FFFFFF"/>
        </w:rPr>
        <w:t>5,524</w:t>
      </w:r>
      <w:r w:rsidR="00307C0E" w:rsidRPr="00C93FB6">
        <w:rPr>
          <w:rFonts w:hint="eastAsia"/>
          <w:b/>
          <w:shd w:val="clear" w:color="auto" w:fill="FFFFFF"/>
        </w:rPr>
        <w:t>萬餘元，已收</w:t>
      </w:r>
      <w:r w:rsidR="00765B7C" w:rsidRPr="00C93FB6">
        <w:rPr>
          <w:rFonts w:hint="eastAsia"/>
          <w:b/>
          <w:shd w:val="clear" w:color="auto" w:fill="FFFFFF"/>
        </w:rPr>
        <w:t>僅</w:t>
      </w:r>
      <w:r w:rsidR="00307C0E" w:rsidRPr="00C93FB6">
        <w:rPr>
          <w:rFonts w:hint="eastAsia"/>
          <w:b/>
          <w:shd w:val="clear" w:color="auto" w:fill="FFFFFF"/>
        </w:rPr>
        <w:t>39億9</w:t>
      </w:r>
      <w:r w:rsidR="00307C0E" w:rsidRPr="00C93FB6">
        <w:rPr>
          <w:b/>
          <w:shd w:val="clear" w:color="auto" w:fill="FFFFFF"/>
        </w:rPr>
        <w:t>,</w:t>
      </w:r>
      <w:r w:rsidR="00307C0E" w:rsidRPr="00C93FB6">
        <w:rPr>
          <w:rFonts w:hint="eastAsia"/>
          <w:b/>
          <w:shd w:val="clear" w:color="auto" w:fill="FFFFFF"/>
        </w:rPr>
        <w:t>448萬8</w:t>
      </w:r>
      <w:r w:rsidR="00307C0E" w:rsidRPr="00C93FB6">
        <w:rPr>
          <w:b/>
          <w:shd w:val="clear" w:color="auto" w:fill="FFFFFF"/>
        </w:rPr>
        <w:t>,</w:t>
      </w:r>
      <w:r w:rsidR="00307C0E" w:rsidRPr="00C93FB6">
        <w:rPr>
          <w:rFonts w:hint="eastAsia"/>
          <w:b/>
          <w:shd w:val="clear" w:color="auto" w:fill="FFFFFF"/>
        </w:rPr>
        <w:t>393</w:t>
      </w:r>
      <w:r w:rsidR="00765B7C" w:rsidRPr="00C93FB6">
        <w:rPr>
          <w:rFonts w:hint="eastAsia"/>
          <w:b/>
          <w:shd w:val="clear" w:color="auto" w:fill="FFFFFF"/>
        </w:rPr>
        <w:t>元(</w:t>
      </w:r>
      <w:r w:rsidR="00307C0E" w:rsidRPr="00C93FB6">
        <w:rPr>
          <w:rFonts w:hint="eastAsia"/>
          <w:b/>
          <w:shd w:val="clear" w:color="auto" w:fill="FFFFFF"/>
        </w:rPr>
        <w:t>10.5%</w:t>
      </w:r>
      <w:r w:rsidR="00765B7C" w:rsidRPr="00C93FB6">
        <w:rPr>
          <w:rFonts w:hint="eastAsia"/>
          <w:b/>
          <w:shd w:val="clear" w:color="auto" w:fill="FFFFFF"/>
        </w:rPr>
        <w:t>)</w:t>
      </w:r>
      <w:r w:rsidR="00A47A89" w:rsidRPr="00C93FB6">
        <w:rPr>
          <w:rFonts w:hint="eastAsia"/>
          <w:b/>
          <w:shd w:val="clear" w:color="auto" w:fill="FFFFFF"/>
        </w:rPr>
        <w:t>，未收金額</w:t>
      </w:r>
      <w:r w:rsidR="00307C0E" w:rsidRPr="00C93FB6">
        <w:rPr>
          <w:rFonts w:hint="eastAsia"/>
          <w:b/>
          <w:shd w:val="clear" w:color="auto" w:fill="FFFFFF"/>
        </w:rPr>
        <w:t>達339億6,075萬7</w:t>
      </w:r>
      <w:r w:rsidR="00307C0E" w:rsidRPr="00C93FB6">
        <w:rPr>
          <w:b/>
          <w:shd w:val="clear" w:color="auto" w:fill="FFFFFF"/>
        </w:rPr>
        <w:t>,</w:t>
      </w:r>
      <w:r w:rsidR="00307C0E" w:rsidRPr="00C93FB6">
        <w:rPr>
          <w:rFonts w:hint="eastAsia"/>
          <w:b/>
          <w:shd w:val="clear" w:color="auto" w:fill="FFFFFF"/>
        </w:rPr>
        <w:t>608元。</w:t>
      </w:r>
      <w:r w:rsidR="00765B7C" w:rsidRPr="00C93FB6">
        <w:rPr>
          <w:rFonts w:hint="eastAsia"/>
          <w:b/>
        </w:rPr>
        <w:t>新制</w:t>
      </w:r>
      <w:r w:rsidR="00A47A89" w:rsidRPr="00C93FB6">
        <w:rPr>
          <w:rFonts w:hint="eastAsia"/>
          <w:b/>
        </w:rPr>
        <w:t>實施後，</w:t>
      </w:r>
      <w:r w:rsidRPr="00C93FB6">
        <w:rPr>
          <w:rFonts w:hint="eastAsia"/>
          <w:b/>
        </w:rPr>
        <w:t>應收犯罪所得</w:t>
      </w:r>
      <w:r w:rsidR="00A47A89" w:rsidRPr="00C93FB6">
        <w:rPr>
          <w:rFonts w:hint="eastAsia"/>
          <w:b/>
        </w:rPr>
        <w:t>大幅增長，惟執行及收繳金額雖亦</w:t>
      </w:r>
      <w:r w:rsidR="00765B7C" w:rsidRPr="00C93FB6">
        <w:rPr>
          <w:rFonts w:hint="eastAsia"/>
          <w:b/>
        </w:rPr>
        <w:t>增長</w:t>
      </w:r>
      <w:r w:rsidR="00A47A89" w:rsidRPr="00C93FB6">
        <w:rPr>
          <w:rFonts w:hint="eastAsia"/>
          <w:b/>
        </w:rPr>
        <w:t>，幅度</w:t>
      </w:r>
      <w:r w:rsidRPr="00C93FB6">
        <w:rPr>
          <w:rFonts w:hint="eastAsia"/>
          <w:b/>
        </w:rPr>
        <w:t>卻遠有未及</w:t>
      </w:r>
      <w:r w:rsidRPr="00C93FB6">
        <w:rPr>
          <w:rFonts w:hint="eastAsia"/>
          <w:b/>
          <w:shd w:val="clear" w:color="auto" w:fill="FFFFFF"/>
        </w:rPr>
        <w:t>，</w:t>
      </w:r>
      <w:r w:rsidRPr="00C93FB6">
        <w:rPr>
          <w:rFonts w:hint="eastAsia"/>
          <w:b/>
        </w:rPr>
        <w:t>致未結金額由</w:t>
      </w:r>
      <w:proofErr w:type="gramStart"/>
      <w:r w:rsidRPr="00C93FB6">
        <w:rPr>
          <w:rFonts w:hint="eastAsia"/>
          <w:b/>
        </w:rPr>
        <w:t>105</w:t>
      </w:r>
      <w:proofErr w:type="gramEnd"/>
      <w:r w:rsidRPr="00C93FB6">
        <w:rPr>
          <w:rFonts w:hint="eastAsia"/>
          <w:b/>
        </w:rPr>
        <w:t>年度之13億7,911萬餘元，逐年上升至</w:t>
      </w:r>
      <w:proofErr w:type="gramStart"/>
      <w:r w:rsidRPr="00C93FB6">
        <w:rPr>
          <w:rFonts w:hint="eastAsia"/>
          <w:b/>
        </w:rPr>
        <w:t>107</w:t>
      </w:r>
      <w:proofErr w:type="gramEnd"/>
      <w:r w:rsidRPr="00C93FB6">
        <w:rPr>
          <w:rFonts w:hint="eastAsia"/>
          <w:b/>
        </w:rPr>
        <w:t>年度之102億6,054萬餘元，增幅644%。</w:t>
      </w:r>
      <w:r w:rsidR="00182302" w:rsidRPr="00C93FB6">
        <w:rPr>
          <w:rFonts w:hint="eastAsia"/>
          <w:b/>
        </w:rPr>
        <w:t>依法務部說明，在沒收新制施行後，因沒收範圍擴大，許多案件之應沒收金額大增，但在新制實施前並無保全扣押制度，無法阻止當事人脫產，導致該等案件於判決確定後，地</w:t>
      </w:r>
      <w:r w:rsidR="00EF092A" w:rsidRPr="00C93FB6">
        <w:rPr>
          <w:rFonts w:hint="eastAsia"/>
          <w:b/>
        </w:rPr>
        <w:t>方</w:t>
      </w:r>
      <w:r w:rsidR="00182302" w:rsidRPr="00C93FB6">
        <w:rPr>
          <w:rFonts w:hint="eastAsia"/>
          <w:b/>
        </w:rPr>
        <w:t>檢</w:t>
      </w:r>
      <w:r w:rsidR="00EF092A" w:rsidRPr="00C93FB6">
        <w:rPr>
          <w:rFonts w:hint="eastAsia"/>
          <w:b/>
        </w:rPr>
        <w:t>察</w:t>
      </w:r>
      <w:r w:rsidR="00182302" w:rsidRPr="00C93FB6">
        <w:rPr>
          <w:rFonts w:hint="eastAsia"/>
          <w:b/>
        </w:rPr>
        <w:t>署執行無效果；或因部分案件當事人自始即無所得或財產可供執行，或自始即已脫產或藏匿財產，導致保全扣押亦無效果，甚或法人被告已解散，導致無從執行，造成收繳比率過低的現象。</w:t>
      </w:r>
      <w:r w:rsidR="00765B7C" w:rsidRPr="00C93FB6">
        <w:rPr>
          <w:rFonts w:hint="eastAsia"/>
          <w:b/>
        </w:rPr>
        <w:t>法務部</w:t>
      </w:r>
      <w:r w:rsidR="00D525A4" w:rsidRPr="00C93FB6">
        <w:rPr>
          <w:rFonts w:hint="eastAsia"/>
          <w:b/>
        </w:rPr>
        <w:t>允宜持續加強犯罪所得之收繳，</w:t>
      </w:r>
      <w:r w:rsidRPr="00C93FB6">
        <w:rPr>
          <w:rFonts w:hint="eastAsia"/>
          <w:b/>
        </w:rPr>
        <w:t>落實</w:t>
      </w:r>
      <w:r w:rsidR="00D525A4" w:rsidRPr="00C93FB6">
        <w:rPr>
          <w:rFonts w:hint="eastAsia"/>
          <w:b/>
        </w:rPr>
        <w:t>修法</w:t>
      </w:r>
      <w:r w:rsidRPr="00C93FB6">
        <w:rPr>
          <w:rFonts w:hint="eastAsia"/>
          <w:b/>
        </w:rPr>
        <w:t>精神。</w:t>
      </w:r>
    </w:p>
    <w:p w:rsidR="008B6AEF" w:rsidRPr="00C93FB6" w:rsidRDefault="001E3832" w:rsidP="00920CF7">
      <w:pPr>
        <w:pStyle w:val="3"/>
        <w:rPr>
          <w:shd w:val="clear" w:color="auto" w:fill="FFFFFF"/>
        </w:rPr>
      </w:pPr>
      <w:r w:rsidRPr="00C93FB6">
        <w:rPr>
          <w:shd w:val="clear" w:color="auto" w:fill="FFFFFF"/>
        </w:rPr>
        <w:t>為澈底剝奪不法所得，斷絕犯罪人之利基，進而杜絕犯罪誘因，</w:t>
      </w:r>
      <w:r w:rsidR="00295ADC" w:rsidRPr="00C93FB6">
        <w:t>「中華民國刑法（沒收）部分修正條文」修法，經立法院於104年12月17日完成三讀程序</w:t>
      </w:r>
      <w:r w:rsidR="00104B2F" w:rsidRPr="00C93FB6">
        <w:rPr>
          <w:rFonts w:hint="eastAsia"/>
        </w:rPr>
        <w:t>，104年12月30日總統</w:t>
      </w:r>
      <w:proofErr w:type="gramStart"/>
      <w:r w:rsidR="00104B2F" w:rsidRPr="00C93FB6">
        <w:rPr>
          <w:rFonts w:hint="eastAsia"/>
        </w:rPr>
        <w:t>華總一義字第10400153651</w:t>
      </w:r>
      <w:proofErr w:type="gramEnd"/>
      <w:r w:rsidR="00104B2F" w:rsidRPr="00C93FB6">
        <w:rPr>
          <w:rFonts w:hint="eastAsia"/>
        </w:rPr>
        <w:t>號令修正公布，並自105年7月1日施行</w:t>
      </w:r>
      <w:r w:rsidR="008B6AEF" w:rsidRPr="00C93FB6">
        <w:rPr>
          <w:rFonts w:hint="eastAsia"/>
        </w:rPr>
        <w:t>。</w:t>
      </w:r>
      <w:r w:rsidRPr="00C93FB6">
        <w:rPr>
          <w:rFonts w:hint="eastAsia"/>
          <w:shd w:val="clear" w:color="auto" w:fill="FFFFFF"/>
        </w:rPr>
        <w:t>該次修正通過</w:t>
      </w:r>
      <w:r w:rsidRPr="00C93FB6">
        <w:rPr>
          <w:rFonts w:hint="eastAsia"/>
          <w:shd w:val="clear" w:color="auto" w:fill="FFFFFF"/>
        </w:rPr>
        <w:lastRenderedPageBreak/>
        <w:t>之沒收新制，</w:t>
      </w:r>
      <w:r w:rsidR="008B6AEF" w:rsidRPr="00C93FB6">
        <w:rPr>
          <w:rFonts w:hint="eastAsia"/>
        </w:rPr>
        <w:t>依法務部說明</w:t>
      </w:r>
      <w:r w:rsidR="008B6AEF" w:rsidRPr="00C93FB6">
        <w:rPr>
          <w:rStyle w:val="aff2"/>
        </w:rPr>
        <w:footnoteReference w:id="2"/>
      </w:r>
      <w:r w:rsidR="008B6AEF" w:rsidRPr="00C93FB6">
        <w:rPr>
          <w:rFonts w:hint="eastAsia"/>
        </w:rPr>
        <w:t>，</w:t>
      </w:r>
      <w:r w:rsidR="00EF092A" w:rsidRPr="00C93FB6">
        <w:rPr>
          <w:rFonts w:hint="eastAsia"/>
          <w:shd w:val="clear" w:color="auto" w:fill="FFFFFF"/>
        </w:rPr>
        <w:t>係參考國際公約及外國立法例，</w:t>
      </w:r>
      <w:r w:rsidR="008B6AEF" w:rsidRPr="00C93FB6">
        <w:rPr>
          <w:rFonts w:hint="eastAsia"/>
          <w:shd w:val="clear" w:color="auto" w:fill="FFFFFF"/>
        </w:rPr>
        <w:t>重新為沒收定位，明文規定沒收為刑罰及保安處分以外之法律效果，具有獨立性，而非刑罰，以專章立法方式規範沒收；另為免犯罪行為人將其犯罪所得移轉與第三人</w:t>
      </w:r>
      <w:r w:rsidR="008B6AEF" w:rsidRPr="00C93FB6">
        <w:rPr>
          <w:rStyle w:val="aff2"/>
          <w:shd w:val="clear" w:color="auto" w:fill="FFFFFF"/>
        </w:rPr>
        <w:footnoteReference w:id="3"/>
      </w:r>
      <w:r w:rsidR="008B6AEF" w:rsidRPr="00C93FB6">
        <w:rPr>
          <w:rFonts w:hint="eastAsia"/>
          <w:shd w:val="clear" w:color="auto" w:fill="FFFFFF"/>
        </w:rPr>
        <w:t>，使犯罪行為人或第三人坐享犯罪所得，而顯失公平正義，遂擴大沒收之主體，使及於第三人，避免第三人因而獲得利益</w:t>
      </w:r>
      <w:r w:rsidR="007941AC" w:rsidRPr="00C93FB6">
        <w:rPr>
          <w:rFonts w:hint="eastAsia"/>
          <w:shd w:val="clear" w:color="auto" w:fill="FFFFFF"/>
        </w:rPr>
        <w:t>，終結不能沒收第三人財產的困境</w:t>
      </w:r>
      <w:r w:rsidR="008B6AEF" w:rsidRPr="00C93FB6">
        <w:rPr>
          <w:rFonts w:hint="eastAsia"/>
          <w:shd w:val="clear" w:color="auto" w:fill="FFFFFF"/>
        </w:rPr>
        <w:t>。其他修正內容包括：擴大犯罪所得沒收之範圍，且於被告死亡、逃匿經通緝等情形，亦可聲請單獨宣告沒收，</w:t>
      </w:r>
      <w:r w:rsidR="00E852E7" w:rsidRPr="00C93FB6">
        <w:rPr>
          <w:rFonts w:hint="eastAsia"/>
          <w:shd w:val="clear" w:color="auto" w:fill="FFFFFF"/>
        </w:rPr>
        <w:t>澈底追討犯罪所得，以根絕犯罪誘因</w:t>
      </w:r>
      <w:r w:rsidR="008B6AEF" w:rsidRPr="00C93FB6">
        <w:rPr>
          <w:rFonts w:hint="eastAsia"/>
          <w:shd w:val="clear" w:color="auto" w:fill="FFFFFF"/>
        </w:rPr>
        <w:t>。</w:t>
      </w:r>
    </w:p>
    <w:p w:rsidR="00104B2F" w:rsidRPr="00C93FB6" w:rsidRDefault="0064082D" w:rsidP="00920CF7">
      <w:pPr>
        <w:pStyle w:val="3"/>
        <w:rPr>
          <w:shd w:val="clear" w:color="auto" w:fill="FFFFFF"/>
        </w:rPr>
      </w:pPr>
      <w:r w:rsidRPr="00C93FB6">
        <w:rPr>
          <w:rFonts w:hint="eastAsia"/>
          <w:shd w:val="clear" w:color="auto" w:fill="FFFFFF"/>
        </w:rPr>
        <w:t>沒收新制擴大沒收對象及沒收客體之範圍，如</w:t>
      </w:r>
      <w:r w:rsidR="00104B2F" w:rsidRPr="00C93FB6">
        <w:rPr>
          <w:rFonts w:hint="eastAsia"/>
          <w:shd w:val="clear" w:color="auto" w:fill="FFFFFF"/>
        </w:rPr>
        <w:t>表</w:t>
      </w:r>
      <w:r w:rsidRPr="00C93FB6">
        <w:rPr>
          <w:rFonts w:hint="eastAsia"/>
          <w:shd w:val="clear" w:color="auto" w:fill="FFFFFF"/>
        </w:rPr>
        <w:t>1</w:t>
      </w:r>
      <w:r w:rsidR="00104B2F" w:rsidRPr="00C93FB6">
        <w:rPr>
          <w:rFonts w:hint="eastAsia"/>
          <w:shd w:val="clear" w:color="auto" w:fill="FFFFFF"/>
        </w:rPr>
        <w:t>：</w:t>
      </w:r>
    </w:p>
    <w:p w:rsidR="00104B2F" w:rsidRPr="00C93FB6" w:rsidRDefault="00104B2F" w:rsidP="005E2E60">
      <w:pPr>
        <w:pStyle w:val="a4"/>
        <w:numPr>
          <w:ilvl w:val="0"/>
          <w:numId w:val="23"/>
        </w:numPr>
        <w:rPr>
          <w:shd w:val="clear" w:color="auto" w:fill="FFFFFF"/>
        </w:rPr>
      </w:pPr>
      <w:r w:rsidRPr="00C93FB6">
        <w:rPr>
          <w:rFonts w:hint="eastAsia"/>
          <w:shd w:val="clear" w:color="auto" w:fill="FFFFFF"/>
        </w:rPr>
        <w:t>沒收新制擴大沒收對象及沒收客體之範圍</w:t>
      </w:r>
    </w:p>
    <w:tbl>
      <w:tblPr>
        <w:tblStyle w:val="af7"/>
        <w:tblW w:w="5000" w:type="pct"/>
        <w:tblLook w:val="04A0" w:firstRow="1" w:lastRow="0" w:firstColumn="1" w:lastColumn="0" w:noHBand="0" w:noVBand="1"/>
      </w:tblPr>
      <w:tblGrid>
        <w:gridCol w:w="4337"/>
        <w:gridCol w:w="4497"/>
      </w:tblGrid>
      <w:tr w:rsidR="00B03AC8" w:rsidRPr="00C93FB6" w:rsidTr="00827B21">
        <w:trPr>
          <w:tblHeader/>
        </w:trPr>
        <w:tc>
          <w:tcPr>
            <w:tcW w:w="2455" w:type="pct"/>
          </w:tcPr>
          <w:p w:rsidR="00B03AC8" w:rsidRPr="00C93FB6" w:rsidRDefault="00104B2F" w:rsidP="00104B2F">
            <w:pPr>
              <w:pStyle w:val="3"/>
              <w:numPr>
                <w:ilvl w:val="0"/>
                <w:numId w:val="0"/>
              </w:numPr>
              <w:jc w:val="center"/>
              <w:rPr>
                <w:sz w:val="24"/>
                <w:szCs w:val="24"/>
                <w:shd w:val="clear" w:color="auto" w:fill="FFFFFF"/>
              </w:rPr>
            </w:pPr>
            <w:r w:rsidRPr="00C93FB6">
              <w:rPr>
                <w:rFonts w:hint="eastAsia"/>
                <w:sz w:val="24"/>
                <w:szCs w:val="24"/>
                <w:shd w:val="clear" w:color="auto" w:fill="FFFFFF"/>
              </w:rPr>
              <w:t>新制</w:t>
            </w:r>
          </w:p>
        </w:tc>
        <w:tc>
          <w:tcPr>
            <w:tcW w:w="2545" w:type="pct"/>
          </w:tcPr>
          <w:p w:rsidR="00B03AC8" w:rsidRPr="00C93FB6" w:rsidRDefault="00B03AC8" w:rsidP="00B03AC8">
            <w:pPr>
              <w:pStyle w:val="3"/>
              <w:numPr>
                <w:ilvl w:val="0"/>
                <w:numId w:val="0"/>
              </w:numPr>
              <w:jc w:val="center"/>
              <w:rPr>
                <w:sz w:val="24"/>
                <w:szCs w:val="24"/>
                <w:shd w:val="clear" w:color="auto" w:fill="FFFFFF"/>
              </w:rPr>
            </w:pPr>
            <w:r w:rsidRPr="00C93FB6">
              <w:rPr>
                <w:rFonts w:hint="eastAsia"/>
                <w:sz w:val="24"/>
                <w:szCs w:val="24"/>
                <w:shd w:val="clear" w:color="auto" w:fill="FFFFFF"/>
              </w:rPr>
              <w:t>說明</w:t>
            </w:r>
          </w:p>
        </w:tc>
      </w:tr>
      <w:tr w:rsidR="00B03AC8" w:rsidRPr="00C93FB6" w:rsidTr="00B03AC8">
        <w:tc>
          <w:tcPr>
            <w:tcW w:w="2455" w:type="pct"/>
          </w:tcPr>
          <w:p w:rsidR="00B03AC8" w:rsidRPr="00C93FB6" w:rsidRDefault="00B03AC8" w:rsidP="0049019E">
            <w:pPr>
              <w:pStyle w:val="3"/>
              <w:numPr>
                <w:ilvl w:val="0"/>
                <w:numId w:val="0"/>
              </w:numPr>
              <w:rPr>
                <w:sz w:val="24"/>
                <w:szCs w:val="24"/>
                <w:shd w:val="clear" w:color="auto" w:fill="FFFFFF"/>
              </w:rPr>
            </w:pPr>
            <w:r w:rsidRPr="00C93FB6">
              <w:rPr>
                <w:rFonts w:hint="eastAsia"/>
                <w:sz w:val="24"/>
                <w:szCs w:val="24"/>
                <w:shd w:val="clear" w:color="auto" w:fill="FFFFFF"/>
              </w:rPr>
              <w:t>第38條之1第2項：前項得沒收情形，於全部或一部不能沒收或不宜執行沒收時，追徵其價額。</w:t>
            </w:r>
          </w:p>
        </w:tc>
        <w:tc>
          <w:tcPr>
            <w:tcW w:w="2545" w:type="pct"/>
          </w:tcPr>
          <w:p w:rsidR="00B03AC8" w:rsidRPr="00C93FB6" w:rsidRDefault="00B03AC8" w:rsidP="0049019E">
            <w:pPr>
              <w:overflowPunct/>
              <w:adjustRightInd w:val="0"/>
              <w:rPr>
                <w:rFonts w:hAnsi="Arial"/>
                <w:bCs/>
                <w:kern w:val="32"/>
                <w:sz w:val="24"/>
                <w:szCs w:val="24"/>
                <w:shd w:val="clear" w:color="auto" w:fill="FFFFFF"/>
              </w:rPr>
            </w:pPr>
            <w:r w:rsidRPr="00C93FB6">
              <w:rPr>
                <w:rFonts w:hAnsi="Arial" w:hint="eastAsia"/>
                <w:bCs/>
                <w:kern w:val="32"/>
                <w:sz w:val="24"/>
                <w:szCs w:val="24"/>
                <w:shd w:val="clear" w:color="auto" w:fill="FFFFFF"/>
              </w:rPr>
              <w:t>參酌反貪腐公約第31條第1項第</w:t>
            </w:r>
            <w:r w:rsidRPr="00C93FB6">
              <w:rPr>
                <w:rFonts w:hAnsi="Arial"/>
                <w:bCs/>
                <w:kern w:val="32"/>
                <w:sz w:val="24"/>
                <w:szCs w:val="24"/>
                <w:shd w:val="clear" w:color="auto" w:fill="FFFFFF"/>
              </w:rPr>
              <w:t>a</w:t>
            </w:r>
            <w:r w:rsidRPr="00C93FB6">
              <w:rPr>
                <w:rFonts w:hAnsi="Arial" w:hint="eastAsia"/>
                <w:bCs/>
                <w:kern w:val="32"/>
                <w:sz w:val="24"/>
                <w:szCs w:val="24"/>
                <w:shd w:val="clear" w:color="auto" w:fill="FFFFFF"/>
              </w:rPr>
              <w:t>款及巴勒摩公約、維也納公約均要求澈底剝奪犯罪所得，如犯罪所得之物、財產上利益及其孳息，因事實上或法律上原因（</w:t>
            </w:r>
            <w:r w:rsidRPr="00C93FB6">
              <w:rPr>
                <w:rFonts w:hAnsi="Arial" w:hint="eastAsia"/>
                <w:b/>
                <w:bCs/>
                <w:kern w:val="32"/>
                <w:sz w:val="24"/>
                <w:szCs w:val="24"/>
                <w:u w:val="single"/>
                <w:shd w:val="clear" w:color="auto" w:fill="FFFFFF"/>
              </w:rPr>
              <w:t>如滅失或第三人善意取得</w:t>
            </w:r>
            <w:r w:rsidRPr="00C93FB6">
              <w:rPr>
                <w:rFonts w:hAnsi="Arial" w:hint="eastAsia"/>
                <w:bCs/>
                <w:kern w:val="32"/>
                <w:sz w:val="24"/>
                <w:szCs w:val="24"/>
                <w:shd w:val="clear" w:color="auto" w:fill="FFFFFF"/>
              </w:rPr>
              <w:t>）不存在時，應追徵其替代價額。</w:t>
            </w:r>
          </w:p>
        </w:tc>
      </w:tr>
      <w:tr w:rsidR="00B03AC8" w:rsidRPr="00C93FB6" w:rsidTr="00B03AC8">
        <w:tc>
          <w:tcPr>
            <w:tcW w:w="2455" w:type="pct"/>
          </w:tcPr>
          <w:p w:rsidR="00B03AC8" w:rsidRPr="00C93FB6" w:rsidRDefault="00B03AC8" w:rsidP="00CF1D77">
            <w:pPr>
              <w:pStyle w:val="3"/>
              <w:numPr>
                <w:ilvl w:val="0"/>
                <w:numId w:val="0"/>
              </w:numPr>
              <w:rPr>
                <w:sz w:val="24"/>
                <w:szCs w:val="24"/>
                <w:shd w:val="clear" w:color="auto" w:fill="FFFFFF"/>
              </w:rPr>
            </w:pPr>
            <w:r w:rsidRPr="00C93FB6">
              <w:rPr>
                <w:rFonts w:hint="eastAsia"/>
                <w:sz w:val="24"/>
                <w:szCs w:val="24"/>
                <w:shd w:val="clear" w:color="auto" w:fill="FFFFFF"/>
              </w:rPr>
              <w:t>第38條之1第3項：犯罪行為人以外之自然人、法人或非法人團體，因下列情形之</w:t>
            </w:r>
            <w:proofErr w:type="gramStart"/>
            <w:r w:rsidRPr="00C93FB6">
              <w:rPr>
                <w:rFonts w:hint="eastAsia"/>
                <w:sz w:val="24"/>
                <w:szCs w:val="24"/>
                <w:shd w:val="clear" w:color="auto" w:fill="FFFFFF"/>
              </w:rPr>
              <w:t>一</w:t>
            </w:r>
            <w:proofErr w:type="gramEnd"/>
            <w:r w:rsidRPr="00C93FB6">
              <w:rPr>
                <w:rFonts w:hint="eastAsia"/>
                <w:sz w:val="24"/>
                <w:szCs w:val="24"/>
                <w:shd w:val="clear" w:color="auto" w:fill="FFFFFF"/>
              </w:rPr>
              <w:t>取得犯罪所得者，亦同：一、明知他人違法行為而取得。二、因他人違法行為而無償或以顯不相當之對價取得。三、犯罪行為人為他人實行違法行為，他人因而取得。</w:t>
            </w:r>
          </w:p>
        </w:tc>
        <w:tc>
          <w:tcPr>
            <w:tcW w:w="2545" w:type="pct"/>
          </w:tcPr>
          <w:p w:rsidR="00B03AC8" w:rsidRPr="00C93FB6" w:rsidRDefault="00B03AC8" w:rsidP="0049019E">
            <w:pPr>
              <w:overflowPunct/>
              <w:adjustRightInd w:val="0"/>
              <w:rPr>
                <w:rFonts w:hAnsi="標楷體"/>
                <w:shd w:val="clear" w:color="auto" w:fill="FFFFFF"/>
              </w:rPr>
            </w:pPr>
            <w:r w:rsidRPr="00C93FB6">
              <w:rPr>
                <w:rFonts w:hAnsi="Arial"/>
                <w:bCs/>
                <w:kern w:val="32"/>
                <w:sz w:val="24"/>
                <w:szCs w:val="24"/>
                <w:shd w:val="clear" w:color="auto" w:fill="FFFFFF"/>
              </w:rPr>
              <w:t>對</w:t>
            </w:r>
            <w:r w:rsidRPr="00C93FB6">
              <w:rPr>
                <w:rFonts w:hAnsi="Arial"/>
                <w:b/>
                <w:bCs/>
                <w:kern w:val="32"/>
                <w:sz w:val="24"/>
                <w:szCs w:val="24"/>
                <w:u w:val="single"/>
                <w:shd w:val="clear" w:color="auto" w:fill="FFFFFF"/>
              </w:rPr>
              <w:t>第三人</w:t>
            </w:r>
            <w:r w:rsidRPr="00C93FB6">
              <w:rPr>
                <w:rFonts w:hAnsi="Arial"/>
                <w:bCs/>
                <w:kern w:val="32"/>
                <w:sz w:val="24"/>
                <w:szCs w:val="24"/>
                <w:shd w:val="clear" w:color="auto" w:fill="FFFFFF"/>
              </w:rPr>
              <w:t>以</w:t>
            </w:r>
            <w:r w:rsidRPr="00C93FB6">
              <w:rPr>
                <w:rFonts w:hAnsi="Arial"/>
                <w:b/>
                <w:bCs/>
                <w:kern w:val="32"/>
                <w:sz w:val="24"/>
                <w:szCs w:val="24"/>
                <w:u w:val="single"/>
                <w:shd w:val="clear" w:color="auto" w:fill="FFFFFF"/>
              </w:rPr>
              <w:t>惡意</w:t>
            </w:r>
            <w:r w:rsidRPr="00C93FB6">
              <w:rPr>
                <w:rFonts w:hAnsi="Arial"/>
                <w:bCs/>
                <w:kern w:val="32"/>
                <w:sz w:val="24"/>
                <w:szCs w:val="24"/>
                <w:shd w:val="clear" w:color="auto" w:fill="FFFFFF"/>
              </w:rPr>
              <w:t>或因他人違法行為取得利益時，酌予沒收，以防止脫法及填補制裁漏洞。</w:t>
            </w:r>
          </w:p>
        </w:tc>
      </w:tr>
      <w:tr w:rsidR="00B03AC8" w:rsidRPr="00C93FB6" w:rsidTr="00B03AC8">
        <w:tc>
          <w:tcPr>
            <w:tcW w:w="2455" w:type="pct"/>
          </w:tcPr>
          <w:p w:rsidR="00B03AC8" w:rsidRPr="00C93FB6" w:rsidRDefault="00B03AC8" w:rsidP="00CF1D77">
            <w:pPr>
              <w:pStyle w:val="3"/>
              <w:numPr>
                <w:ilvl w:val="0"/>
                <w:numId w:val="0"/>
              </w:numPr>
              <w:rPr>
                <w:shd w:val="clear" w:color="auto" w:fill="FFFFFF"/>
              </w:rPr>
            </w:pPr>
            <w:r w:rsidRPr="00C93FB6">
              <w:rPr>
                <w:rFonts w:hint="eastAsia"/>
                <w:sz w:val="24"/>
                <w:szCs w:val="24"/>
                <w:shd w:val="clear" w:color="auto" w:fill="FFFFFF"/>
              </w:rPr>
              <w:t>第38條之1第4項：第1項及前項之犯罪所得，包括違法行為所得、其變得之物或財產上利益及其孳息。</w:t>
            </w:r>
          </w:p>
        </w:tc>
        <w:tc>
          <w:tcPr>
            <w:tcW w:w="2545" w:type="pct"/>
          </w:tcPr>
          <w:p w:rsidR="00B03AC8" w:rsidRPr="00C93FB6" w:rsidRDefault="00B03AC8" w:rsidP="00B03AC8">
            <w:pPr>
              <w:overflowPunct/>
              <w:adjustRightInd w:val="0"/>
              <w:rPr>
                <w:rFonts w:hAnsi="標楷體"/>
                <w:shd w:val="clear" w:color="auto" w:fill="FFFFFF"/>
              </w:rPr>
            </w:pPr>
            <w:r w:rsidRPr="00C93FB6">
              <w:rPr>
                <w:rFonts w:hAnsi="Arial"/>
                <w:b/>
                <w:bCs/>
                <w:kern w:val="32"/>
                <w:sz w:val="24"/>
                <w:szCs w:val="24"/>
                <w:u w:val="single"/>
                <w:shd w:val="clear" w:color="auto" w:fill="FFFFFF"/>
              </w:rPr>
              <w:t>擴大沒收犯罪所得之範圍包括「物、財產上利益及其孳息」</w:t>
            </w:r>
            <w:r w:rsidRPr="00C93FB6">
              <w:rPr>
                <w:rFonts w:hAnsi="標楷體"/>
                <w:kern w:val="0"/>
                <w:sz w:val="24"/>
                <w:szCs w:val="21"/>
              </w:rPr>
              <w:t>。</w:t>
            </w:r>
            <w:r w:rsidRPr="00C93FB6">
              <w:rPr>
                <w:rFonts w:hAnsi="標楷體" w:hint="eastAsia"/>
                <w:kern w:val="0"/>
                <w:sz w:val="24"/>
                <w:szCs w:val="21"/>
              </w:rPr>
              <w:t>現行犯罪所得之物，限於有體物，因範圍過窄，而無法剝奪犯罪所得以遏止犯罪誘因。定明犯罪所得包括其違法行為所得、其變得之物、財產上利益及其</w:t>
            </w:r>
            <w:proofErr w:type="gramStart"/>
            <w:r w:rsidRPr="00C93FB6">
              <w:rPr>
                <w:rFonts w:hAnsi="標楷體" w:hint="eastAsia"/>
                <w:kern w:val="0"/>
                <w:sz w:val="24"/>
                <w:szCs w:val="21"/>
              </w:rPr>
              <w:t>孳息均為沒收</w:t>
            </w:r>
            <w:proofErr w:type="gramEnd"/>
            <w:r w:rsidRPr="00C93FB6">
              <w:rPr>
                <w:rFonts w:hAnsi="標楷體" w:hint="eastAsia"/>
                <w:kern w:val="0"/>
                <w:sz w:val="24"/>
                <w:szCs w:val="21"/>
              </w:rPr>
              <w:t>範圍。</w:t>
            </w:r>
          </w:p>
        </w:tc>
      </w:tr>
      <w:tr w:rsidR="00B03AC8" w:rsidRPr="00C93FB6" w:rsidTr="00B03AC8">
        <w:tc>
          <w:tcPr>
            <w:tcW w:w="2455" w:type="pct"/>
          </w:tcPr>
          <w:p w:rsidR="00B03AC8" w:rsidRPr="00C93FB6" w:rsidRDefault="00B03AC8" w:rsidP="00B03AC8">
            <w:pPr>
              <w:pStyle w:val="3"/>
              <w:numPr>
                <w:ilvl w:val="0"/>
                <w:numId w:val="0"/>
              </w:numPr>
              <w:rPr>
                <w:sz w:val="24"/>
                <w:szCs w:val="24"/>
                <w:shd w:val="clear" w:color="auto" w:fill="FFFFFF"/>
              </w:rPr>
            </w:pPr>
            <w:r w:rsidRPr="00C93FB6">
              <w:rPr>
                <w:rFonts w:hint="eastAsia"/>
                <w:sz w:val="24"/>
                <w:szCs w:val="24"/>
                <w:shd w:val="clear" w:color="auto" w:fill="FFFFFF"/>
              </w:rPr>
              <w:lastRenderedPageBreak/>
              <w:t>第40條第3項：</w:t>
            </w:r>
          </w:p>
          <w:p w:rsidR="00B03AC8" w:rsidRPr="00C93FB6" w:rsidRDefault="00B03AC8" w:rsidP="00B03AC8">
            <w:pPr>
              <w:pStyle w:val="3"/>
              <w:numPr>
                <w:ilvl w:val="0"/>
                <w:numId w:val="0"/>
              </w:numPr>
              <w:rPr>
                <w:shd w:val="clear" w:color="auto" w:fill="FFFFFF"/>
              </w:rPr>
            </w:pPr>
            <w:r w:rsidRPr="00C93FB6">
              <w:rPr>
                <w:rFonts w:hint="eastAsia"/>
                <w:sz w:val="24"/>
                <w:szCs w:val="24"/>
                <w:shd w:val="clear" w:color="auto" w:fill="FFFFFF"/>
              </w:rPr>
              <w:t>第38條第2項之物、第38條之1第1項、第3項之犯罪所得，因事實上或法律上原因未能追訴犯罪行為人之犯罪或判決有罪者，得單獨宣告沒收。</w:t>
            </w:r>
          </w:p>
        </w:tc>
        <w:tc>
          <w:tcPr>
            <w:tcW w:w="2545" w:type="pct"/>
          </w:tcPr>
          <w:p w:rsidR="00B03AC8" w:rsidRPr="00C93FB6" w:rsidRDefault="00B03AC8" w:rsidP="00B03AC8">
            <w:pPr>
              <w:pStyle w:val="3"/>
              <w:numPr>
                <w:ilvl w:val="0"/>
                <w:numId w:val="0"/>
              </w:numPr>
              <w:rPr>
                <w:rFonts w:hAnsi="標楷體"/>
                <w:shd w:val="clear" w:color="auto" w:fill="FFFFFF"/>
              </w:rPr>
            </w:pPr>
            <w:r w:rsidRPr="00C93FB6">
              <w:rPr>
                <w:rFonts w:hAnsi="標楷體" w:hint="eastAsia"/>
                <w:bCs w:val="0"/>
                <w:kern w:val="0"/>
                <w:sz w:val="24"/>
                <w:szCs w:val="21"/>
              </w:rPr>
              <w:t>增訂於無主刑存在時，亦得單獨宣告沒收：因事實上或法律上原因未能追訴犯罪行為人之犯罪或判決有罪者，如因無主刑而不能宣告沒收，將形成犯罪行為人與其相關之人享有犯罪所得，而顯失公平，</w:t>
            </w:r>
            <w:proofErr w:type="gramStart"/>
            <w:r w:rsidRPr="00C93FB6">
              <w:rPr>
                <w:rFonts w:hAnsi="標楷體" w:hint="eastAsia"/>
                <w:bCs w:val="0"/>
                <w:kern w:val="0"/>
                <w:sz w:val="24"/>
                <w:szCs w:val="21"/>
              </w:rPr>
              <w:t>故定明</w:t>
            </w:r>
            <w:proofErr w:type="gramEnd"/>
            <w:r w:rsidRPr="00C93FB6">
              <w:rPr>
                <w:rFonts w:hAnsi="標楷體" w:hint="eastAsia"/>
                <w:bCs w:val="0"/>
                <w:kern w:val="0"/>
                <w:sz w:val="24"/>
                <w:szCs w:val="21"/>
              </w:rPr>
              <w:t>犯罪行為人有上開情形時亦得單獨宣告沒收。</w:t>
            </w:r>
          </w:p>
        </w:tc>
      </w:tr>
    </w:tbl>
    <w:p w:rsidR="00F5224E" w:rsidRPr="00C93FB6" w:rsidRDefault="00104B2F" w:rsidP="006B1ADF">
      <w:pPr>
        <w:pStyle w:val="3"/>
        <w:numPr>
          <w:ilvl w:val="0"/>
          <w:numId w:val="0"/>
        </w:numPr>
        <w:spacing w:line="280" w:lineRule="exact"/>
        <w:ind w:left="-28"/>
        <w:rPr>
          <w:sz w:val="24"/>
          <w:szCs w:val="24"/>
          <w:shd w:val="clear" w:color="auto" w:fill="FFFFFF"/>
        </w:rPr>
      </w:pPr>
      <w:r w:rsidRPr="00C93FB6">
        <w:rPr>
          <w:rFonts w:hint="eastAsia"/>
          <w:sz w:val="24"/>
          <w:szCs w:val="24"/>
          <w:shd w:val="clear" w:color="auto" w:fill="FFFFFF"/>
        </w:rPr>
        <w:t>資料來源：</w:t>
      </w:r>
      <w:r w:rsidR="006B1ADF" w:rsidRPr="00C93FB6">
        <w:rPr>
          <w:rFonts w:hint="eastAsia"/>
          <w:sz w:val="24"/>
          <w:szCs w:val="24"/>
          <w:shd w:val="clear" w:color="auto" w:fill="FFFFFF"/>
        </w:rPr>
        <w:t>刑法部分條文修正草案總說明及條文對照表，</w:t>
      </w:r>
      <w:proofErr w:type="gramStart"/>
      <w:r w:rsidRPr="00C93FB6">
        <w:rPr>
          <w:rFonts w:hint="eastAsia"/>
          <w:sz w:val="24"/>
          <w:szCs w:val="24"/>
          <w:shd w:val="clear" w:color="auto" w:fill="FFFFFF"/>
        </w:rPr>
        <w:t>本院彙整</w:t>
      </w:r>
      <w:proofErr w:type="gramEnd"/>
      <w:r w:rsidRPr="00C93FB6">
        <w:rPr>
          <w:rFonts w:hint="eastAsia"/>
          <w:sz w:val="24"/>
          <w:szCs w:val="24"/>
          <w:shd w:val="clear" w:color="auto" w:fill="FFFFFF"/>
        </w:rPr>
        <w:t>。</w:t>
      </w:r>
    </w:p>
    <w:p w:rsidR="006B1ADF" w:rsidRPr="00C93FB6" w:rsidRDefault="006B1ADF" w:rsidP="006B1ADF">
      <w:pPr>
        <w:pStyle w:val="3"/>
        <w:numPr>
          <w:ilvl w:val="0"/>
          <w:numId w:val="0"/>
        </w:numPr>
        <w:spacing w:line="280" w:lineRule="exact"/>
        <w:ind w:left="-28"/>
        <w:rPr>
          <w:shd w:val="clear" w:color="auto" w:fill="FFFFFF"/>
        </w:rPr>
      </w:pPr>
    </w:p>
    <w:p w:rsidR="000509C3" w:rsidRPr="00C93FB6" w:rsidRDefault="00B12FBF" w:rsidP="002143F4">
      <w:pPr>
        <w:pStyle w:val="3"/>
        <w:rPr>
          <w:shd w:val="clear" w:color="auto" w:fill="FFFFFF"/>
        </w:rPr>
      </w:pPr>
      <w:r w:rsidRPr="00C93FB6">
        <w:rPr>
          <w:rFonts w:hint="eastAsia"/>
          <w:shd w:val="clear" w:color="auto" w:fill="FFFFFF"/>
        </w:rPr>
        <w:t>依刑法第38條之1第1</w:t>
      </w:r>
      <w:r w:rsidRPr="00C93FB6">
        <w:rPr>
          <w:rFonts w:hAnsi="標楷體" w:hint="eastAsia"/>
          <w:shd w:val="clear" w:color="auto" w:fill="FFFFFF"/>
        </w:rPr>
        <w:t>項規定：「犯</w:t>
      </w:r>
      <w:r w:rsidRPr="00C93FB6">
        <w:rPr>
          <w:rFonts w:hint="eastAsia"/>
          <w:shd w:val="clear" w:color="auto" w:fill="FFFFFF"/>
        </w:rPr>
        <w:t>罪所得，屬於犯罪行為人者，沒收之。</w:t>
      </w:r>
      <w:r w:rsidRPr="00C93FB6">
        <w:rPr>
          <w:rFonts w:hAnsi="標楷體"/>
          <w:shd w:val="clear" w:color="auto" w:fill="FFFFFF"/>
        </w:rPr>
        <w:t>…</w:t>
      </w:r>
      <w:proofErr w:type="gramStart"/>
      <w:r w:rsidRPr="00C93FB6">
        <w:rPr>
          <w:rFonts w:hAnsi="標楷體"/>
          <w:shd w:val="clear" w:color="auto" w:fill="FFFFFF"/>
        </w:rPr>
        <w:t>…</w:t>
      </w:r>
      <w:proofErr w:type="gramEnd"/>
      <w:r w:rsidRPr="00C93FB6">
        <w:rPr>
          <w:rFonts w:hint="eastAsia"/>
          <w:shd w:val="clear" w:color="auto" w:fill="FFFFFF"/>
        </w:rPr>
        <w:t>」同條第3項規定：「</w:t>
      </w:r>
      <w:r w:rsidR="00371825" w:rsidRPr="00C93FB6">
        <w:rPr>
          <w:rFonts w:hint="eastAsia"/>
          <w:shd w:val="clear" w:color="auto" w:fill="FFFFFF"/>
        </w:rPr>
        <w:t>前二項之沒收，於全部或一部不能沒收或不宜執行沒收時，追徵其價額。</w:t>
      </w:r>
      <w:r w:rsidRPr="00C93FB6">
        <w:rPr>
          <w:rFonts w:hint="eastAsia"/>
          <w:shd w:val="clear" w:color="auto" w:fill="FFFFFF"/>
        </w:rPr>
        <w:t>」</w:t>
      </w:r>
      <w:r w:rsidR="00371825" w:rsidRPr="00C93FB6">
        <w:rPr>
          <w:rFonts w:hint="eastAsia"/>
          <w:shd w:val="clear" w:color="auto" w:fill="FFFFFF"/>
        </w:rPr>
        <w:t>及第40條第1項規定：「沒收，除有特別規定者外，於裁判時</w:t>
      </w:r>
      <w:proofErr w:type="gramStart"/>
      <w:r w:rsidR="00371825" w:rsidRPr="00C93FB6">
        <w:rPr>
          <w:rFonts w:hint="eastAsia"/>
          <w:shd w:val="clear" w:color="auto" w:fill="FFFFFF"/>
        </w:rPr>
        <w:t>併</w:t>
      </w:r>
      <w:proofErr w:type="gramEnd"/>
      <w:r w:rsidR="00371825" w:rsidRPr="00C93FB6">
        <w:rPr>
          <w:rFonts w:hint="eastAsia"/>
          <w:shd w:val="clear" w:color="auto" w:fill="FFFFFF"/>
        </w:rPr>
        <w:t>宣告之。」</w:t>
      </w:r>
      <w:r w:rsidR="00D0748E" w:rsidRPr="00C93FB6">
        <w:rPr>
          <w:rFonts w:hint="eastAsia"/>
        </w:rPr>
        <w:t>地方檢察署(下稱</w:t>
      </w:r>
      <w:r w:rsidR="00371825" w:rsidRPr="00C93FB6">
        <w:rPr>
          <w:rFonts w:hint="eastAsia"/>
        </w:rPr>
        <w:t>地檢署</w:t>
      </w:r>
      <w:r w:rsidR="00D0748E" w:rsidRPr="00C93FB6">
        <w:rPr>
          <w:rFonts w:hint="eastAsia"/>
        </w:rPr>
        <w:t>)</w:t>
      </w:r>
      <w:r w:rsidR="00371825" w:rsidRPr="00C93FB6">
        <w:rPr>
          <w:rFonts w:hint="eastAsia"/>
        </w:rPr>
        <w:t>依各級法院裁判書主文所載，執行應沒收（追徵）之犯罪所得，並於每年底將前揭尚未執行完竣案件之犯罪所得帳列應收帳款。</w:t>
      </w:r>
    </w:p>
    <w:p w:rsidR="005E2E60" w:rsidRPr="00C93FB6" w:rsidRDefault="000509C3" w:rsidP="002143F4">
      <w:pPr>
        <w:pStyle w:val="3"/>
        <w:rPr>
          <w:shd w:val="clear" w:color="auto" w:fill="FFFFFF"/>
        </w:rPr>
      </w:pPr>
      <w:r w:rsidRPr="00C93FB6">
        <w:rPr>
          <w:rFonts w:hint="eastAsia"/>
        </w:rPr>
        <w:t>為因應沒收新法施行，</w:t>
      </w:r>
      <w:r w:rsidR="005E2E60" w:rsidRPr="00C93FB6">
        <w:rPr>
          <w:rFonts w:hint="eastAsia"/>
          <w:shd w:val="clear" w:color="auto" w:fill="FFFFFF"/>
        </w:rPr>
        <w:t>法務部表示已</w:t>
      </w:r>
      <w:r w:rsidR="00E23353" w:rsidRPr="00C93FB6">
        <w:rPr>
          <w:rFonts w:hint="eastAsia"/>
        </w:rPr>
        <w:t>強化檢察官及各執法單位熟悉沒收新制之運用，請</w:t>
      </w:r>
      <w:r w:rsidR="005E2E60" w:rsidRPr="00C93FB6">
        <w:rPr>
          <w:rFonts w:hint="eastAsia"/>
        </w:rPr>
        <w:t>執法單位依新法查扣、沒收，</w:t>
      </w:r>
      <w:r w:rsidR="00E23353" w:rsidRPr="00C93FB6">
        <w:rPr>
          <w:rFonts w:hint="eastAsia"/>
        </w:rPr>
        <w:t>並持續</w:t>
      </w:r>
      <w:r w:rsidR="005E2E60" w:rsidRPr="00C93FB6">
        <w:rPr>
          <w:rFonts w:hint="eastAsia"/>
        </w:rPr>
        <w:t>辦理宣導及教育訓練</w:t>
      </w:r>
      <w:r w:rsidR="00E23353" w:rsidRPr="00C93FB6">
        <w:rPr>
          <w:rFonts w:hint="eastAsia"/>
        </w:rPr>
        <w:t>；落實「檢察機關追討犯罪所得實施要點」，強化檢察機關橫向聯繫；各檢察機關</w:t>
      </w:r>
      <w:r w:rsidR="005E2E60" w:rsidRPr="00C93FB6">
        <w:rPr>
          <w:rFonts w:hint="eastAsia"/>
        </w:rPr>
        <w:t>成立追討犯罪所得專組，辦理犯罪所得之追查、扣押、禁止處分、沒收及變價；落</w:t>
      </w:r>
      <w:r w:rsidR="00E23353" w:rsidRPr="00C93FB6">
        <w:rPr>
          <w:rFonts w:hint="eastAsia"/>
        </w:rPr>
        <w:t>實「檢察機關辦理刑事案件偵查中扣押物變價應行注意事項」，</w:t>
      </w:r>
      <w:r w:rsidR="005E2E60" w:rsidRPr="00C93FB6">
        <w:rPr>
          <w:rFonts w:hint="eastAsia"/>
        </w:rPr>
        <w:t>推動偵查中變價，避免</w:t>
      </w:r>
      <w:proofErr w:type="gramStart"/>
      <w:r w:rsidR="005E2E60" w:rsidRPr="00C93FB6">
        <w:rPr>
          <w:rFonts w:hint="eastAsia"/>
        </w:rPr>
        <w:t>扣案物於</w:t>
      </w:r>
      <w:proofErr w:type="gramEnd"/>
      <w:r w:rsidR="005E2E60" w:rsidRPr="00C93FB6">
        <w:rPr>
          <w:rFonts w:hint="eastAsia"/>
        </w:rPr>
        <w:t>執行時價值減損；公布「檢察機關與行政執行機關辦理囑託業務聯繫要點」，借重行政執行機關之專業，協助檢察機關辦理變價、分配、給付、調查追徵財產之業務。</w:t>
      </w:r>
    </w:p>
    <w:p w:rsidR="008E1B66" w:rsidRPr="00C93FB6" w:rsidRDefault="001F7075" w:rsidP="00571055">
      <w:pPr>
        <w:pStyle w:val="3"/>
      </w:pPr>
      <w:r w:rsidRPr="00C93FB6">
        <w:rPr>
          <w:rFonts w:hint="eastAsia"/>
        </w:rPr>
        <w:t>有關新制實施後，應收犯罪所得及實際沒入國庫金額之變化趨勢，依法務部函復</w:t>
      </w:r>
      <w:r w:rsidR="00A47A89" w:rsidRPr="00C93FB6">
        <w:rPr>
          <w:rFonts w:hint="eastAsia"/>
        </w:rPr>
        <w:t>統計資料分析</w:t>
      </w:r>
      <w:r w:rsidR="008E1B66" w:rsidRPr="00C93FB6">
        <w:rPr>
          <w:rFonts w:hint="eastAsia"/>
        </w:rPr>
        <w:t>：</w:t>
      </w:r>
    </w:p>
    <w:p w:rsidR="008E1B66" w:rsidRPr="00C93FB6" w:rsidRDefault="00A47A89" w:rsidP="001F7075">
      <w:pPr>
        <w:pStyle w:val="4"/>
      </w:pPr>
      <w:r w:rsidRPr="00C93FB6">
        <w:rPr>
          <w:rFonts w:hint="eastAsia"/>
        </w:rPr>
        <w:t>就整體收繳情形觀之，新制實施後，</w:t>
      </w:r>
      <w:r w:rsidR="00D0748E" w:rsidRPr="00C93FB6">
        <w:rPr>
          <w:rFonts w:hint="eastAsia"/>
        </w:rPr>
        <w:t>105年7月</w:t>
      </w:r>
      <w:r w:rsidR="001F7075" w:rsidRPr="00C93FB6">
        <w:rPr>
          <w:rFonts w:hint="eastAsia"/>
        </w:rPr>
        <w:t>(新</w:t>
      </w:r>
      <w:r w:rsidR="001F7075" w:rsidRPr="00C93FB6">
        <w:rPr>
          <w:rFonts w:hint="eastAsia"/>
        </w:rPr>
        <w:lastRenderedPageBreak/>
        <w:t>制實施)</w:t>
      </w:r>
      <w:r w:rsidR="00D0748E" w:rsidRPr="00C93FB6">
        <w:rPr>
          <w:rFonts w:hint="eastAsia"/>
        </w:rPr>
        <w:t>至108年底地檢署執行經法院判決確定應沒收犯罪所得件數53</w:t>
      </w:r>
      <w:r w:rsidR="00D0748E" w:rsidRPr="00C93FB6">
        <w:t>,</w:t>
      </w:r>
      <w:r w:rsidR="00D0748E" w:rsidRPr="00C93FB6">
        <w:rPr>
          <w:rFonts w:hint="eastAsia"/>
        </w:rPr>
        <w:t>631件，應收金額</w:t>
      </w:r>
      <w:r w:rsidR="00E23353" w:rsidRPr="00C93FB6">
        <w:rPr>
          <w:rFonts w:hint="eastAsia"/>
        </w:rPr>
        <w:t>新臺幣(下同)</w:t>
      </w:r>
      <w:r w:rsidR="00D0748E" w:rsidRPr="00C93FB6">
        <w:rPr>
          <w:rFonts w:hint="eastAsia"/>
        </w:rPr>
        <w:t>37</w:t>
      </w:r>
      <w:r w:rsidR="00D0748E" w:rsidRPr="00C93FB6">
        <w:t>9</w:t>
      </w:r>
      <w:r w:rsidR="00D0748E" w:rsidRPr="00C93FB6">
        <w:rPr>
          <w:rFonts w:hint="eastAsia"/>
        </w:rPr>
        <w:t>億5</w:t>
      </w:r>
      <w:r w:rsidR="00D0748E" w:rsidRPr="00C93FB6">
        <w:t>,</w:t>
      </w:r>
      <w:r w:rsidR="00D0748E" w:rsidRPr="00C93FB6">
        <w:rPr>
          <w:rFonts w:hint="eastAsia"/>
        </w:rPr>
        <w:t>524萬6</w:t>
      </w:r>
      <w:r w:rsidR="00D0748E" w:rsidRPr="00C93FB6">
        <w:t>,</w:t>
      </w:r>
      <w:r w:rsidR="00D0748E" w:rsidRPr="00C93FB6">
        <w:rPr>
          <w:rFonts w:hint="eastAsia"/>
        </w:rPr>
        <w:t>001元，已收39億9</w:t>
      </w:r>
      <w:r w:rsidR="00D0748E" w:rsidRPr="00C93FB6">
        <w:t>,</w:t>
      </w:r>
      <w:r w:rsidR="00D0748E" w:rsidRPr="00C93FB6">
        <w:rPr>
          <w:rFonts w:hint="eastAsia"/>
        </w:rPr>
        <w:t>448萬8</w:t>
      </w:r>
      <w:r w:rsidR="00D0748E" w:rsidRPr="00C93FB6">
        <w:t>,</w:t>
      </w:r>
      <w:r w:rsidR="00D0748E" w:rsidRPr="00C93FB6">
        <w:rPr>
          <w:rFonts w:hint="eastAsia"/>
        </w:rPr>
        <w:t>393元(截至109年1月3日)，已收比率10.5%，未收金額339億6,075萬7</w:t>
      </w:r>
      <w:r w:rsidR="00D0748E" w:rsidRPr="00C93FB6">
        <w:t>,</w:t>
      </w:r>
      <w:r w:rsidR="00D0748E" w:rsidRPr="00C93FB6">
        <w:rPr>
          <w:rFonts w:hint="eastAsia"/>
        </w:rPr>
        <w:t>608</w:t>
      </w:r>
      <w:r w:rsidR="008E1B66" w:rsidRPr="00C93FB6">
        <w:rPr>
          <w:rFonts w:hint="eastAsia"/>
        </w:rPr>
        <w:t>元，</w:t>
      </w:r>
      <w:r w:rsidR="00D0748E" w:rsidRPr="00C93FB6">
        <w:rPr>
          <w:rFonts w:hint="eastAsia"/>
        </w:rPr>
        <w:t>如表</w:t>
      </w:r>
      <w:r w:rsidR="000509C3" w:rsidRPr="00C93FB6">
        <w:rPr>
          <w:rFonts w:hint="eastAsia"/>
        </w:rPr>
        <w:t>2</w:t>
      </w:r>
      <w:r w:rsidR="008E1B66" w:rsidRPr="00C93FB6">
        <w:rPr>
          <w:rFonts w:hint="eastAsia"/>
        </w:rPr>
        <w:t>。</w:t>
      </w:r>
    </w:p>
    <w:p w:rsidR="00A47A89" w:rsidRPr="00C93FB6" w:rsidRDefault="00A47A89" w:rsidP="002143F4">
      <w:pPr>
        <w:pStyle w:val="4"/>
      </w:pPr>
      <w:r w:rsidRPr="00C93FB6">
        <w:rPr>
          <w:rFonts w:hint="eastAsia"/>
        </w:rPr>
        <w:t>就應收犯罪所得之變化觀之，新制實施前，102年至104年應收犯罪所得為8億6</w:t>
      </w:r>
      <w:r w:rsidRPr="00C93FB6">
        <w:t>,</w:t>
      </w:r>
      <w:r w:rsidRPr="00C93FB6">
        <w:rPr>
          <w:rFonts w:hint="eastAsia"/>
        </w:rPr>
        <w:t>204萬餘元、24億8</w:t>
      </w:r>
      <w:r w:rsidRPr="00C93FB6">
        <w:t>,</w:t>
      </w:r>
      <w:r w:rsidRPr="00C93FB6">
        <w:rPr>
          <w:rFonts w:hint="eastAsia"/>
        </w:rPr>
        <w:t>287萬餘元及4億8,464萬餘元。實施後，大幅增為106年至108年之</w:t>
      </w:r>
      <w:r w:rsidRPr="00C93FB6">
        <w:t>86</w:t>
      </w:r>
      <w:r w:rsidRPr="00C93FB6">
        <w:rPr>
          <w:rFonts w:hint="eastAsia"/>
        </w:rPr>
        <w:t>億</w:t>
      </w:r>
      <w:r w:rsidRPr="00C93FB6">
        <w:t>8,407</w:t>
      </w:r>
      <w:r w:rsidRPr="00C93FB6">
        <w:rPr>
          <w:rFonts w:hint="eastAsia"/>
        </w:rPr>
        <w:t>萬餘元、</w:t>
      </w:r>
      <w:r w:rsidRPr="00C93FB6">
        <w:t>112</w:t>
      </w:r>
      <w:r w:rsidRPr="00C93FB6">
        <w:rPr>
          <w:rFonts w:hint="eastAsia"/>
        </w:rPr>
        <w:t>億</w:t>
      </w:r>
      <w:r w:rsidRPr="00C93FB6">
        <w:t>1,153</w:t>
      </w:r>
      <w:r w:rsidR="00E95B87">
        <w:rPr>
          <w:rFonts w:hint="eastAsia"/>
        </w:rPr>
        <w:t>萬餘元</w:t>
      </w:r>
      <w:r w:rsidRPr="00C93FB6">
        <w:rPr>
          <w:rFonts w:hint="eastAsia"/>
        </w:rPr>
        <w:t>及</w:t>
      </w:r>
      <w:r w:rsidRPr="00C93FB6">
        <w:t>165</w:t>
      </w:r>
      <w:r w:rsidRPr="00C93FB6">
        <w:rPr>
          <w:rFonts w:hint="eastAsia"/>
        </w:rPr>
        <w:t>億</w:t>
      </w:r>
      <w:r w:rsidRPr="00C93FB6">
        <w:t>2,093</w:t>
      </w:r>
      <w:r w:rsidR="004C4716" w:rsidRPr="00C93FB6">
        <w:rPr>
          <w:rFonts w:hint="eastAsia"/>
        </w:rPr>
        <w:t>萬餘元。</w:t>
      </w:r>
    </w:p>
    <w:p w:rsidR="002143F4" w:rsidRPr="00C93FB6" w:rsidRDefault="00A47A89" w:rsidP="002143F4">
      <w:pPr>
        <w:pStyle w:val="4"/>
      </w:pPr>
      <w:r w:rsidRPr="00C93FB6">
        <w:rPr>
          <w:rFonts w:hint="eastAsia"/>
        </w:rPr>
        <w:t>就收繳情形觀之，105年至108年全國地檢署共沒收41億9</w:t>
      </w:r>
      <w:r w:rsidRPr="00C93FB6">
        <w:t>,</w:t>
      </w:r>
      <w:r w:rsidRPr="00C93FB6">
        <w:rPr>
          <w:rFonts w:hint="eastAsia"/>
        </w:rPr>
        <w:t>889萬餘元進入國庫，近3年之實際沒入國庫金額均超過10億元，且沒入國庫之金額逐年成長，如表3：</w:t>
      </w:r>
    </w:p>
    <w:p w:rsidR="001F7075" w:rsidRPr="00C93FB6" w:rsidRDefault="001F7075" w:rsidP="001F7075">
      <w:pPr>
        <w:pStyle w:val="a4"/>
        <w:numPr>
          <w:ilvl w:val="0"/>
          <w:numId w:val="4"/>
        </w:numPr>
      </w:pPr>
      <w:r w:rsidRPr="00C93FB6">
        <w:rPr>
          <w:rFonts w:hint="eastAsia"/>
        </w:rPr>
        <w:t>地檢署執行經法院判決確定應沒收犯罪所得收回情形表-全國</w:t>
      </w:r>
    </w:p>
    <w:p w:rsidR="001F7075" w:rsidRPr="00C93FB6" w:rsidRDefault="001F7075" w:rsidP="00927881">
      <w:pPr>
        <w:ind w:rightChars="-247" w:right="-840"/>
        <w:jc w:val="right"/>
      </w:pPr>
      <w:r w:rsidRPr="00C93FB6">
        <w:rPr>
          <w:rFonts w:hint="eastAsia"/>
          <w:sz w:val="24"/>
        </w:rPr>
        <w:t>單位：件、元、%</w:t>
      </w:r>
    </w:p>
    <w:tbl>
      <w:tblPr>
        <w:tblStyle w:val="af7"/>
        <w:tblW w:w="10541" w:type="dxa"/>
        <w:jc w:val="center"/>
        <w:tblCellMar>
          <w:left w:w="28" w:type="dxa"/>
          <w:right w:w="28" w:type="dxa"/>
        </w:tblCellMar>
        <w:tblLook w:val="04A0" w:firstRow="1" w:lastRow="0" w:firstColumn="1" w:lastColumn="0" w:noHBand="0" w:noVBand="1"/>
      </w:tblPr>
      <w:tblGrid>
        <w:gridCol w:w="2552"/>
        <w:gridCol w:w="957"/>
        <w:gridCol w:w="2158"/>
        <w:gridCol w:w="2007"/>
        <w:gridCol w:w="709"/>
        <w:gridCol w:w="2158"/>
      </w:tblGrid>
      <w:tr w:rsidR="00E80DED" w:rsidRPr="00C93FB6" w:rsidTr="00E80DED">
        <w:trPr>
          <w:trHeight w:val="283"/>
          <w:tblHeader/>
          <w:jc w:val="center"/>
        </w:trPr>
        <w:tc>
          <w:tcPr>
            <w:tcW w:w="2552" w:type="dxa"/>
            <w:vMerge w:val="restart"/>
            <w:noWrap/>
            <w:vAlign w:val="center"/>
          </w:tcPr>
          <w:p w:rsidR="00E80DED" w:rsidRPr="00C93FB6" w:rsidRDefault="00E80DED" w:rsidP="00E80DED">
            <w:pPr>
              <w:jc w:val="center"/>
              <w:rPr>
                <w:rFonts w:ascii="Times New Roman"/>
                <w:kern w:val="0"/>
                <w:sz w:val="28"/>
                <w:szCs w:val="24"/>
              </w:rPr>
            </w:pPr>
            <w:r w:rsidRPr="00C93FB6">
              <w:rPr>
                <w:rFonts w:ascii="Times New Roman" w:hint="eastAsia"/>
                <w:kern w:val="0"/>
                <w:sz w:val="28"/>
                <w:szCs w:val="24"/>
              </w:rPr>
              <w:t>年度</w:t>
            </w:r>
          </w:p>
        </w:tc>
        <w:tc>
          <w:tcPr>
            <w:tcW w:w="957" w:type="dxa"/>
            <w:vMerge w:val="restart"/>
            <w:noWrap/>
            <w:vAlign w:val="center"/>
          </w:tcPr>
          <w:p w:rsidR="00E80DED" w:rsidRPr="00C93FB6" w:rsidRDefault="00E80DED" w:rsidP="00E80DED">
            <w:pPr>
              <w:jc w:val="center"/>
              <w:rPr>
                <w:rFonts w:ascii="Times New Roman"/>
                <w:kern w:val="0"/>
                <w:sz w:val="28"/>
                <w:szCs w:val="24"/>
              </w:rPr>
            </w:pPr>
            <w:r w:rsidRPr="00C93FB6">
              <w:rPr>
                <w:rFonts w:ascii="Times New Roman" w:hint="eastAsia"/>
                <w:kern w:val="0"/>
                <w:sz w:val="28"/>
                <w:szCs w:val="24"/>
              </w:rPr>
              <w:t>件數</w:t>
            </w:r>
          </w:p>
        </w:tc>
        <w:tc>
          <w:tcPr>
            <w:tcW w:w="2158" w:type="dxa"/>
            <w:vMerge w:val="restart"/>
            <w:noWrap/>
            <w:vAlign w:val="center"/>
          </w:tcPr>
          <w:p w:rsidR="00E80DED" w:rsidRPr="00C93FB6" w:rsidRDefault="00E80DED" w:rsidP="00E80DED">
            <w:pPr>
              <w:jc w:val="center"/>
              <w:rPr>
                <w:rFonts w:ascii="Times New Roman"/>
                <w:kern w:val="0"/>
                <w:sz w:val="28"/>
                <w:szCs w:val="24"/>
              </w:rPr>
            </w:pPr>
            <w:r w:rsidRPr="00C93FB6">
              <w:rPr>
                <w:rFonts w:ascii="Times New Roman" w:hint="eastAsia"/>
                <w:kern w:val="0"/>
                <w:sz w:val="28"/>
                <w:szCs w:val="24"/>
              </w:rPr>
              <w:t>應收金額</w:t>
            </w:r>
          </w:p>
        </w:tc>
        <w:tc>
          <w:tcPr>
            <w:tcW w:w="2716" w:type="dxa"/>
            <w:gridSpan w:val="2"/>
            <w:noWrap/>
            <w:vAlign w:val="center"/>
          </w:tcPr>
          <w:p w:rsidR="00E80DED" w:rsidRPr="00C93FB6" w:rsidRDefault="00E80DED" w:rsidP="00E80DED">
            <w:pPr>
              <w:widowControl/>
              <w:overflowPunct/>
              <w:autoSpaceDE/>
              <w:autoSpaceDN/>
              <w:jc w:val="center"/>
              <w:rPr>
                <w:rFonts w:hAnsi="標楷體"/>
                <w:spacing w:val="-20"/>
                <w:kern w:val="0"/>
                <w:sz w:val="28"/>
                <w:szCs w:val="24"/>
              </w:rPr>
            </w:pPr>
            <w:r w:rsidRPr="00C93FB6">
              <w:rPr>
                <w:rFonts w:hAnsi="標楷體" w:hint="eastAsia"/>
                <w:spacing w:val="-20"/>
                <w:kern w:val="0"/>
                <w:sz w:val="28"/>
                <w:szCs w:val="24"/>
              </w:rPr>
              <w:t>截至109年1月3日</w:t>
            </w:r>
          </w:p>
        </w:tc>
        <w:tc>
          <w:tcPr>
            <w:tcW w:w="2158" w:type="dxa"/>
            <w:vMerge w:val="restart"/>
            <w:noWrap/>
            <w:vAlign w:val="center"/>
          </w:tcPr>
          <w:p w:rsidR="00E80DED" w:rsidRPr="00C93FB6" w:rsidRDefault="00927881" w:rsidP="00E80DED">
            <w:pPr>
              <w:jc w:val="center"/>
              <w:rPr>
                <w:rFonts w:hAnsi="標楷體"/>
                <w:kern w:val="0"/>
                <w:sz w:val="28"/>
                <w:szCs w:val="24"/>
              </w:rPr>
            </w:pPr>
            <w:r w:rsidRPr="00C93FB6">
              <w:rPr>
                <w:rFonts w:ascii="Times New Roman" w:hint="eastAsia"/>
                <w:kern w:val="0"/>
                <w:sz w:val="28"/>
                <w:szCs w:val="24"/>
              </w:rPr>
              <w:t>未收金額</w:t>
            </w:r>
          </w:p>
        </w:tc>
      </w:tr>
      <w:tr w:rsidR="001F7075" w:rsidRPr="00C93FB6" w:rsidTr="00E80DED">
        <w:trPr>
          <w:trHeight w:val="283"/>
          <w:tblHeader/>
          <w:jc w:val="center"/>
        </w:trPr>
        <w:tc>
          <w:tcPr>
            <w:tcW w:w="2552" w:type="dxa"/>
            <w:vMerge/>
            <w:noWrap/>
            <w:vAlign w:val="center"/>
            <w:hideMark/>
          </w:tcPr>
          <w:p w:rsidR="001F7075" w:rsidRPr="00C93FB6" w:rsidRDefault="001F7075" w:rsidP="002143F4">
            <w:pPr>
              <w:widowControl/>
              <w:overflowPunct/>
              <w:autoSpaceDE/>
              <w:autoSpaceDN/>
              <w:jc w:val="center"/>
              <w:rPr>
                <w:rFonts w:hAnsi="標楷體"/>
                <w:kern w:val="0"/>
                <w:sz w:val="28"/>
                <w:szCs w:val="24"/>
              </w:rPr>
            </w:pPr>
          </w:p>
        </w:tc>
        <w:tc>
          <w:tcPr>
            <w:tcW w:w="957" w:type="dxa"/>
            <w:vMerge/>
            <w:noWrap/>
            <w:vAlign w:val="center"/>
            <w:hideMark/>
          </w:tcPr>
          <w:p w:rsidR="001F7075" w:rsidRPr="00C93FB6" w:rsidRDefault="001F7075" w:rsidP="002143F4">
            <w:pPr>
              <w:widowControl/>
              <w:overflowPunct/>
              <w:autoSpaceDE/>
              <w:autoSpaceDN/>
              <w:jc w:val="center"/>
              <w:rPr>
                <w:rFonts w:hAnsi="標楷體"/>
                <w:kern w:val="0"/>
                <w:sz w:val="28"/>
                <w:szCs w:val="24"/>
              </w:rPr>
            </w:pPr>
          </w:p>
        </w:tc>
        <w:tc>
          <w:tcPr>
            <w:tcW w:w="2158" w:type="dxa"/>
            <w:vMerge/>
            <w:noWrap/>
            <w:vAlign w:val="center"/>
            <w:hideMark/>
          </w:tcPr>
          <w:p w:rsidR="001F7075" w:rsidRPr="00C93FB6" w:rsidRDefault="001F7075" w:rsidP="002143F4">
            <w:pPr>
              <w:widowControl/>
              <w:overflowPunct/>
              <w:autoSpaceDE/>
              <w:autoSpaceDN/>
              <w:jc w:val="center"/>
              <w:rPr>
                <w:rFonts w:hAnsi="標楷體"/>
                <w:kern w:val="0"/>
                <w:sz w:val="28"/>
                <w:szCs w:val="24"/>
              </w:rPr>
            </w:pPr>
          </w:p>
        </w:tc>
        <w:tc>
          <w:tcPr>
            <w:tcW w:w="2007" w:type="dxa"/>
            <w:noWrap/>
            <w:vAlign w:val="center"/>
            <w:hideMark/>
          </w:tcPr>
          <w:p w:rsidR="001F7075" w:rsidRPr="00C93FB6" w:rsidRDefault="001F7075" w:rsidP="002143F4">
            <w:pPr>
              <w:widowControl/>
              <w:overflowPunct/>
              <w:autoSpaceDE/>
              <w:autoSpaceDN/>
              <w:jc w:val="center"/>
              <w:rPr>
                <w:rFonts w:hAnsi="標楷體"/>
                <w:kern w:val="0"/>
                <w:sz w:val="28"/>
                <w:szCs w:val="24"/>
              </w:rPr>
            </w:pPr>
            <w:r w:rsidRPr="00C93FB6">
              <w:rPr>
                <w:rFonts w:hAnsi="標楷體"/>
                <w:kern w:val="0"/>
                <w:sz w:val="28"/>
                <w:szCs w:val="24"/>
              </w:rPr>
              <w:t>已收金額</w:t>
            </w:r>
          </w:p>
        </w:tc>
        <w:tc>
          <w:tcPr>
            <w:tcW w:w="709" w:type="dxa"/>
            <w:noWrap/>
            <w:vAlign w:val="center"/>
            <w:hideMark/>
          </w:tcPr>
          <w:p w:rsidR="001F7075" w:rsidRPr="00C93FB6" w:rsidRDefault="001F7075" w:rsidP="002143F4">
            <w:pPr>
              <w:widowControl/>
              <w:overflowPunct/>
              <w:autoSpaceDE/>
              <w:autoSpaceDN/>
              <w:jc w:val="center"/>
              <w:rPr>
                <w:rFonts w:hAnsi="標楷體"/>
                <w:kern w:val="0"/>
                <w:sz w:val="28"/>
                <w:szCs w:val="24"/>
              </w:rPr>
            </w:pPr>
            <w:r w:rsidRPr="00C93FB6">
              <w:rPr>
                <w:rFonts w:hAnsi="標楷體"/>
                <w:kern w:val="0"/>
                <w:sz w:val="28"/>
                <w:szCs w:val="24"/>
              </w:rPr>
              <w:t>已收</w:t>
            </w:r>
          </w:p>
          <w:p w:rsidR="001F7075" w:rsidRPr="00C93FB6" w:rsidRDefault="001F7075" w:rsidP="002143F4">
            <w:pPr>
              <w:widowControl/>
              <w:overflowPunct/>
              <w:autoSpaceDE/>
              <w:autoSpaceDN/>
              <w:jc w:val="center"/>
              <w:rPr>
                <w:rFonts w:hAnsi="標楷體"/>
                <w:kern w:val="0"/>
                <w:sz w:val="28"/>
                <w:szCs w:val="24"/>
              </w:rPr>
            </w:pPr>
            <w:r w:rsidRPr="00C93FB6">
              <w:rPr>
                <w:rFonts w:hAnsi="標楷體"/>
                <w:kern w:val="0"/>
                <w:sz w:val="28"/>
                <w:szCs w:val="24"/>
              </w:rPr>
              <w:t>比率</w:t>
            </w:r>
          </w:p>
        </w:tc>
        <w:tc>
          <w:tcPr>
            <w:tcW w:w="2158" w:type="dxa"/>
            <w:vMerge/>
            <w:noWrap/>
            <w:vAlign w:val="center"/>
            <w:hideMark/>
          </w:tcPr>
          <w:p w:rsidR="001F7075" w:rsidRPr="00C93FB6" w:rsidRDefault="001F7075" w:rsidP="002143F4">
            <w:pPr>
              <w:widowControl/>
              <w:overflowPunct/>
              <w:autoSpaceDE/>
              <w:autoSpaceDN/>
              <w:jc w:val="center"/>
              <w:rPr>
                <w:rFonts w:hAnsi="標楷體"/>
                <w:kern w:val="0"/>
                <w:sz w:val="28"/>
                <w:szCs w:val="24"/>
              </w:rPr>
            </w:pPr>
          </w:p>
        </w:tc>
      </w:tr>
      <w:tr w:rsidR="001F7075" w:rsidRPr="00C93FB6" w:rsidTr="00E80DED">
        <w:trPr>
          <w:trHeight w:val="283"/>
          <w:jc w:val="center"/>
        </w:trPr>
        <w:tc>
          <w:tcPr>
            <w:tcW w:w="2552" w:type="dxa"/>
            <w:noWrap/>
            <w:hideMark/>
          </w:tcPr>
          <w:p w:rsidR="001F7075" w:rsidRPr="00C93FB6" w:rsidRDefault="001F7075" w:rsidP="002143F4">
            <w:pPr>
              <w:widowControl/>
              <w:overflowPunct/>
              <w:autoSpaceDE/>
              <w:autoSpaceDN/>
              <w:jc w:val="left"/>
              <w:rPr>
                <w:rFonts w:hAnsi="標楷體"/>
                <w:kern w:val="0"/>
                <w:sz w:val="28"/>
                <w:szCs w:val="24"/>
              </w:rPr>
            </w:pPr>
            <w:r w:rsidRPr="00C93FB6">
              <w:rPr>
                <w:rFonts w:hAnsi="標楷體"/>
                <w:kern w:val="0"/>
                <w:sz w:val="28"/>
                <w:szCs w:val="24"/>
              </w:rPr>
              <w:t>105年(7至12月)</w:t>
            </w:r>
          </w:p>
        </w:tc>
        <w:tc>
          <w:tcPr>
            <w:tcW w:w="957" w:type="dxa"/>
            <w:noWrap/>
            <w:hideMark/>
          </w:tcPr>
          <w:p w:rsidR="001F7075" w:rsidRPr="00C93FB6" w:rsidRDefault="001F7075" w:rsidP="002143F4">
            <w:pPr>
              <w:widowControl/>
              <w:overflowPunct/>
              <w:autoSpaceDE/>
              <w:autoSpaceDN/>
              <w:jc w:val="right"/>
              <w:rPr>
                <w:rFonts w:hAnsi="標楷體"/>
                <w:kern w:val="0"/>
                <w:sz w:val="28"/>
                <w:szCs w:val="24"/>
              </w:rPr>
            </w:pPr>
            <w:r w:rsidRPr="00C93FB6">
              <w:rPr>
                <w:rFonts w:hAnsi="標楷體"/>
                <w:kern w:val="0"/>
                <w:sz w:val="28"/>
                <w:szCs w:val="24"/>
              </w:rPr>
              <w:t>4,659</w:t>
            </w:r>
          </w:p>
        </w:tc>
        <w:tc>
          <w:tcPr>
            <w:tcW w:w="2158" w:type="dxa"/>
            <w:noWrap/>
            <w:hideMark/>
          </w:tcPr>
          <w:p w:rsidR="001F7075" w:rsidRPr="00C93FB6" w:rsidRDefault="001F7075" w:rsidP="002143F4">
            <w:pPr>
              <w:widowControl/>
              <w:overflowPunct/>
              <w:autoSpaceDE/>
              <w:autoSpaceDN/>
              <w:jc w:val="right"/>
              <w:rPr>
                <w:rFonts w:hAnsi="標楷體"/>
                <w:kern w:val="0"/>
                <w:sz w:val="28"/>
                <w:szCs w:val="24"/>
              </w:rPr>
            </w:pPr>
            <w:r w:rsidRPr="00C93FB6">
              <w:rPr>
                <w:rFonts w:hAnsi="標楷體"/>
                <w:kern w:val="0"/>
                <w:sz w:val="28"/>
                <w:szCs w:val="24"/>
              </w:rPr>
              <w:t>1,538,703,368</w:t>
            </w:r>
          </w:p>
        </w:tc>
        <w:tc>
          <w:tcPr>
            <w:tcW w:w="2007" w:type="dxa"/>
            <w:noWrap/>
            <w:hideMark/>
          </w:tcPr>
          <w:p w:rsidR="001F7075" w:rsidRPr="00C93FB6" w:rsidRDefault="001F7075" w:rsidP="002143F4">
            <w:pPr>
              <w:widowControl/>
              <w:overflowPunct/>
              <w:autoSpaceDE/>
              <w:autoSpaceDN/>
              <w:jc w:val="right"/>
              <w:rPr>
                <w:rFonts w:hAnsi="標楷體"/>
                <w:kern w:val="0"/>
                <w:sz w:val="28"/>
                <w:szCs w:val="24"/>
              </w:rPr>
            </w:pPr>
            <w:r w:rsidRPr="00C93FB6">
              <w:rPr>
                <w:rFonts w:hAnsi="標楷體"/>
                <w:kern w:val="0"/>
                <w:sz w:val="28"/>
                <w:szCs w:val="24"/>
              </w:rPr>
              <w:t>324,172,814</w:t>
            </w:r>
          </w:p>
        </w:tc>
        <w:tc>
          <w:tcPr>
            <w:tcW w:w="709" w:type="dxa"/>
            <w:noWrap/>
            <w:vAlign w:val="center"/>
          </w:tcPr>
          <w:p w:rsidR="001F7075" w:rsidRPr="00C93FB6" w:rsidRDefault="001F7075" w:rsidP="002143F4">
            <w:pPr>
              <w:widowControl/>
              <w:overflowPunct/>
              <w:autoSpaceDE/>
              <w:autoSpaceDN/>
              <w:jc w:val="right"/>
              <w:rPr>
                <w:rFonts w:hAnsi="標楷體"/>
                <w:kern w:val="0"/>
                <w:sz w:val="28"/>
                <w:szCs w:val="24"/>
              </w:rPr>
            </w:pPr>
            <w:r w:rsidRPr="00C93FB6">
              <w:rPr>
                <w:rFonts w:hAnsi="標楷體"/>
                <w:kern w:val="0"/>
                <w:sz w:val="28"/>
                <w:szCs w:val="24"/>
              </w:rPr>
              <w:t xml:space="preserve">21.1 </w:t>
            </w:r>
          </w:p>
        </w:tc>
        <w:tc>
          <w:tcPr>
            <w:tcW w:w="2158" w:type="dxa"/>
            <w:noWrap/>
            <w:hideMark/>
          </w:tcPr>
          <w:p w:rsidR="001F7075" w:rsidRPr="00C93FB6" w:rsidRDefault="001F7075" w:rsidP="002143F4">
            <w:pPr>
              <w:widowControl/>
              <w:overflowPunct/>
              <w:autoSpaceDE/>
              <w:autoSpaceDN/>
              <w:jc w:val="right"/>
              <w:rPr>
                <w:rFonts w:hAnsi="標楷體"/>
                <w:kern w:val="0"/>
                <w:sz w:val="28"/>
                <w:szCs w:val="24"/>
              </w:rPr>
            </w:pPr>
            <w:r w:rsidRPr="00C93FB6">
              <w:rPr>
                <w:rFonts w:hAnsi="標楷體"/>
                <w:kern w:val="0"/>
                <w:sz w:val="28"/>
                <w:szCs w:val="24"/>
              </w:rPr>
              <w:t>1,214,530,554</w:t>
            </w:r>
          </w:p>
        </w:tc>
      </w:tr>
      <w:tr w:rsidR="001F7075" w:rsidRPr="00C93FB6" w:rsidTr="00E80DED">
        <w:trPr>
          <w:trHeight w:val="283"/>
          <w:jc w:val="center"/>
        </w:trPr>
        <w:tc>
          <w:tcPr>
            <w:tcW w:w="2552" w:type="dxa"/>
            <w:noWrap/>
            <w:hideMark/>
          </w:tcPr>
          <w:p w:rsidR="001F7075" w:rsidRPr="00C93FB6" w:rsidRDefault="001F7075" w:rsidP="002143F4">
            <w:pPr>
              <w:widowControl/>
              <w:overflowPunct/>
              <w:autoSpaceDE/>
              <w:autoSpaceDN/>
              <w:jc w:val="left"/>
              <w:rPr>
                <w:rFonts w:hAnsi="標楷體"/>
                <w:kern w:val="0"/>
                <w:sz w:val="28"/>
                <w:szCs w:val="24"/>
              </w:rPr>
            </w:pPr>
            <w:r w:rsidRPr="00C93FB6">
              <w:rPr>
                <w:rFonts w:hAnsi="標楷體"/>
                <w:kern w:val="0"/>
                <w:sz w:val="28"/>
                <w:szCs w:val="24"/>
              </w:rPr>
              <w:t>106年</w:t>
            </w:r>
          </w:p>
        </w:tc>
        <w:tc>
          <w:tcPr>
            <w:tcW w:w="957" w:type="dxa"/>
            <w:noWrap/>
            <w:hideMark/>
          </w:tcPr>
          <w:p w:rsidR="001F7075" w:rsidRPr="00C93FB6" w:rsidRDefault="001F7075" w:rsidP="002143F4">
            <w:pPr>
              <w:widowControl/>
              <w:overflowPunct/>
              <w:autoSpaceDE/>
              <w:autoSpaceDN/>
              <w:jc w:val="right"/>
              <w:rPr>
                <w:rFonts w:hAnsi="標楷體"/>
                <w:kern w:val="0"/>
                <w:sz w:val="28"/>
                <w:szCs w:val="24"/>
              </w:rPr>
            </w:pPr>
            <w:r w:rsidRPr="00C93FB6">
              <w:rPr>
                <w:rFonts w:hAnsi="標楷體"/>
                <w:kern w:val="0"/>
                <w:sz w:val="28"/>
                <w:szCs w:val="24"/>
              </w:rPr>
              <w:t>16,395</w:t>
            </w:r>
          </w:p>
        </w:tc>
        <w:tc>
          <w:tcPr>
            <w:tcW w:w="2158" w:type="dxa"/>
            <w:noWrap/>
            <w:hideMark/>
          </w:tcPr>
          <w:p w:rsidR="001F7075" w:rsidRPr="00C93FB6" w:rsidRDefault="001F7075" w:rsidP="002143F4">
            <w:pPr>
              <w:widowControl/>
              <w:overflowPunct/>
              <w:autoSpaceDE/>
              <w:autoSpaceDN/>
              <w:jc w:val="right"/>
              <w:rPr>
                <w:rFonts w:hAnsi="標楷體"/>
                <w:kern w:val="0"/>
                <w:sz w:val="28"/>
                <w:szCs w:val="24"/>
              </w:rPr>
            </w:pPr>
            <w:r w:rsidRPr="00C93FB6">
              <w:rPr>
                <w:rFonts w:hAnsi="標楷體"/>
                <w:kern w:val="0"/>
                <w:sz w:val="28"/>
                <w:szCs w:val="24"/>
              </w:rPr>
              <w:t>8,684,070,761</w:t>
            </w:r>
          </w:p>
        </w:tc>
        <w:tc>
          <w:tcPr>
            <w:tcW w:w="2007" w:type="dxa"/>
            <w:noWrap/>
            <w:hideMark/>
          </w:tcPr>
          <w:p w:rsidR="001F7075" w:rsidRPr="00C93FB6" w:rsidRDefault="001F7075" w:rsidP="002143F4">
            <w:pPr>
              <w:widowControl/>
              <w:overflowPunct/>
              <w:autoSpaceDE/>
              <w:autoSpaceDN/>
              <w:jc w:val="right"/>
              <w:rPr>
                <w:rFonts w:hAnsi="標楷體"/>
                <w:kern w:val="0"/>
                <w:sz w:val="28"/>
                <w:szCs w:val="24"/>
              </w:rPr>
            </w:pPr>
            <w:r w:rsidRPr="00C93FB6">
              <w:rPr>
                <w:rFonts w:hAnsi="標楷體"/>
                <w:kern w:val="0"/>
                <w:sz w:val="28"/>
                <w:szCs w:val="24"/>
              </w:rPr>
              <w:t>1,048,773,346</w:t>
            </w:r>
          </w:p>
        </w:tc>
        <w:tc>
          <w:tcPr>
            <w:tcW w:w="709" w:type="dxa"/>
            <w:noWrap/>
            <w:vAlign w:val="center"/>
          </w:tcPr>
          <w:p w:rsidR="001F7075" w:rsidRPr="00C93FB6" w:rsidRDefault="001F7075" w:rsidP="002143F4">
            <w:pPr>
              <w:widowControl/>
              <w:overflowPunct/>
              <w:autoSpaceDE/>
              <w:autoSpaceDN/>
              <w:jc w:val="right"/>
              <w:rPr>
                <w:rFonts w:hAnsi="標楷體"/>
                <w:kern w:val="0"/>
                <w:sz w:val="28"/>
                <w:szCs w:val="24"/>
              </w:rPr>
            </w:pPr>
            <w:r w:rsidRPr="00C93FB6">
              <w:rPr>
                <w:rFonts w:hAnsi="標楷體"/>
                <w:kern w:val="0"/>
                <w:sz w:val="28"/>
                <w:szCs w:val="24"/>
              </w:rPr>
              <w:t xml:space="preserve">12.1 </w:t>
            </w:r>
          </w:p>
        </w:tc>
        <w:tc>
          <w:tcPr>
            <w:tcW w:w="2158" w:type="dxa"/>
            <w:noWrap/>
            <w:hideMark/>
          </w:tcPr>
          <w:p w:rsidR="001F7075" w:rsidRPr="00C93FB6" w:rsidRDefault="001F7075" w:rsidP="002143F4">
            <w:pPr>
              <w:widowControl/>
              <w:overflowPunct/>
              <w:autoSpaceDE/>
              <w:autoSpaceDN/>
              <w:jc w:val="right"/>
              <w:rPr>
                <w:rFonts w:hAnsi="標楷體"/>
                <w:kern w:val="0"/>
                <w:sz w:val="28"/>
                <w:szCs w:val="24"/>
              </w:rPr>
            </w:pPr>
            <w:r w:rsidRPr="00C93FB6">
              <w:rPr>
                <w:rFonts w:hAnsi="標楷體"/>
                <w:kern w:val="0"/>
                <w:sz w:val="28"/>
                <w:szCs w:val="24"/>
              </w:rPr>
              <w:t>7,635,297,415</w:t>
            </w:r>
          </w:p>
        </w:tc>
      </w:tr>
      <w:tr w:rsidR="001F7075" w:rsidRPr="00C93FB6" w:rsidTr="00E80DED">
        <w:trPr>
          <w:trHeight w:val="283"/>
          <w:jc w:val="center"/>
        </w:trPr>
        <w:tc>
          <w:tcPr>
            <w:tcW w:w="2552" w:type="dxa"/>
            <w:noWrap/>
            <w:hideMark/>
          </w:tcPr>
          <w:p w:rsidR="001F7075" w:rsidRPr="00C93FB6" w:rsidRDefault="001F7075" w:rsidP="002143F4">
            <w:pPr>
              <w:widowControl/>
              <w:overflowPunct/>
              <w:autoSpaceDE/>
              <w:autoSpaceDN/>
              <w:jc w:val="left"/>
              <w:rPr>
                <w:rFonts w:hAnsi="標楷體"/>
                <w:kern w:val="0"/>
                <w:sz w:val="28"/>
                <w:szCs w:val="24"/>
              </w:rPr>
            </w:pPr>
            <w:r w:rsidRPr="00C93FB6">
              <w:rPr>
                <w:rFonts w:hAnsi="標楷體"/>
                <w:kern w:val="0"/>
                <w:sz w:val="28"/>
                <w:szCs w:val="24"/>
              </w:rPr>
              <w:t>107年</w:t>
            </w:r>
          </w:p>
        </w:tc>
        <w:tc>
          <w:tcPr>
            <w:tcW w:w="957" w:type="dxa"/>
            <w:noWrap/>
            <w:hideMark/>
          </w:tcPr>
          <w:p w:rsidR="001F7075" w:rsidRPr="00C93FB6" w:rsidRDefault="001F7075" w:rsidP="002143F4">
            <w:pPr>
              <w:widowControl/>
              <w:overflowPunct/>
              <w:autoSpaceDE/>
              <w:autoSpaceDN/>
              <w:jc w:val="right"/>
              <w:rPr>
                <w:rFonts w:hAnsi="標楷體"/>
                <w:kern w:val="0"/>
                <w:sz w:val="28"/>
                <w:szCs w:val="24"/>
              </w:rPr>
            </w:pPr>
            <w:r w:rsidRPr="00C93FB6">
              <w:rPr>
                <w:rFonts w:hAnsi="標楷體"/>
                <w:kern w:val="0"/>
                <w:sz w:val="28"/>
                <w:szCs w:val="24"/>
              </w:rPr>
              <w:t>16,120</w:t>
            </w:r>
          </w:p>
        </w:tc>
        <w:tc>
          <w:tcPr>
            <w:tcW w:w="2158" w:type="dxa"/>
            <w:noWrap/>
            <w:hideMark/>
          </w:tcPr>
          <w:p w:rsidR="001F7075" w:rsidRPr="00C93FB6" w:rsidRDefault="001F7075" w:rsidP="002143F4">
            <w:pPr>
              <w:widowControl/>
              <w:overflowPunct/>
              <w:autoSpaceDE/>
              <w:autoSpaceDN/>
              <w:jc w:val="right"/>
              <w:rPr>
                <w:rFonts w:hAnsi="標楷體"/>
                <w:kern w:val="0"/>
                <w:sz w:val="28"/>
                <w:szCs w:val="24"/>
              </w:rPr>
            </w:pPr>
            <w:r w:rsidRPr="00C93FB6">
              <w:rPr>
                <w:rFonts w:hAnsi="標楷體"/>
                <w:kern w:val="0"/>
                <w:sz w:val="28"/>
                <w:szCs w:val="24"/>
              </w:rPr>
              <w:t>11,211,539,397</w:t>
            </w:r>
          </w:p>
        </w:tc>
        <w:tc>
          <w:tcPr>
            <w:tcW w:w="2007" w:type="dxa"/>
            <w:noWrap/>
            <w:hideMark/>
          </w:tcPr>
          <w:p w:rsidR="001F7075" w:rsidRPr="00C93FB6" w:rsidRDefault="001F7075" w:rsidP="002143F4">
            <w:pPr>
              <w:widowControl/>
              <w:overflowPunct/>
              <w:autoSpaceDE/>
              <w:autoSpaceDN/>
              <w:jc w:val="right"/>
              <w:rPr>
                <w:rFonts w:hAnsi="標楷體"/>
                <w:kern w:val="0"/>
                <w:sz w:val="28"/>
                <w:szCs w:val="24"/>
              </w:rPr>
            </w:pPr>
            <w:r w:rsidRPr="00C93FB6">
              <w:rPr>
                <w:rFonts w:hAnsi="標楷體"/>
                <w:kern w:val="0"/>
                <w:sz w:val="28"/>
                <w:szCs w:val="24"/>
              </w:rPr>
              <w:t>1,078,421,737</w:t>
            </w:r>
          </w:p>
        </w:tc>
        <w:tc>
          <w:tcPr>
            <w:tcW w:w="709" w:type="dxa"/>
            <w:noWrap/>
            <w:vAlign w:val="center"/>
          </w:tcPr>
          <w:p w:rsidR="001F7075" w:rsidRPr="00C93FB6" w:rsidRDefault="001F7075" w:rsidP="002143F4">
            <w:pPr>
              <w:widowControl/>
              <w:overflowPunct/>
              <w:autoSpaceDE/>
              <w:autoSpaceDN/>
              <w:jc w:val="right"/>
              <w:rPr>
                <w:rFonts w:hAnsi="標楷體"/>
                <w:kern w:val="0"/>
                <w:sz w:val="28"/>
                <w:szCs w:val="24"/>
              </w:rPr>
            </w:pPr>
            <w:r w:rsidRPr="00C93FB6">
              <w:rPr>
                <w:rFonts w:hAnsi="標楷體"/>
                <w:kern w:val="0"/>
                <w:sz w:val="28"/>
                <w:szCs w:val="24"/>
              </w:rPr>
              <w:t xml:space="preserve">9.6 </w:t>
            </w:r>
          </w:p>
        </w:tc>
        <w:tc>
          <w:tcPr>
            <w:tcW w:w="2158" w:type="dxa"/>
            <w:noWrap/>
            <w:hideMark/>
          </w:tcPr>
          <w:p w:rsidR="001F7075" w:rsidRPr="00C93FB6" w:rsidRDefault="001F7075" w:rsidP="002143F4">
            <w:pPr>
              <w:widowControl/>
              <w:overflowPunct/>
              <w:autoSpaceDE/>
              <w:autoSpaceDN/>
              <w:jc w:val="right"/>
              <w:rPr>
                <w:rFonts w:hAnsi="標楷體"/>
                <w:kern w:val="0"/>
                <w:sz w:val="28"/>
                <w:szCs w:val="24"/>
              </w:rPr>
            </w:pPr>
            <w:r w:rsidRPr="00C93FB6">
              <w:rPr>
                <w:rFonts w:hAnsi="標楷體"/>
                <w:kern w:val="0"/>
                <w:sz w:val="28"/>
                <w:szCs w:val="24"/>
              </w:rPr>
              <w:t>10,133,117,660</w:t>
            </w:r>
          </w:p>
        </w:tc>
      </w:tr>
      <w:tr w:rsidR="001F7075" w:rsidRPr="00C93FB6" w:rsidTr="00E80DED">
        <w:trPr>
          <w:trHeight w:val="283"/>
          <w:jc w:val="center"/>
        </w:trPr>
        <w:tc>
          <w:tcPr>
            <w:tcW w:w="2552" w:type="dxa"/>
            <w:noWrap/>
            <w:hideMark/>
          </w:tcPr>
          <w:p w:rsidR="001F7075" w:rsidRPr="00C93FB6" w:rsidRDefault="001F7075" w:rsidP="002143F4">
            <w:pPr>
              <w:widowControl/>
              <w:overflowPunct/>
              <w:autoSpaceDE/>
              <w:autoSpaceDN/>
              <w:jc w:val="left"/>
              <w:rPr>
                <w:rFonts w:hAnsi="標楷體"/>
                <w:kern w:val="0"/>
                <w:sz w:val="28"/>
                <w:szCs w:val="24"/>
              </w:rPr>
            </w:pPr>
            <w:r w:rsidRPr="00C93FB6">
              <w:rPr>
                <w:rFonts w:hAnsi="標楷體"/>
                <w:kern w:val="0"/>
                <w:sz w:val="28"/>
                <w:szCs w:val="24"/>
              </w:rPr>
              <w:t>108年</w:t>
            </w:r>
          </w:p>
        </w:tc>
        <w:tc>
          <w:tcPr>
            <w:tcW w:w="957" w:type="dxa"/>
            <w:noWrap/>
            <w:hideMark/>
          </w:tcPr>
          <w:p w:rsidR="001F7075" w:rsidRPr="00C93FB6" w:rsidRDefault="001F7075" w:rsidP="002143F4">
            <w:pPr>
              <w:widowControl/>
              <w:overflowPunct/>
              <w:autoSpaceDE/>
              <w:autoSpaceDN/>
              <w:jc w:val="right"/>
              <w:rPr>
                <w:rFonts w:hAnsi="標楷體"/>
                <w:kern w:val="0"/>
                <w:sz w:val="28"/>
                <w:szCs w:val="24"/>
              </w:rPr>
            </w:pPr>
            <w:r w:rsidRPr="00C93FB6">
              <w:rPr>
                <w:rFonts w:hAnsi="標楷體"/>
                <w:kern w:val="0"/>
                <w:sz w:val="28"/>
                <w:szCs w:val="24"/>
              </w:rPr>
              <w:t>16,457</w:t>
            </w:r>
          </w:p>
        </w:tc>
        <w:tc>
          <w:tcPr>
            <w:tcW w:w="2158" w:type="dxa"/>
            <w:noWrap/>
            <w:hideMark/>
          </w:tcPr>
          <w:p w:rsidR="001F7075" w:rsidRPr="00C93FB6" w:rsidRDefault="001F7075" w:rsidP="002143F4">
            <w:pPr>
              <w:widowControl/>
              <w:overflowPunct/>
              <w:autoSpaceDE/>
              <w:autoSpaceDN/>
              <w:jc w:val="right"/>
              <w:rPr>
                <w:rFonts w:hAnsi="標楷體"/>
                <w:kern w:val="0"/>
                <w:sz w:val="28"/>
                <w:szCs w:val="24"/>
              </w:rPr>
            </w:pPr>
            <w:r w:rsidRPr="00C93FB6">
              <w:rPr>
                <w:rFonts w:hAnsi="標楷體"/>
                <w:kern w:val="0"/>
                <w:sz w:val="28"/>
                <w:szCs w:val="24"/>
              </w:rPr>
              <w:t>16,520,932,475</w:t>
            </w:r>
          </w:p>
        </w:tc>
        <w:tc>
          <w:tcPr>
            <w:tcW w:w="2007" w:type="dxa"/>
            <w:noWrap/>
            <w:hideMark/>
          </w:tcPr>
          <w:p w:rsidR="001F7075" w:rsidRPr="00C93FB6" w:rsidRDefault="001F7075" w:rsidP="002143F4">
            <w:pPr>
              <w:widowControl/>
              <w:overflowPunct/>
              <w:autoSpaceDE/>
              <w:autoSpaceDN/>
              <w:jc w:val="right"/>
              <w:rPr>
                <w:rFonts w:hAnsi="標楷體"/>
                <w:kern w:val="0"/>
                <w:sz w:val="28"/>
                <w:szCs w:val="24"/>
              </w:rPr>
            </w:pPr>
            <w:r w:rsidRPr="00C93FB6">
              <w:rPr>
                <w:rFonts w:hAnsi="標楷體"/>
                <w:kern w:val="0"/>
                <w:sz w:val="28"/>
                <w:szCs w:val="24"/>
              </w:rPr>
              <w:t>1,543,120,496</w:t>
            </w:r>
          </w:p>
        </w:tc>
        <w:tc>
          <w:tcPr>
            <w:tcW w:w="709" w:type="dxa"/>
            <w:noWrap/>
            <w:vAlign w:val="center"/>
          </w:tcPr>
          <w:p w:rsidR="001F7075" w:rsidRPr="00C93FB6" w:rsidRDefault="001F7075" w:rsidP="002143F4">
            <w:pPr>
              <w:widowControl/>
              <w:overflowPunct/>
              <w:autoSpaceDE/>
              <w:autoSpaceDN/>
              <w:jc w:val="right"/>
              <w:rPr>
                <w:rFonts w:hAnsi="標楷體"/>
                <w:kern w:val="0"/>
                <w:sz w:val="28"/>
                <w:szCs w:val="24"/>
              </w:rPr>
            </w:pPr>
            <w:r w:rsidRPr="00C93FB6">
              <w:rPr>
                <w:rFonts w:hAnsi="標楷體"/>
                <w:kern w:val="0"/>
                <w:sz w:val="28"/>
                <w:szCs w:val="24"/>
              </w:rPr>
              <w:t xml:space="preserve">9.3 </w:t>
            </w:r>
          </w:p>
        </w:tc>
        <w:tc>
          <w:tcPr>
            <w:tcW w:w="2158" w:type="dxa"/>
            <w:noWrap/>
            <w:hideMark/>
          </w:tcPr>
          <w:p w:rsidR="001F7075" w:rsidRPr="00C93FB6" w:rsidRDefault="001F7075" w:rsidP="002143F4">
            <w:pPr>
              <w:widowControl/>
              <w:overflowPunct/>
              <w:autoSpaceDE/>
              <w:autoSpaceDN/>
              <w:jc w:val="right"/>
              <w:rPr>
                <w:rFonts w:hAnsi="標楷體"/>
                <w:kern w:val="0"/>
                <w:sz w:val="28"/>
                <w:szCs w:val="24"/>
              </w:rPr>
            </w:pPr>
            <w:r w:rsidRPr="00C93FB6">
              <w:rPr>
                <w:rFonts w:hAnsi="標楷體"/>
                <w:kern w:val="0"/>
                <w:sz w:val="28"/>
                <w:szCs w:val="24"/>
              </w:rPr>
              <w:t>14,977,811,979</w:t>
            </w:r>
          </w:p>
        </w:tc>
      </w:tr>
      <w:tr w:rsidR="001F7075" w:rsidRPr="00C93FB6" w:rsidTr="00E80DED">
        <w:trPr>
          <w:trHeight w:val="283"/>
          <w:jc w:val="center"/>
        </w:trPr>
        <w:tc>
          <w:tcPr>
            <w:tcW w:w="2552" w:type="dxa"/>
            <w:noWrap/>
            <w:hideMark/>
          </w:tcPr>
          <w:p w:rsidR="001F7075" w:rsidRPr="00C93FB6" w:rsidRDefault="00E80DED" w:rsidP="002143F4">
            <w:pPr>
              <w:widowControl/>
              <w:overflowPunct/>
              <w:autoSpaceDE/>
              <w:autoSpaceDN/>
              <w:jc w:val="left"/>
              <w:rPr>
                <w:rFonts w:hAnsi="標楷體"/>
                <w:kern w:val="0"/>
                <w:sz w:val="28"/>
                <w:szCs w:val="24"/>
              </w:rPr>
            </w:pPr>
            <w:r w:rsidRPr="00C93FB6">
              <w:rPr>
                <w:rFonts w:hAnsi="標楷體" w:hint="eastAsia"/>
                <w:kern w:val="0"/>
                <w:sz w:val="28"/>
                <w:szCs w:val="24"/>
              </w:rPr>
              <w:t>總計</w:t>
            </w:r>
          </w:p>
        </w:tc>
        <w:tc>
          <w:tcPr>
            <w:tcW w:w="957" w:type="dxa"/>
            <w:noWrap/>
            <w:hideMark/>
          </w:tcPr>
          <w:p w:rsidR="001F7075" w:rsidRPr="00C93FB6" w:rsidRDefault="001F7075" w:rsidP="002143F4">
            <w:pPr>
              <w:widowControl/>
              <w:overflowPunct/>
              <w:autoSpaceDE/>
              <w:autoSpaceDN/>
              <w:jc w:val="right"/>
              <w:rPr>
                <w:rFonts w:hAnsi="標楷體"/>
                <w:kern w:val="0"/>
                <w:sz w:val="28"/>
                <w:szCs w:val="24"/>
              </w:rPr>
            </w:pPr>
            <w:r w:rsidRPr="00C93FB6">
              <w:rPr>
                <w:rFonts w:hAnsi="標楷體"/>
                <w:kern w:val="0"/>
                <w:sz w:val="28"/>
                <w:szCs w:val="24"/>
              </w:rPr>
              <w:t>53,631</w:t>
            </w:r>
          </w:p>
        </w:tc>
        <w:tc>
          <w:tcPr>
            <w:tcW w:w="2158" w:type="dxa"/>
            <w:noWrap/>
            <w:hideMark/>
          </w:tcPr>
          <w:p w:rsidR="001F7075" w:rsidRPr="00C93FB6" w:rsidRDefault="001F7075" w:rsidP="002143F4">
            <w:pPr>
              <w:widowControl/>
              <w:overflowPunct/>
              <w:autoSpaceDE/>
              <w:autoSpaceDN/>
              <w:jc w:val="right"/>
              <w:rPr>
                <w:rFonts w:hAnsi="標楷體"/>
                <w:kern w:val="0"/>
                <w:sz w:val="28"/>
                <w:szCs w:val="24"/>
              </w:rPr>
            </w:pPr>
            <w:r w:rsidRPr="00C93FB6">
              <w:rPr>
                <w:rFonts w:hAnsi="標楷體"/>
                <w:kern w:val="0"/>
                <w:sz w:val="28"/>
                <w:szCs w:val="24"/>
              </w:rPr>
              <w:t>37,955,246,001</w:t>
            </w:r>
          </w:p>
        </w:tc>
        <w:tc>
          <w:tcPr>
            <w:tcW w:w="2007" w:type="dxa"/>
            <w:noWrap/>
            <w:hideMark/>
          </w:tcPr>
          <w:p w:rsidR="001F7075" w:rsidRPr="00C93FB6" w:rsidRDefault="001F7075" w:rsidP="002143F4">
            <w:pPr>
              <w:widowControl/>
              <w:overflowPunct/>
              <w:autoSpaceDE/>
              <w:autoSpaceDN/>
              <w:jc w:val="right"/>
              <w:rPr>
                <w:rFonts w:hAnsi="標楷體"/>
                <w:kern w:val="0"/>
                <w:sz w:val="28"/>
                <w:szCs w:val="24"/>
              </w:rPr>
            </w:pPr>
            <w:r w:rsidRPr="00C93FB6">
              <w:rPr>
                <w:rFonts w:hAnsi="標楷體"/>
                <w:kern w:val="0"/>
                <w:sz w:val="28"/>
                <w:szCs w:val="24"/>
              </w:rPr>
              <w:t>3,994,488,393</w:t>
            </w:r>
          </w:p>
        </w:tc>
        <w:tc>
          <w:tcPr>
            <w:tcW w:w="709" w:type="dxa"/>
            <w:noWrap/>
            <w:hideMark/>
          </w:tcPr>
          <w:p w:rsidR="001F7075" w:rsidRPr="00C93FB6" w:rsidRDefault="001F7075" w:rsidP="002143F4">
            <w:pPr>
              <w:widowControl/>
              <w:overflowPunct/>
              <w:autoSpaceDE/>
              <w:autoSpaceDN/>
              <w:jc w:val="right"/>
              <w:rPr>
                <w:rFonts w:hAnsi="標楷體"/>
                <w:kern w:val="0"/>
                <w:sz w:val="28"/>
                <w:szCs w:val="24"/>
              </w:rPr>
            </w:pPr>
            <w:r w:rsidRPr="00C93FB6">
              <w:rPr>
                <w:rFonts w:hAnsi="標楷體"/>
                <w:kern w:val="0"/>
                <w:sz w:val="28"/>
                <w:szCs w:val="24"/>
              </w:rPr>
              <w:t>10.5</w:t>
            </w:r>
          </w:p>
        </w:tc>
        <w:tc>
          <w:tcPr>
            <w:tcW w:w="2158" w:type="dxa"/>
            <w:noWrap/>
            <w:hideMark/>
          </w:tcPr>
          <w:p w:rsidR="001F7075" w:rsidRPr="00C93FB6" w:rsidRDefault="001F7075" w:rsidP="002143F4">
            <w:pPr>
              <w:widowControl/>
              <w:overflowPunct/>
              <w:autoSpaceDE/>
              <w:autoSpaceDN/>
              <w:jc w:val="right"/>
              <w:rPr>
                <w:rFonts w:hAnsi="標楷體"/>
                <w:kern w:val="0"/>
                <w:sz w:val="28"/>
                <w:szCs w:val="24"/>
              </w:rPr>
            </w:pPr>
            <w:r w:rsidRPr="00C93FB6">
              <w:rPr>
                <w:rFonts w:hAnsi="標楷體"/>
                <w:kern w:val="0"/>
                <w:sz w:val="28"/>
                <w:szCs w:val="24"/>
              </w:rPr>
              <w:t>33,960,757,608</w:t>
            </w:r>
          </w:p>
        </w:tc>
      </w:tr>
    </w:tbl>
    <w:p w:rsidR="001F7075" w:rsidRPr="00C93FB6" w:rsidRDefault="001F7075" w:rsidP="00FE7971">
      <w:pPr>
        <w:pStyle w:val="3"/>
        <w:numPr>
          <w:ilvl w:val="0"/>
          <w:numId w:val="0"/>
        </w:numPr>
        <w:spacing w:line="280" w:lineRule="exact"/>
        <w:ind w:leftChars="-251" w:left="-854"/>
      </w:pPr>
      <w:r w:rsidRPr="00C93FB6">
        <w:rPr>
          <w:rFonts w:hint="eastAsia"/>
          <w:sz w:val="24"/>
        </w:rPr>
        <w:t>資料來源：法務部。</w:t>
      </w:r>
    </w:p>
    <w:p w:rsidR="000509C3" w:rsidRPr="00C93FB6" w:rsidRDefault="002F5497" w:rsidP="000509C3">
      <w:pPr>
        <w:pStyle w:val="a4"/>
      </w:pPr>
      <w:r w:rsidRPr="00C93FB6">
        <w:rPr>
          <w:rFonts w:hint="eastAsia"/>
        </w:rPr>
        <w:t>全國各地檢署執行經法院判決確定應沒收犯罪所得收回情形表</w:t>
      </w:r>
    </w:p>
    <w:p w:rsidR="000509C3" w:rsidRPr="00C93FB6" w:rsidRDefault="000509C3" w:rsidP="000509C3">
      <w:pPr>
        <w:jc w:val="right"/>
      </w:pPr>
      <w:r w:rsidRPr="00C93FB6">
        <w:rPr>
          <w:rFonts w:hint="eastAsia"/>
          <w:sz w:val="24"/>
        </w:rPr>
        <w:t>單位：件、元、%</w:t>
      </w:r>
    </w:p>
    <w:tbl>
      <w:tblPr>
        <w:tblStyle w:val="af7"/>
        <w:tblW w:w="5000" w:type="pct"/>
        <w:jc w:val="center"/>
        <w:tblCellMar>
          <w:left w:w="28" w:type="dxa"/>
          <w:right w:w="28" w:type="dxa"/>
        </w:tblCellMar>
        <w:tblLook w:val="04A0" w:firstRow="1" w:lastRow="0" w:firstColumn="1" w:lastColumn="0" w:noHBand="0" w:noVBand="1"/>
      </w:tblPr>
      <w:tblGrid>
        <w:gridCol w:w="709"/>
        <w:gridCol w:w="965"/>
        <w:gridCol w:w="2158"/>
        <w:gridCol w:w="2037"/>
        <w:gridCol w:w="807"/>
        <w:gridCol w:w="2158"/>
      </w:tblGrid>
      <w:tr w:rsidR="00BB5242" w:rsidRPr="00C93FB6" w:rsidTr="002F5497">
        <w:trPr>
          <w:trHeight w:val="283"/>
          <w:tblHeader/>
          <w:jc w:val="center"/>
        </w:trPr>
        <w:tc>
          <w:tcPr>
            <w:tcW w:w="414" w:type="pct"/>
            <w:vMerge w:val="restart"/>
            <w:noWrap/>
            <w:vAlign w:val="center"/>
          </w:tcPr>
          <w:p w:rsidR="000509C3" w:rsidRPr="00C93FB6" w:rsidRDefault="00BB5242" w:rsidP="002143F4">
            <w:pPr>
              <w:jc w:val="center"/>
              <w:rPr>
                <w:rFonts w:ascii="Times New Roman"/>
                <w:kern w:val="0"/>
                <w:sz w:val="28"/>
                <w:szCs w:val="24"/>
              </w:rPr>
            </w:pPr>
            <w:r w:rsidRPr="00C93FB6">
              <w:rPr>
                <w:rFonts w:ascii="Times New Roman" w:hint="eastAsia"/>
                <w:kern w:val="0"/>
                <w:sz w:val="28"/>
                <w:szCs w:val="24"/>
              </w:rPr>
              <w:t>年度</w:t>
            </w:r>
          </w:p>
        </w:tc>
        <w:tc>
          <w:tcPr>
            <w:tcW w:w="558" w:type="pct"/>
            <w:vMerge w:val="restart"/>
            <w:noWrap/>
            <w:vAlign w:val="center"/>
          </w:tcPr>
          <w:p w:rsidR="000509C3" w:rsidRPr="00C93FB6" w:rsidRDefault="00BB5242" w:rsidP="002143F4">
            <w:pPr>
              <w:jc w:val="center"/>
              <w:rPr>
                <w:rFonts w:ascii="Times New Roman"/>
                <w:kern w:val="0"/>
                <w:sz w:val="28"/>
                <w:szCs w:val="24"/>
              </w:rPr>
            </w:pPr>
            <w:r w:rsidRPr="00C93FB6">
              <w:rPr>
                <w:rFonts w:ascii="Times New Roman" w:hint="eastAsia"/>
                <w:kern w:val="0"/>
                <w:sz w:val="28"/>
                <w:szCs w:val="24"/>
              </w:rPr>
              <w:t>件數</w:t>
            </w:r>
          </w:p>
        </w:tc>
        <w:tc>
          <w:tcPr>
            <w:tcW w:w="1217" w:type="pct"/>
            <w:vMerge w:val="restart"/>
            <w:noWrap/>
            <w:vAlign w:val="center"/>
          </w:tcPr>
          <w:p w:rsidR="000509C3" w:rsidRPr="00C93FB6" w:rsidRDefault="00BB5242" w:rsidP="00BB5242">
            <w:pPr>
              <w:jc w:val="center"/>
              <w:rPr>
                <w:rFonts w:ascii="Times New Roman"/>
                <w:kern w:val="0"/>
                <w:sz w:val="28"/>
                <w:szCs w:val="24"/>
              </w:rPr>
            </w:pPr>
            <w:r w:rsidRPr="00C93FB6">
              <w:rPr>
                <w:rFonts w:ascii="Times New Roman" w:hint="eastAsia"/>
                <w:kern w:val="0"/>
                <w:sz w:val="28"/>
                <w:szCs w:val="24"/>
              </w:rPr>
              <w:t>應收金額</w:t>
            </w:r>
          </w:p>
        </w:tc>
        <w:tc>
          <w:tcPr>
            <w:tcW w:w="1594" w:type="pct"/>
            <w:gridSpan w:val="2"/>
            <w:noWrap/>
            <w:vAlign w:val="center"/>
          </w:tcPr>
          <w:p w:rsidR="000509C3" w:rsidRPr="00C93FB6" w:rsidRDefault="00BB5242" w:rsidP="00BB5242">
            <w:pPr>
              <w:widowControl/>
              <w:overflowPunct/>
              <w:autoSpaceDE/>
              <w:autoSpaceDN/>
              <w:jc w:val="center"/>
              <w:rPr>
                <w:rFonts w:hAnsi="標楷體"/>
                <w:kern w:val="0"/>
                <w:sz w:val="28"/>
                <w:szCs w:val="24"/>
              </w:rPr>
            </w:pPr>
            <w:r w:rsidRPr="00C93FB6">
              <w:rPr>
                <w:rFonts w:hAnsi="標楷體" w:hint="eastAsia"/>
                <w:kern w:val="0"/>
                <w:sz w:val="28"/>
                <w:szCs w:val="24"/>
              </w:rPr>
              <w:t>截至109年2月3日</w:t>
            </w:r>
          </w:p>
        </w:tc>
        <w:tc>
          <w:tcPr>
            <w:tcW w:w="1217" w:type="pct"/>
            <w:vMerge w:val="restart"/>
            <w:noWrap/>
            <w:vAlign w:val="center"/>
          </w:tcPr>
          <w:p w:rsidR="000509C3" w:rsidRPr="00C93FB6" w:rsidRDefault="00BB5242" w:rsidP="00BB5242">
            <w:pPr>
              <w:jc w:val="center"/>
              <w:rPr>
                <w:rFonts w:ascii="Times New Roman"/>
                <w:kern w:val="0"/>
                <w:sz w:val="28"/>
                <w:szCs w:val="24"/>
              </w:rPr>
            </w:pPr>
            <w:r w:rsidRPr="00C93FB6">
              <w:rPr>
                <w:rFonts w:ascii="Times New Roman" w:hint="eastAsia"/>
                <w:kern w:val="0"/>
                <w:sz w:val="28"/>
                <w:szCs w:val="24"/>
              </w:rPr>
              <w:t>未收金額</w:t>
            </w:r>
          </w:p>
        </w:tc>
      </w:tr>
      <w:tr w:rsidR="00BB5242" w:rsidRPr="00C93FB6" w:rsidTr="002F5497">
        <w:trPr>
          <w:trHeight w:val="283"/>
          <w:tblHeader/>
          <w:jc w:val="center"/>
        </w:trPr>
        <w:tc>
          <w:tcPr>
            <w:tcW w:w="414" w:type="pct"/>
            <w:vMerge/>
            <w:noWrap/>
            <w:vAlign w:val="center"/>
            <w:hideMark/>
          </w:tcPr>
          <w:p w:rsidR="000509C3" w:rsidRPr="00C93FB6" w:rsidRDefault="000509C3" w:rsidP="002143F4">
            <w:pPr>
              <w:widowControl/>
              <w:overflowPunct/>
              <w:autoSpaceDE/>
              <w:autoSpaceDN/>
              <w:jc w:val="center"/>
              <w:rPr>
                <w:rFonts w:ascii="Times New Roman"/>
                <w:kern w:val="0"/>
                <w:sz w:val="24"/>
                <w:szCs w:val="24"/>
              </w:rPr>
            </w:pPr>
          </w:p>
        </w:tc>
        <w:tc>
          <w:tcPr>
            <w:tcW w:w="558" w:type="pct"/>
            <w:vMerge/>
            <w:noWrap/>
            <w:vAlign w:val="center"/>
            <w:hideMark/>
          </w:tcPr>
          <w:p w:rsidR="000509C3" w:rsidRPr="00C93FB6" w:rsidRDefault="000509C3" w:rsidP="002143F4">
            <w:pPr>
              <w:widowControl/>
              <w:overflowPunct/>
              <w:autoSpaceDE/>
              <w:autoSpaceDN/>
              <w:jc w:val="center"/>
              <w:rPr>
                <w:rFonts w:ascii="Times New Roman"/>
                <w:kern w:val="0"/>
                <w:sz w:val="24"/>
                <w:szCs w:val="24"/>
              </w:rPr>
            </w:pPr>
          </w:p>
        </w:tc>
        <w:tc>
          <w:tcPr>
            <w:tcW w:w="1217" w:type="pct"/>
            <w:vMerge/>
            <w:noWrap/>
            <w:vAlign w:val="center"/>
            <w:hideMark/>
          </w:tcPr>
          <w:p w:rsidR="000509C3" w:rsidRPr="00C93FB6" w:rsidRDefault="000509C3" w:rsidP="002143F4">
            <w:pPr>
              <w:widowControl/>
              <w:overflowPunct/>
              <w:autoSpaceDE/>
              <w:autoSpaceDN/>
              <w:jc w:val="center"/>
              <w:rPr>
                <w:rFonts w:ascii="Times New Roman"/>
                <w:kern w:val="0"/>
                <w:sz w:val="24"/>
                <w:szCs w:val="24"/>
              </w:rPr>
            </w:pPr>
          </w:p>
        </w:tc>
        <w:tc>
          <w:tcPr>
            <w:tcW w:w="1165" w:type="pct"/>
            <w:noWrap/>
            <w:vAlign w:val="center"/>
            <w:hideMark/>
          </w:tcPr>
          <w:p w:rsidR="000509C3" w:rsidRPr="00C93FB6" w:rsidRDefault="000509C3" w:rsidP="002F5497">
            <w:pPr>
              <w:jc w:val="center"/>
              <w:rPr>
                <w:rFonts w:ascii="Times New Roman"/>
                <w:kern w:val="0"/>
                <w:sz w:val="28"/>
                <w:szCs w:val="24"/>
              </w:rPr>
            </w:pPr>
            <w:r w:rsidRPr="00C93FB6">
              <w:rPr>
                <w:rFonts w:ascii="Times New Roman"/>
                <w:kern w:val="0"/>
                <w:sz w:val="28"/>
                <w:szCs w:val="24"/>
              </w:rPr>
              <w:t>已收金額</w:t>
            </w:r>
          </w:p>
        </w:tc>
        <w:tc>
          <w:tcPr>
            <w:tcW w:w="429" w:type="pct"/>
            <w:noWrap/>
            <w:vAlign w:val="center"/>
            <w:hideMark/>
          </w:tcPr>
          <w:p w:rsidR="000509C3" w:rsidRPr="00C93FB6" w:rsidRDefault="000509C3" w:rsidP="002F5497">
            <w:pPr>
              <w:jc w:val="center"/>
              <w:rPr>
                <w:rFonts w:ascii="Times New Roman"/>
                <w:kern w:val="0"/>
                <w:sz w:val="28"/>
                <w:szCs w:val="24"/>
              </w:rPr>
            </w:pPr>
            <w:r w:rsidRPr="00C93FB6">
              <w:rPr>
                <w:rFonts w:ascii="Times New Roman"/>
                <w:kern w:val="0"/>
                <w:sz w:val="28"/>
                <w:szCs w:val="24"/>
              </w:rPr>
              <w:t>已收</w:t>
            </w:r>
          </w:p>
          <w:p w:rsidR="000509C3" w:rsidRPr="00C93FB6" w:rsidRDefault="000509C3" w:rsidP="002F5497">
            <w:pPr>
              <w:jc w:val="center"/>
              <w:rPr>
                <w:rFonts w:ascii="Times New Roman"/>
                <w:kern w:val="0"/>
                <w:sz w:val="28"/>
                <w:szCs w:val="24"/>
              </w:rPr>
            </w:pPr>
            <w:r w:rsidRPr="00C93FB6">
              <w:rPr>
                <w:rFonts w:ascii="Times New Roman"/>
                <w:kern w:val="0"/>
                <w:sz w:val="28"/>
                <w:szCs w:val="24"/>
              </w:rPr>
              <w:t>比率</w:t>
            </w:r>
          </w:p>
        </w:tc>
        <w:tc>
          <w:tcPr>
            <w:tcW w:w="1217" w:type="pct"/>
            <w:vMerge/>
            <w:noWrap/>
            <w:vAlign w:val="center"/>
            <w:hideMark/>
          </w:tcPr>
          <w:p w:rsidR="000509C3" w:rsidRPr="00C93FB6" w:rsidRDefault="000509C3" w:rsidP="002143F4">
            <w:pPr>
              <w:widowControl/>
              <w:overflowPunct/>
              <w:autoSpaceDE/>
              <w:autoSpaceDN/>
              <w:jc w:val="center"/>
              <w:rPr>
                <w:rFonts w:ascii="Times New Roman"/>
                <w:kern w:val="0"/>
                <w:sz w:val="24"/>
                <w:szCs w:val="24"/>
              </w:rPr>
            </w:pPr>
          </w:p>
        </w:tc>
      </w:tr>
      <w:tr w:rsidR="002F5497" w:rsidRPr="00C93FB6" w:rsidTr="002F5497">
        <w:trPr>
          <w:trHeight w:val="283"/>
          <w:jc w:val="center"/>
        </w:trPr>
        <w:tc>
          <w:tcPr>
            <w:tcW w:w="414" w:type="pct"/>
            <w:noWrap/>
          </w:tcPr>
          <w:p w:rsidR="002F5497" w:rsidRPr="00C93FB6" w:rsidRDefault="002F5497" w:rsidP="002F5497">
            <w:pPr>
              <w:widowControl/>
              <w:overflowPunct/>
              <w:autoSpaceDE/>
              <w:autoSpaceDN/>
              <w:jc w:val="center"/>
              <w:rPr>
                <w:sz w:val="28"/>
              </w:rPr>
            </w:pPr>
            <w:r w:rsidRPr="00C93FB6">
              <w:rPr>
                <w:rFonts w:hint="eastAsia"/>
                <w:sz w:val="28"/>
              </w:rPr>
              <w:t>102</w:t>
            </w:r>
          </w:p>
        </w:tc>
        <w:tc>
          <w:tcPr>
            <w:tcW w:w="558" w:type="pct"/>
            <w:noWrap/>
            <w:vAlign w:val="center"/>
          </w:tcPr>
          <w:p w:rsidR="002F5497" w:rsidRPr="00C93FB6" w:rsidRDefault="002F5497" w:rsidP="002F5497">
            <w:pPr>
              <w:widowControl/>
              <w:overflowPunct/>
              <w:autoSpaceDE/>
              <w:autoSpaceDN/>
              <w:jc w:val="right"/>
              <w:rPr>
                <w:rFonts w:ascii="新細明體" w:eastAsia="新細明體"/>
                <w:kern w:val="0"/>
                <w:sz w:val="28"/>
              </w:rPr>
            </w:pPr>
            <w:r w:rsidRPr="00C93FB6">
              <w:rPr>
                <w:rFonts w:hint="eastAsia"/>
                <w:sz w:val="28"/>
              </w:rPr>
              <w:t>5,855</w:t>
            </w:r>
          </w:p>
        </w:tc>
        <w:tc>
          <w:tcPr>
            <w:tcW w:w="1217" w:type="pct"/>
            <w:noWrap/>
            <w:vAlign w:val="center"/>
          </w:tcPr>
          <w:p w:rsidR="002F5497" w:rsidRPr="00C93FB6" w:rsidRDefault="002F5497" w:rsidP="002F5497">
            <w:pPr>
              <w:jc w:val="right"/>
              <w:rPr>
                <w:sz w:val="28"/>
              </w:rPr>
            </w:pPr>
            <w:r w:rsidRPr="00C93FB6">
              <w:rPr>
                <w:rFonts w:hint="eastAsia"/>
                <w:sz w:val="28"/>
              </w:rPr>
              <w:t>862,040,927</w:t>
            </w:r>
          </w:p>
        </w:tc>
        <w:tc>
          <w:tcPr>
            <w:tcW w:w="1165" w:type="pct"/>
            <w:noWrap/>
            <w:vAlign w:val="center"/>
          </w:tcPr>
          <w:p w:rsidR="002F5497" w:rsidRPr="00C93FB6" w:rsidRDefault="002F5497" w:rsidP="002F5497">
            <w:pPr>
              <w:jc w:val="right"/>
              <w:rPr>
                <w:sz w:val="28"/>
              </w:rPr>
            </w:pPr>
            <w:r w:rsidRPr="00C93FB6">
              <w:rPr>
                <w:rFonts w:hint="eastAsia"/>
                <w:sz w:val="28"/>
              </w:rPr>
              <w:t>454,780,302</w:t>
            </w:r>
          </w:p>
        </w:tc>
        <w:tc>
          <w:tcPr>
            <w:tcW w:w="429" w:type="pct"/>
            <w:noWrap/>
            <w:vAlign w:val="center"/>
          </w:tcPr>
          <w:p w:rsidR="002F5497" w:rsidRPr="00C93FB6" w:rsidRDefault="002F5497" w:rsidP="002F5497">
            <w:pPr>
              <w:jc w:val="right"/>
              <w:rPr>
                <w:sz w:val="28"/>
              </w:rPr>
            </w:pPr>
            <w:r w:rsidRPr="00C93FB6">
              <w:rPr>
                <w:rFonts w:hint="eastAsia"/>
                <w:sz w:val="28"/>
              </w:rPr>
              <w:t>52.8%</w:t>
            </w:r>
          </w:p>
        </w:tc>
        <w:tc>
          <w:tcPr>
            <w:tcW w:w="1217" w:type="pct"/>
            <w:noWrap/>
            <w:vAlign w:val="center"/>
          </w:tcPr>
          <w:p w:rsidR="002F5497" w:rsidRPr="00C93FB6" w:rsidRDefault="002F5497" w:rsidP="002F5497">
            <w:pPr>
              <w:jc w:val="right"/>
              <w:rPr>
                <w:sz w:val="28"/>
              </w:rPr>
            </w:pPr>
            <w:r w:rsidRPr="00C93FB6">
              <w:rPr>
                <w:rFonts w:hint="eastAsia"/>
                <w:sz w:val="28"/>
              </w:rPr>
              <w:t>407,260,625</w:t>
            </w:r>
          </w:p>
        </w:tc>
      </w:tr>
      <w:tr w:rsidR="002F5497" w:rsidRPr="00C93FB6" w:rsidTr="002F5497">
        <w:trPr>
          <w:trHeight w:val="283"/>
          <w:jc w:val="center"/>
        </w:trPr>
        <w:tc>
          <w:tcPr>
            <w:tcW w:w="414" w:type="pct"/>
            <w:noWrap/>
          </w:tcPr>
          <w:p w:rsidR="002F5497" w:rsidRPr="00C93FB6" w:rsidRDefault="002F5497" w:rsidP="002F5497">
            <w:pPr>
              <w:widowControl/>
              <w:overflowPunct/>
              <w:autoSpaceDE/>
              <w:autoSpaceDN/>
              <w:jc w:val="center"/>
              <w:rPr>
                <w:sz w:val="28"/>
              </w:rPr>
            </w:pPr>
            <w:r w:rsidRPr="00C93FB6">
              <w:rPr>
                <w:rFonts w:hint="eastAsia"/>
                <w:sz w:val="28"/>
              </w:rPr>
              <w:lastRenderedPageBreak/>
              <w:t>103</w:t>
            </w:r>
          </w:p>
        </w:tc>
        <w:tc>
          <w:tcPr>
            <w:tcW w:w="558" w:type="pct"/>
            <w:noWrap/>
            <w:vAlign w:val="center"/>
          </w:tcPr>
          <w:p w:rsidR="002F5497" w:rsidRPr="00C93FB6" w:rsidRDefault="002F5497" w:rsidP="002F5497">
            <w:pPr>
              <w:jc w:val="right"/>
              <w:rPr>
                <w:sz w:val="28"/>
              </w:rPr>
            </w:pPr>
            <w:r w:rsidRPr="00C93FB6">
              <w:rPr>
                <w:rFonts w:hint="eastAsia"/>
                <w:sz w:val="28"/>
              </w:rPr>
              <w:t>5,551</w:t>
            </w:r>
          </w:p>
        </w:tc>
        <w:tc>
          <w:tcPr>
            <w:tcW w:w="1217" w:type="pct"/>
            <w:noWrap/>
            <w:vAlign w:val="center"/>
          </w:tcPr>
          <w:p w:rsidR="002F5497" w:rsidRPr="00C93FB6" w:rsidRDefault="002F5497" w:rsidP="002F5497">
            <w:pPr>
              <w:jc w:val="right"/>
              <w:rPr>
                <w:sz w:val="28"/>
              </w:rPr>
            </w:pPr>
            <w:r w:rsidRPr="00C93FB6">
              <w:rPr>
                <w:rFonts w:hint="eastAsia"/>
                <w:sz w:val="28"/>
              </w:rPr>
              <w:t>2,482,879,755</w:t>
            </w:r>
          </w:p>
        </w:tc>
        <w:tc>
          <w:tcPr>
            <w:tcW w:w="1165" w:type="pct"/>
            <w:noWrap/>
            <w:vAlign w:val="center"/>
          </w:tcPr>
          <w:p w:rsidR="002F5497" w:rsidRPr="00C93FB6" w:rsidRDefault="002F5497" w:rsidP="002F5497">
            <w:pPr>
              <w:jc w:val="right"/>
              <w:rPr>
                <w:sz w:val="28"/>
              </w:rPr>
            </w:pPr>
            <w:r w:rsidRPr="00C93FB6">
              <w:rPr>
                <w:rFonts w:hint="eastAsia"/>
                <w:sz w:val="28"/>
              </w:rPr>
              <w:t>1,895,763,126</w:t>
            </w:r>
          </w:p>
        </w:tc>
        <w:tc>
          <w:tcPr>
            <w:tcW w:w="429" w:type="pct"/>
            <w:noWrap/>
            <w:vAlign w:val="center"/>
          </w:tcPr>
          <w:p w:rsidR="002F5497" w:rsidRPr="00C93FB6" w:rsidRDefault="002F5497" w:rsidP="002F5497">
            <w:pPr>
              <w:jc w:val="right"/>
              <w:rPr>
                <w:sz w:val="28"/>
              </w:rPr>
            </w:pPr>
            <w:r w:rsidRPr="00C93FB6">
              <w:rPr>
                <w:rFonts w:hint="eastAsia"/>
                <w:sz w:val="28"/>
              </w:rPr>
              <w:t>76.4%</w:t>
            </w:r>
          </w:p>
        </w:tc>
        <w:tc>
          <w:tcPr>
            <w:tcW w:w="1217" w:type="pct"/>
            <w:noWrap/>
            <w:vAlign w:val="center"/>
          </w:tcPr>
          <w:p w:rsidR="002F5497" w:rsidRPr="00C93FB6" w:rsidRDefault="002F5497" w:rsidP="002F5497">
            <w:pPr>
              <w:jc w:val="right"/>
              <w:rPr>
                <w:sz w:val="28"/>
              </w:rPr>
            </w:pPr>
            <w:r w:rsidRPr="00C93FB6">
              <w:rPr>
                <w:rFonts w:hint="eastAsia"/>
                <w:sz w:val="28"/>
              </w:rPr>
              <w:t>587,116,629</w:t>
            </w:r>
          </w:p>
        </w:tc>
      </w:tr>
      <w:tr w:rsidR="002F5497" w:rsidRPr="00C93FB6" w:rsidTr="002F5497">
        <w:trPr>
          <w:trHeight w:val="283"/>
          <w:jc w:val="center"/>
        </w:trPr>
        <w:tc>
          <w:tcPr>
            <w:tcW w:w="414" w:type="pct"/>
            <w:noWrap/>
          </w:tcPr>
          <w:p w:rsidR="002F5497" w:rsidRPr="00C93FB6" w:rsidRDefault="002F5497" w:rsidP="002F5497">
            <w:pPr>
              <w:widowControl/>
              <w:overflowPunct/>
              <w:autoSpaceDE/>
              <w:autoSpaceDN/>
              <w:jc w:val="center"/>
              <w:rPr>
                <w:sz w:val="28"/>
              </w:rPr>
            </w:pPr>
            <w:r w:rsidRPr="00C93FB6">
              <w:rPr>
                <w:rFonts w:hint="eastAsia"/>
                <w:sz w:val="28"/>
              </w:rPr>
              <w:t>104</w:t>
            </w:r>
          </w:p>
        </w:tc>
        <w:tc>
          <w:tcPr>
            <w:tcW w:w="558" w:type="pct"/>
            <w:noWrap/>
            <w:vAlign w:val="center"/>
          </w:tcPr>
          <w:p w:rsidR="002F5497" w:rsidRPr="00C93FB6" w:rsidRDefault="002F5497" w:rsidP="002F5497">
            <w:pPr>
              <w:jc w:val="right"/>
              <w:rPr>
                <w:sz w:val="28"/>
              </w:rPr>
            </w:pPr>
            <w:r w:rsidRPr="00C93FB6">
              <w:rPr>
                <w:rFonts w:hint="eastAsia"/>
                <w:sz w:val="28"/>
              </w:rPr>
              <w:t>5,023</w:t>
            </w:r>
          </w:p>
        </w:tc>
        <w:tc>
          <w:tcPr>
            <w:tcW w:w="1217" w:type="pct"/>
            <w:noWrap/>
            <w:vAlign w:val="center"/>
          </w:tcPr>
          <w:p w:rsidR="002F5497" w:rsidRPr="00C93FB6" w:rsidRDefault="002F5497" w:rsidP="002F5497">
            <w:pPr>
              <w:jc w:val="right"/>
              <w:rPr>
                <w:sz w:val="28"/>
              </w:rPr>
            </w:pPr>
            <w:r w:rsidRPr="00C93FB6">
              <w:rPr>
                <w:rFonts w:hint="eastAsia"/>
                <w:sz w:val="28"/>
              </w:rPr>
              <w:t>484,644,999</w:t>
            </w:r>
          </w:p>
        </w:tc>
        <w:tc>
          <w:tcPr>
            <w:tcW w:w="1165" w:type="pct"/>
            <w:noWrap/>
            <w:vAlign w:val="center"/>
          </w:tcPr>
          <w:p w:rsidR="002F5497" w:rsidRPr="00C93FB6" w:rsidRDefault="002F5497" w:rsidP="002F5497">
            <w:pPr>
              <w:jc w:val="right"/>
              <w:rPr>
                <w:sz w:val="28"/>
              </w:rPr>
            </w:pPr>
            <w:r w:rsidRPr="00C93FB6">
              <w:rPr>
                <w:rFonts w:hint="eastAsia"/>
                <w:sz w:val="28"/>
              </w:rPr>
              <w:t>290,543,645</w:t>
            </w:r>
          </w:p>
        </w:tc>
        <w:tc>
          <w:tcPr>
            <w:tcW w:w="429" w:type="pct"/>
            <w:noWrap/>
            <w:vAlign w:val="center"/>
          </w:tcPr>
          <w:p w:rsidR="002F5497" w:rsidRPr="00C93FB6" w:rsidRDefault="002F5497" w:rsidP="002F5497">
            <w:pPr>
              <w:jc w:val="right"/>
              <w:rPr>
                <w:sz w:val="28"/>
              </w:rPr>
            </w:pPr>
            <w:r w:rsidRPr="00C93FB6">
              <w:rPr>
                <w:rFonts w:hint="eastAsia"/>
                <w:sz w:val="28"/>
              </w:rPr>
              <w:t>59.9%</w:t>
            </w:r>
          </w:p>
        </w:tc>
        <w:tc>
          <w:tcPr>
            <w:tcW w:w="1217" w:type="pct"/>
            <w:noWrap/>
            <w:vAlign w:val="center"/>
          </w:tcPr>
          <w:p w:rsidR="002F5497" w:rsidRPr="00C93FB6" w:rsidRDefault="002F5497" w:rsidP="002F5497">
            <w:pPr>
              <w:jc w:val="right"/>
              <w:rPr>
                <w:sz w:val="28"/>
              </w:rPr>
            </w:pPr>
            <w:r w:rsidRPr="00C93FB6">
              <w:rPr>
                <w:rFonts w:hint="eastAsia"/>
                <w:sz w:val="28"/>
              </w:rPr>
              <w:t>194,101,354</w:t>
            </w:r>
          </w:p>
        </w:tc>
      </w:tr>
      <w:tr w:rsidR="00BB5242" w:rsidRPr="00C93FB6" w:rsidTr="002F5497">
        <w:trPr>
          <w:trHeight w:val="283"/>
          <w:jc w:val="center"/>
        </w:trPr>
        <w:tc>
          <w:tcPr>
            <w:tcW w:w="414" w:type="pct"/>
            <w:noWrap/>
            <w:hideMark/>
          </w:tcPr>
          <w:p w:rsidR="002F5497" w:rsidRPr="00C93FB6" w:rsidRDefault="002F5497" w:rsidP="002F5497">
            <w:pPr>
              <w:widowControl/>
              <w:overflowPunct/>
              <w:autoSpaceDE/>
              <w:autoSpaceDN/>
              <w:jc w:val="center"/>
              <w:rPr>
                <w:sz w:val="28"/>
              </w:rPr>
            </w:pPr>
            <w:r w:rsidRPr="00C93FB6">
              <w:rPr>
                <w:sz w:val="28"/>
              </w:rPr>
              <w:t>105</w:t>
            </w:r>
          </w:p>
        </w:tc>
        <w:tc>
          <w:tcPr>
            <w:tcW w:w="558" w:type="pct"/>
            <w:noWrap/>
            <w:vAlign w:val="center"/>
          </w:tcPr>
          <w:p w:rsidR="002F5497" w:rsidRPr="00C93FB6" w:rsidRDefault="002F5497" w:rsidP="002F5497">
            <w:pPr>
              <w:jc w:val="right"/>
              <w:rPr>
                <w:sz w:val="28"/>
              </w:rPr>
            </w:pPr>
            <w:r w:rsidRPr="00C93FB6">
              <w:rPr>
                <w:rFonts w:hint="eastAsia"/>
                <w:sz w:val="28"/>
              </w:rPr>
              <w:t>6,922</w:t>
            </w:r>
          </w:p>
        </w:tc>
        <w:tc>
          <w:tcPr>
            <w:tcW w:w="1217" w:type="pct"/>
            <w:noWrap/>
            <w:vAlign w:val="center"/>
          </w:tcPr>
          <w:p w:rsidR="002F5497" w:rsidRPr="00C93FB6" w:rsidRDefault="002F5497" w:rsidP="002F5497">
            <w:pPr>
              <w:jc w:val="right"/>
              <w:rPr>
                <w:sz w:val="28"/>
              </w:rPr>
            </w:pPr>
            <w:r w:rsidRPr="00C93FB6">
              <w:rPr>
                <w:rFonts w:hint="eastAsia"/>
                <w:sz w:val="28"/>
              </w:rPr>
              <w:t>1,754,934,948</w:t>
            </w:r>
          </w:p>
        </w:tc>
        <w:tc>
          <w:tcPr>
            <w:tcW w:w="1165" w:type="pct"/>
            <w:noWrap/>
            <w:vAlign w:val="center"/>
          </w:tcPr>
          <w:p w:rsidR="002F5497" w:rsidRPr="00C93FB6" w:rsidRDefault="002F5497" w:rsidP="002F5497">
            <w:pPr>
              <w:jc w:val="right"/>
              <w:rPr>
                <w:sz w:val="28"/>
              </w:rPr>
            </w:pPr>
            <w:r w:rsidRPr="00C93FB6">
              <w:rPr>
                <w:rFonts w:hint="eastAsia"/>
                <w:sz w:val="28"/>
              </w:rPr>
              <w:t>452,732,135</w:t>
            </w:r>
          </w:p>
        </w:tc>
        <w:tc>
          <w:tcPr>
            <w:tcW w:w="429" w:type="pct"/>
            <w:noWrap/>
            <w:vAlign w:val="center"/>
          </w:tcPr>
          <w:p w:rsidR="002F5497" w:rsidRPr="00C93FB6" w:rsidRDefault="002F5497" w:rsidP="002F5497">
            <w:pPr>
              <w:jc w:val="right"/>
              <w:rPr>
                <w:sz w:val="28"/>
              </w:rPr>
            </w:pPr>
            <w:r w:rsidRPr="00C93FB6">
              <w:rPr>
                <w:rFonts w:hint="eastAsia"/>
                <w:sz w:val="28"/>
              </w:rPr>
              <w:t>25.8%</w:t>
            </w:r>
          </w:p>
        </w:tc>
        <w:tc>
          <w:tcPr>
            <w:tcW w:w="1217" w:type="pct"/>
            <w:noWrap/>
            <w:vAlign w:val="center"/>
          </w:tcPr>
          <w:p w:rsidR="002F5497" w:rsidRPr="00C93FB6" w:rsidRDefault="002F5497" w:rsidP="002F5497">
            <w:pPr>
              <w:jc w:val="right"/>
              <w:rPr>
                <w:sz w:val="28"/>
              </w:rPr>
            </w:pPr>
            <w:r w:rsidRPr="00C93FB6">
              <w:rPr>
                <w:rFonts w:hint="eastAsia"/>
                <w:sz w:val="28"/>
              </w:rPr>
              <w:t>1,302,202,813</w:t>
            </w:r>
          </w:p>
        </w:tc>
      </w:tr>
      <w:tr w:rsidR="00BB5242" w:rsidRPr="00C93FB6" w:rsidTr="002F5497">
        <w:trPr>
          <w:trHeight w:val="283"/>
          <w:jc w:val="center"/>
        </w:trPr>
        <w:tc>
          <w:tcPr>
            <w:tcW w:w="414" w:type="pct"/>
            <w:noWrap/>
            <w:hideMark/>
          </w:tcPr>
          <w:p w:rsidR="002F5497" w:rsidRPr="00C93FB6" w:rsidRDefault="002F5497" w:rsidP="002F5497">
            <w:pPr>
              <w:widowControl/>
              <w:overflowPunct/>
              <w:autoSpaceDE/>
              <w:autoSpaceDN/>
              <w:jc w:val="center"/>
              <w:rPr>
                <w:sz w:val="28"/>
              </w:rPr>
            </w:pPr>
            <w:r w:rsidRPr="00C93FB6">
              <w:rPr>
                <w:sz w:val="28"/>
              </w:rPr>
              <w:t>106</w:t>
            </w:r>
          </w:p>
        </w:tc>
        <w:tc>
          <w:tcPr>
            <w:tcW w:w="558" w:type="pct"/>
            <w:noWrap/>
            <w:vAlign w:val="center"/>
          </w:tcPr>
          <w:p w:rsidR="002F5497" w:rsidRPr="00C93FB6" w:rsidRDefault="002F5497" w:rsidP="002F5497">
            <w:pPr>
              <w:jc w:val="right"/>
              <w:rPr>
                <w:sz w:val="28"/>
              </w:rPr>
            </w:pPr>
            <w:r w:rsidRPr="00C93FB6">
              <w:rPr>
                <w:rFonts w:hint="eastAsia"/>
                <w:sz w:val="28"/>
              </w:rPr>
              <w:t>16,391</w:t>
            </w:r>
          </w:p>
        </w:tc>
        <w:tc>
          <w:tcPr>
            <w:tcW w:w="1217" w:type="pct"/>
            <w:noWrap/>
            <w:vAlign w:val="center"/>
          </w:tcPr>
          <w:p w:rsidR="002F5497" w:rsidRPr="00C93FB6" w:rsidRDefault="002F5497" w:rsidP="002F5497">
            <w:pPr>
              <w:jc w:val="right"/>
              <w:rPr>
                <w:sz w:val="28"/>
              </w:rPr>
            </w:pPr>
            <w:r w:rsidRPr="00C93FB6">
              <w:rPr>
                <w:rFonts w:hint="eastAsia"/>
                <w:sz w:val="28"/>
              </w:rPr>
              <w:t>8,683,556,006</w:t>
            </w:r>
          </w:p>
        </w:tc>
        <w:tc>
          <w:tcPr>
            <w:tcW w:w="1165" w:type="pct"/>
            <w:noWrap/>
            <w:vAlign w:val="center"/>
          </w:tcPr>
          <w:p w:rsidR="002F5497" w:rsidRPr="00C93FB6" w:rsidRDefault="002F5497" w:rsidP="002F5497">
            <w:pPr>
              <w:jc w:val="right"/>
              <w:rPr>
                <w:sz w:val="28"/>
              </w:rPr>
            </w:pPr>
            <w:r w:rsidRPr="00C93FB6">
              <w:rPr>
                <w:rFonts w:hint="eastAsia"/>
                <w:sz w:val="28"/>
              </w:rPr>
              <w:t>1,069,580,746</w:t>
            </w:r>
          </w:p>
        </w:tc>
        <w:tc>
          <w:tcPr>
            <w:tcW w:w="429" w:type="pct"/>
            <w:noWrap/>
            <w:vAlign w:val="center"/>
          </w:tcPr>
          <w:p w:rsidR="002F5497" w:rsidRPr="00C93FB6" w:rsidRDefault="002F5497" w:rsidP="002F5497">
            <w:pPr>
              <w:jc w:val="right"/>
              <w:rPr>
                <w:sz w:val="28"/>
              </w:rPr>
            </w:pPr>
            <w:r w:rsidRPr="00C93FB6">
              <w:rPr>
                <w:rFonts w:hint="eastAsia"/>
                <w:sz w:val="28"/>
              </w:rPr>
              <w:t>12.3%</w:t>
            </w:r>
          </w:p>
        </w:tc>
        <w:tc>
          <w:tcPr>
            <w:tcW w:w="1217" w:type="pct"/>
            <w:noWrap/>
            <w:vAlign w:val="center"/>
          </w:tcPr>
          <w:p w:rsidR="002F5497" w:rsidRPr="00C93FB6" w:rsidRDefault="002F5497" w:rsidP="002F5497">
            <w:pPr>
              <w:jc w:val="right"/>
              <w:rPr>
                <w:sz w:val="28"/>
              </w:rPr>
            </w:pPr>
            <w:r w:rsidRPr="00C93FB6">
              <w:rPr>
                <w:rFonts w:hint="eastAsia"/>
                <w:sz w:val="28"/>
              </w:rPr>
              <w:t>7,613,975,260</w:t>
            </w:r>
          </w:p>
        </w:tc>
      </w:tr>
      <w:tr w:rsidR="00BB5242" w:rsidRPr="00C93FB6" w:rsidTr="002F5497">
        <w:trPr>
          <w:trHeight w:val="283"/>
          <w:jc w:val="center"/>
        </w:trPr>
        <w:tc>
          <w:tcPr>
            <w:tcW w:w="414" w:type="pct"/>
            <w:noWrap/>
            <w:hideMark/>
          </w:tcPr>
          <w:p w:rsidR="002F5497" w:rsidRPr="00C93FB6" w:rsidRDefault="002F5497" w:rsidP="002F5497">
            <w:pPr>
              <w:widowControl/>
              <w:overflowPunct/>
              <w:autoSpaceDE/>
              <w:autoSpaceDN/>
              <w:jc w:val="center"/>
              <w:rPr>
                <w:sz w:val="28"/>
              </w:rPr>
            </w:pPr>
            <w:r w:rsidRPr="00C93FB6">
              <w:rPr>
                <w:sz w:val="28"/>
              </w:rPr>
              <w:t>107</w:t>
            </w:r>
          </w:p>
        </w:tc>
        <w:tc>
          <w:tcPr>
            <w:tcW w:w="558" w:type="pct"/>
            <w:noWrap/>
            <w:vAlign w:val="center"/>
          </w:tcPr>
          <w:p w:rsidR="002F5497" w:rsidRPr="00C93FB6" w:rsidRDefault="002F5497" w:rsidP="002F5497">
            <w:pPr>
              <w:jc w:val="right"/>
              <w:rPr>
                <w:sz w:val="28"/>
              </w:rPr>
            </w:pPr>
            <w:r w:rsidRPr="00C93FB6">
              <w:rPr>
                <w:rFonts w:hint="eastAsia"/>
                <w:sz w:val="28"/>
              </w:rPr>
              <w:t>16,116</w:t>
            </w:r>
          </w:p>
        </w:tc>
        <w:tc>
          <w:tcPr>
            <w:tcW w:w="1217" w:type="pct"/>
            <w:noWrap/>
            <w:vAlign w:val="center"/>
          </w:tcPr>
          <w:p w:rsidR="002F5497" w:rsidRPr="00C93FB6" w:rsidRDefault="002F5497" w:rsidP="002F5497">
            <w:pPr>
              <w:jc w:val="right"/>
              <w:rPr>
                <w:sz w:val="28"/>
              </w:rPr>
            </w:pPr>
            <w:r w:rsidRPr="00C93FB6">
              <w:rPr>
                <w:rFonts w:hint="eastAsia"/>
                <w:sz w:val="28"/>
              </w:rPr>
              <w:t>11,211,505,009</w:t>
            </w:r>
          </w:p>
        </w:tc>
        <w:tc>
          <w:tcPr>
            <w:tcW w:w="1165" w:type="pct"/>
            <w:noWrap/>
            <w:vAlign w:val="center"/>
          </w:tcPr>
          <w:p w:rsidR="002F5497" w:rsidRPr="00C93FB6" w:rsidRDefault="002F5497" w:rsidP="002F5497">
            <w:pPr>
              <w:jc w:val="right"/>
              <w:rPr>
                <w:sz w:val="28"/>
              </w:rPr>
            </w:pPr>
            <w:r w:rsidRPr="00C93FB6">
              <w:rPr>
                <w:rFonts w:hint="eastAsia"/>
                <w:sz w:val="28"/>
              </w:rPr>
              <w:t>1,079,706,139</w:t>
            </w:r>
          </w:p>
        </w:tc>
        <w:tc>
          <w:tcPr>
            <w:tcW w:w="429" w:type="pct"/>
            <w:noWrap/>
            <w:vAlign w:val="center"/>
          </w:tcPr>
          <w:p w:rsidR="002F5497" w:rsidRPr="00C93FB6" w:rsidRDefault="002F5497" w:rsidP="002F5497">
            <w:pPr>
              <w:jc w:val="right"/>
              <w:rPr>
                <w:sz w:val="28"/>
              </w:rPr>
            </w:pPr>
            <w:r w:rsidRPr="00C93FB6">
              <w:rPr>
                <w:rFonts w:hint="eastAsia"/>
                <w:sz w:val="28"/>
              </w:rPr>
              <w:t>9.6%</w:t>
            </w:r>
          </w:p>
        </w:tc>
        <w:tc>
          <w:tcPr>
            <w:tcW w:w="1217" w:type="pct"/>
            <w:noWrap/>
            <w:vAlign w:val="center"/>
          </w:tcPr>
          <w:p w:rsidR="002F5497" w:rsidRPr="00C93FB6" w:rsidRDefault="002F5497" w:rsidP="002F5497">
            <w:pPr>
              <w:jc w:val="right"/>
              <w:rPr>
                <w:sz w:val="28"/>
              </w:rPr>
            </w:pPr>
            <w:r w:rsidRPr="00C93FB6">
              <w:rPr>
                <w:rFonts w:hint="eastAsia"/>
                <w:sz w:val="28"/>
              </w:rPr>
              <w:t>10,131,798,870</w:t>
            </w:r>
          </w:p>
        </w:tc>
      </w:tr>
      <w:tr w:rsidR="00BB5242" w:rsidRPr="00C93FB6" w:rsidTr="002F5497">
        <w:trPr>
          <w:trHeight w:val="283"/>
          <w:jc w:val="center"/>
        </w:trPr>
        <w:tc>
          <w:tcPr>
            <w:tcW w:w="414" w:type="pct"/>
            <w:noWrap/>
            <w:hideMark/>
          </w:tcPr>
          <w:p w:rsidR="002F5497" w:rsidRPr="00C93FB6" w:rsidRDefault="002F5497" w:rsidP="002F5497">
            <w:pPr>
              <w:widowControl/>
              <w:overflowPunct/>
              <w:autoSpaceDE/>
              <w:autoSpaceDN/>
              <w:jc w:val="center"/>
              <w:rPr>
                <w:sz w:val="28"/>
              </w:rPr>
            </w:pPr>
            <w:r w:rsidRPr="00C93FB6">
              <w:rPr>
                <w:sz w:val="28"/>
              </w:rPr>
              <w:t>108</w:t>
            </w:r>
          </w:p>
        </w:tc>
        <w:tc>
          <w:tcPr>
            <w:tcW w:w="558" w:type="pct"/>
            <w:noWrap/>
            <w:vAlign w:val="center"/>
          </w:tcPr>
          <w:p w:rsidR="002F5497" w:rsidRPr="00C93FB6" w:rsidRDefault="002F5497" w:rsidP="002F5497">
            <w:pPr>
              <w:jc w:val="right"/>
              <w:rPr>
                <w:sz w:val="28"/>
              </w:rPr>
            </w:pPr>
            <w:r w:rsidRPr="00C93FB6">
              <w:rPr>
                <w:rFonts w:hint="eastAsia"/>
                <w:sz w:val="28"/>
              </w:rPr>
              <w:t>16,456</w:t>
            </w:r>
          </w:p>
        </w:tc>
        <w:tc>
          <w:tcPr>
            <w:tcW w:w="1217" w:type="pct"/>
            <w:noWrap/>
            <w:vAlign w:val="center"/>
          </w:tcPr>
          <w:p w:rsidR="002F5497" w:rsidRPr="00C93FB6" w:rsidRDefault="002F5497" w:rsidP="002F5497">
            <w:pPr>
              <w:jc w:val="right"/>
              <w:rPr>
                <w:sz w:val="28"/>
              </w:rPr>
            </w:pPr>
            <w:r w:rsidRPr="00C93FB6">
              <w:rPr>
                <w:rFonts w:hint="eastAsia"/>
                <w:sz w:val="28"/>
              </w:rPr>
              <w:t>16,522,382,970</w:t>
            </w:r>
          </w:p>
        </w:tc>
        <w:tc>
          <w:tcPr>
            <w:tcW w:w="1165" w:type="pct"/>
            <w:noWrap/>
            <w:vAlign w:val="center"/>
          </w:tcPr>
          <w:p w:rsidR="002F5497" w:rsidRPr="00C93FB6" w:rsidRDefault="002F5497" w:rsidP="002F5497">
            <w:pPr>
              <w:jc w:val="right"/>
              <w:rPr>
                <w:sz w:val="28"/>
              </w:rPr>
            </w:pPr>
            <w:r w:rsidRPr="00C93FB6">
              <w:rPr>
                <w:rFonts w:hint="eastAsia"/>
                <w:sz w:val="28"/>
              </w:rPr>
              <w:t>1,596,874,252</w:t>
            </w:r>
          </w:p>
        </w:tc>
        <w:tc>
          <w:tcPr>
            <w:tcW w:w="429" w:type="pct"/>
            <w:noWrap/>
            <w:vAlign w:val="center"/>
          </w:tcPr>
          <w:p w:rsidR="002F5497" w:rsidRPr="00C93FB6" w:rsidRDefault="002F5497" w:rsidP="002F5497">
            <w:pPr>
              <w:jc w:val="right"/>
              <w:rPr>
                <w:sz w:val="28"/>
              </w:rPr>
            </w:pPr>
            <w:r w:rsidRPr="00C93FB6">
              <w:rPr>
                <w:rFonts w:hint="eastAsia"/>
                <w:sz w:val="28"/>
              </w:rPr>
              <w:t>9.7%</w:t>
            </w:r>
          </w:p>
        </w:tc>
        <w:tc>
          <w:tcPr>
            <w:tcW w:w="1217" w:type="pct"/>
            <w:noWrap/>
            <w:vAlign w:val="center"/>
          </w:tcPr>
          <w:p w:rsidR="002F5497" w:rsidRPr="00C93FB6" w:rsidRDefault="002F5497" w:rsidP="002F5497">
            <w:pPr>
              <w:jc w:val="right"/>
              <w:rPr>
                <w:sz w:val="28"/>
              </w:rPr>
            </w:pPr>
            <w:r w:rsidRPr="00C93FB6">
              <w:rPr>
                <w:rFonts w:hint="eastAsia"/>
                <w:sz w:val="28"/>
              </w:rPr>
              <w:t>14,925,508,718</w:t>
            </w:r>
          </w:p>
        </w:tc>
      </w:tr>
      <w:tr w:rsidR="00BB5242" w:rsidRPr="00C93FB6" w:rsidTr="002F5497">
        <w:trPr>
          <w:trHeight w:val="283"/>
          <w:jc w:val="center"/>
        </w:trPr>
        <w:tc>
          <w:tcPr>
            <w:tcW w:w="414" w:type="pct"/>
            <w:noWrap/>
            <w:hideMark/>
          </w:tcPr>
          <w:p w:rsidR="002F5497" w:rsidRPr="00C93FB6" w:rsidRDefault="002F5497" w:rsidP="002F5497">
            <w:pPr>
              <w:widowControl/>
              <w:overflowPunct/>
              <w:autoSpaceDE/>
              <w:autoSpaceDN/>
              <w:jc w:val="center"/>
              <w:rPr>
                <w:sz w:val="28"/>
              </w:rPr>
            </w:pPr>
            <w:r w:rsidRPr="00C93FB6">
              <w:rPr>
                <w:rFonts w:hint="eastAsia"/>
                <w:sz w:val="28"/>
              </w:rPr>
              <w:t>總計</w:t>
            </w:r>
          </w:p>
        </w:tc>
        <w:tc>
          <w:tcPr>
            <w:tcW w:w="558" w:type="pct"/>
            <w:noWrap/>
            <w:vAlign w:val="center"/>
          </w:tcPr>
          <w:p w:rsidR="002F5497" w:rsidRPr="00C93FB6" w:rsidRDefault="002F5497" w:rsidP="002F5497">
            <w:pPr>
              <w:jc w:val="center"/>
              <w:rPr>
                <w:sz w:val="28"/>
              </w:rPr>
            </w:pPr>
            <w:r w:rsidRPr="00C93FB6">
              <w:rPr>
                <w:rFonts w:hint="eastAsia"/>
                <w:sz w:val="28"/>
              </w:rPr>
              <w:t>72,314</w:t>
            </w:r>
          </w:p>
        </w:tc>
        <w:tc>
          <w:tcPr>
            <w:tcW w:w="1217" w:type="pct"/>
            <w:noWrap/>
            <w:vAlign w:val="center"/>
          </w:tcPr>
          <w:p w:rsidR="002F5497" w:rsidRPr="00C93FB6" w:rsidRDefault="002F5497" w:rsidP="002F5497">
            <w:pPr>
              <w:jc w:val="right"/>
              <w:rPr>
                <w:sz w:val="28"/>
              </w:rPr>
            </w:pPr>
            <w:r w:rsidRPr="00C93FB6">
              <w:rPr>
                <w:rFonts w:hint="eastAsia"/>
                <w:sz w:val="28"/>
              </w:rPr>
              <w:t>42,001,944,614</w:t>
            </w:r>
          </w:p>
        </w:tc>
        <w:tc>
          <w:tcPr>
            <w:tcW w:w="1165" w:type="pct"/>
            <w:noWrap/>
            <w:vAlign w:val="center"/>
          </w:tcPr>
          <w:p w:rsidR="002F5497" w:rsidRPr="00C93FB6" w:rsidRDefault="002F5497" w:rsidP="002F5497">
            <w:pPr>
              <w:jc w:val="right"/>
              <w:rPr>
                <w:sz w:val="28"/>
              </w:rPr>
            </w:pPr>
            <w:r w:rsidRPr="00C93FB6">
              <w:rPr>
                <w:rFonts w:hint="eastAsia"/>
                <w:sz w:val="28"/>
              </w:rPr>
              <w:t>6,839,980,345</w:t>
            </w:r>
          </w:p>
        </w:tc>
        <w:tc>
          <w:tcPr>
            <w:tcW w:w="429" w:type="pct"/>
            <w:noWrap/>
            <w:vAlign w:val="center"/>
          </w:tcPr>
          <w:p w:rsidR="002F5497" w:rsidRPr="00C93FB6" w:rsidRDefault="002F5497" w:rsidP="002F5497">
            <w:pPr>
              <w:jc w:val="right"/>
              <w:rPr>
                <w:sz w:val="28"/>
              </w:rPr>
            </w:pPr>
            <w:r w:rsidRPr="00C93FB6">
              <w:rPr>
                <w:rFonts w:hint="eastAsia"/>
                <w:sz w:val="28"/>
              </w:rPr>
              <w:t>16.3%</w:t>
            </w:r>
          </w:p>
        </w:tc>
        <w:tc>
          <w:tcPr>
            <w:tcW w:w="1217" w:type="pct"/>
            <w:noWrap/>
            <w:vAlign w:val="center"/>
          </w:tcPr>
          <w:p w:rsidR="002F5497" w:rsidRPr="00C93FB6" w:rsidRDefault="002F5497" w:rsidP="002F5497">
            <w:pPr>
              <w:jc w:val="right"/>
              <w:rPr>
                <w:sz w:val="28"/>
              </w:rPr>
            </w:pPr>
            <w:r w:rsidRPr="00C93FB6">
              <w:rPr>
                <w:rFonts w:hint="eastAsia"/>
                <w:sz w:val="28"/>
              </w:rPr>
              <w:t>35,161,964,269</w:t>
            </w:r>
          </w:p>
        </w:tc>
      </w:tr>
    </w:tbl>
    <w:p w:rsidR="00D0748E" w:rsidRPr="00C93FB6" w:rsidRDefault="00D0748E" w:rsidP="00BB5242">
      <w:pPr>
        <w:pStyle w:val="3"/>
        <w:numPr>
          <w:ilvl w:val="0"/>
          <w:numId w:val="0"/>
        </w:numPr>
        <w:spacing w:line="280" w:lineRule="exact"/>
        <w:ind w:leftChars="4" w:left="14"/>
        <w:rPr>
          <w:sz w:val="24"/>
        </w:rPr>
      </w:pPr>
      <w:r w:rsidRPr="00C93FB6">
        <w:rPr>
          <w:rFonts w:hint="eastAsia"/>
          <w:sz w:val="24"/>
        </w:rPr>
        <w:t>資料來源：法務部。</w:t>
      </w:r>
    </w:p>
    <w:p w:rsidR="00BB5242" w:rsidRPr="00C93FB6" w:rsidRDefault="00BB5242" w:rsidP="00BB5242">
      <w:pPr>
        <w:pStyle w:val="3"/>
        <w:numPr>
          <w:ilvl w:val="0"/>
          <w:numId w:val="0"/>
        </w:numPr>
        <w:spacing w:line="280" w:lineRule="exact"/>
        <w:ind w:leftChars="4" w:left="14"/>
        <w:rPr>
          <w:sz w:val="24"/>
        </w:rPr>
      </w:pPr>
    </w:p>
    <w:p w:rsidR="00F40E30" w:rsidRPr="00C93FB6" w:rsidRDefault="00A47A89" w:rsidP="007941AC">
      <w:pPr>
        <w:pStyle w:val="3"/>
        <w:rPr>
          <w:shd w:val="clear" w:color="auto" w:fill="FFFFFF"/>
        </w:rPr>
      </w:pPr>
      <w:proofErr w:type="gramStart"/>
      <w:r w:rsidRPr="00C93FB6">
        <w:rPr>
          <w:rFonts w:hint="eastAsia"/>
        </w:rPr>
        <w:t>惟查</w:t>
      </w:r>
      <w:proofErr w:type="gramEnd"/>
      <w:r w:rsidRPr="00C93FB6">
        <w:rPr>
          <w:rFonts w:hint="eastAsia"/>
        </w:rPr>
        <w:t>，上開犯罪所得收繳及執行情形，新制實施前後，應收金額大幅增長94億9,780萬餘元(增為6.41倍)，已收金額卻僅增長6億1,</w:t>
      </w:r>
      <w:proofErr w:type="gramStart"/>
      <w:r w:rsidRPr="00C93FB6">
        <w:rPr>
          <w:rFonts w:hint="eastAsia"/>
        </w:rPr>
        <w:t>636餘元</w:t>
      </w:r>
      <w:proofErr w:type="gramEnd"/>
      <w:r w:rsidRPr="00C93FB6">
        <w:rPr>
          <w:rFonts w:hint="eastAsia"/>
        </w:rPr>
        <w:t>(增為2.63倍)，上升幅度較之應收金額遠有未及</w:t>
      </w:r>
      <w:r w:rsidR="00623013" w:rsidRPr="00C93FB6">
        <w:rPr>
          <w:rFonts w:hint="eastAsia"/>
        </w:rPr>
        <w:t>，</w:t>
      </w:r>
      <w:proofErr w:type="gramStart"/>
      <w:r w:rsidRPr="00C93FB6">
        <w:rPr>
          <w:rFonts w:hint="eastAsia"/>
        </w:rPr>
        <w:t>致</w:t>
      </w:r>
      <w:r w:rsidR="00371825" w:rsidRPr="00C93FB6">
        <w:rPr>
          <w:rFonts w:hint="eastAsia"/>
        </w:rPr>
        <w:t>依</w:t>
      </w:r>
      <w:r w:rsidR="00371825" w:rsidRPr="00C93FB6">
        <w:rPr>
          <w:rFonts w:hAnsi="標楷體" w:hint="eastAsia"/>
        </w:rPr>
        <w:t>審計</w:t>
      </w:r>
      <w:proofErr w:type="gramEnd"/>
      <w:r w:rsidR="00371825" w:rsidRPr="00C93FB6">
        <w:rPr>
          <w:rFonts w:hAnsi="標楷體"/>
        </w:rPr>
        <w:t>部</w:t>
      </w:r>
      <w:r w:rsidR="00371825" w:rsidRPr="00C93FB6">
        <w:rPr>
          <w:rFonts w:hAnsi="標楷體" w:hint="eastAsia"/>
        </w:rPr>
        <w:t>查核</w:t>
      </w:r>
      <w:r w:rsidR="00371825" w:rsidRPr="00C93FB6">
        <w:rPr>
          <w:rStyle w:val="aff2"/>
          <w:rFonts w:hAnsi="標楷體"/>
        </w:rPr>
        <w:footnoteReference w:id="4"/>
      </w:r>
      <w:r w:rsidRPr="00C93FB6">
        <w:rPr>
          <w:rFonts w:hAnsi="標楷體" w:hint="eastAsia"/>
        </w:rPr>
        <w:t>，</w:t>
      </w:r>
      <w:r w:rsidRPr="00C93FB6">
        <w:rPr>
          <w:rFonts w:hint="eastAsia"/>
        </w:rPr>
        <w:t>未結金額由</w:t>
      </w:r>
      <w:proofErr w:type="gramStart"/>
      <w:r w:rsidRPr="00C93FB6">
        <w:rPr>
          <w:rFonts w:hint="eastAsia"/>
        </w:rPr>
        <w:t>105</w:t>
      </w:r>
      <w:proofErr w:type="gramEnd"/>
      <w:r w:rsidRPr="00C93FB6">
        <w:rPr>
          <w:rFonts w:hint="eastAsia"/>
        </w:rPr>
        <w:t>年度之13億7,911萬餘元，逐年上升至</w:t>
      </w:r>
      <w:proofErr w:type="gramStart"/>
      <w:r w:rsidRPr="00C93FB6">
        <w:rPr>
          <w:rFonts w:hint="eastAsia"/>
        </w:rPr>
        <w:t>107</w:t>
      </w:r>
      <w:proofErr w:type="gramEnd"/>
      <w:r w:rsidRPr="00C93FB6">
        <w:rPr>
          <w:rFonts w:hint="eastAsia"/>
        </w:rPr>
        <w:t>年度之102億6,054萬餘元，增長88億8,143萬餘元，增幅644%</w:t>
      </w:r>
      <w:r w:rsidR="00F40E30" w:rsidRPr="00C93FB6">
        <w:rPr>
          <w:rFonts w:hint="eastAsia"/>
          <w:shd w:val="clear" w:color="auto" w:fill="FFFFFF"/>
        </w:rPr>
        <w:t>：</w:t>
      </w:r>
    </w:p>
    <w:p w:rsidR="001D7710" w:rsidRPr="00C93FB6" w:rsidRDefault="00717CE1" w:rsidP="00307B52">
      <w:pPr>
        <w:pStyle w:val="4"/>
        <w:rPr>
          <w:b/>
          <w:snapToGrid w:val="0"/>
        </w:rPr>
      </w:pPr>
      <w:r w:rsidRPr="00C93FB6">
        <w:rPr>
          <w:rFonts w:hint="eastAsia"/>
        </w:rPr>
        <w:t>據法務部統計，因刑法沒收新制自105年7月1日施行後，經判決確定各該年度之犯罪所得金額，自</w:t>
      </w:r>
      <w:proofErr w:type="gramStart"/>
      <w:r w:rsidRPr="00C93FB6">
        <w:rPr>
          <w:rFonts w:hint="eastAsia"/>
        </w:rPr>
        <w:t>105</w:t>
      </w:r>
      <w:proofErr w:type="gramEnd"/>
      <w:r w:rsidRPr="00C93FB6">
        <w:rPr>
          <w:rFonts w:hint="eastAsia"/>
        </w:rPr>
        <w:t>年度之17億5,620萬餘元大幅上升至</w:t>
      </w:r>
      <w:proofErr w:type="gramStart"/>
      <w:r w:rsidRPr="00C93FB6">
        <w:rPr>
          <w:rFonts w:hint="eastAsia"/>
        </w:rPr>
        <w:t>107</w:t>
      </w:r>
      <w:proofErr w:type="gramEnd"/>
      <w:r w:rsidRPr="00C93FB6">
        <w:rPr>
          <w:rFonts w:hint="eastAsia"/>
        </w:rPr>
        <w:t>年度之112億5,400萬餘元</w:t>
      </w:r>
      <w:r w:rsidR="00307B52" w:rsidRPr="00C93FB6">
        <w:rPr>
          <w:rFonts w:hint="eastAsia"/>
        </w:rPr>
        <w:t>，大幅增長94億9,780萬餘元(</w:t>
      </w:r>
      <w:r w:rsidR="00EA36E0" w:rsidRPr="00C93FB6">
        <w:rPr>
          <w:rFonts w:hint="eastAsia"/>
        </w:rPr>
        <w:t>增為6.41倍</w:t>
      </w:r>
      <w:r w:rsidR="00307B52" w:rsidRPr="00C93FB6">
        <w:rPr>
          <w:rFonts w:hint="eastAsia"/>
        </w:rPr>
        <w:t>)</w:t>
      </w:r>
      <w:r w:rsidR="00EA36E0" w:rsidRPr="00C93FB6">
        <w:rPr>
          <w:rFonts w:hint="eastAsia"/>
        </w:rPr>
        <w:t>；惟其</w:t>
      </w:r>
      <w:r w:rsidRPr="00C93FB6">
        <w:rPr>
          <w:rFonts w:hint="eastAsia"/>
        </w:rPr>
        <w:t>執行結果，已收金額雖</w:t>
      </w:r>
      <w:r w:rsidR="00307B52" w:rsidRPr="00C93FB6">
        <w:rPr>
          <w:rFonts w:hint="eastAsia"/>
        </w:rPr>
        <w:t>亦</w:t>
      </w:r>
      <w:r w:rsidRPr="00C93FB6">
        <w:rPr>
          <w:rFonts w:hint="eastAsia"/>
        </w:rPr>
        <w:t>自</w:t>
      </w:r>
      <w:proofErr w:type="gramStart"/>
      <w:r w:rsidRPr="00C93FB6">
        <w:rPr>
          <w:rFonts w:hint="eastAsia"/>
        </w:rPr>
        <w:t>105</w:t>
      </w:r>
      <w:proofErr w:type="gramEnd"/>
      <w:r w:rsidRPr="00C93FB6">
        <w:rPr>
          <w:rFonts w:hint="eastAsia"/>
        </w:rPr>
        <w:t>年度之3億7,709萬餘元，上升至</w:t>
      </w:r>
      <w:proofErr w:type="gramStart"/>
      <w:r w:rsidRPr="00C93FB6">
        <w:rPr>
          <w:rFonts w:hint="eastAsia"/>
        </w:rPr>
        <w:t>107</w:t>
      </w:r>
      <w:proofErr w:type="gramEnd"/>
      <w:r w:rsidRPr="00C93FB6">
        <w:rPr>
          <w:rFonts w:hint="eastAsia"/>
        </w:rPr>
        <w:t>年度之9億9,345萬餘元</w:t>
      </w:r>
      <w:r w:rsidR="00307B52" w:rsidRPr="00C93FB6">
        <w:rPr>
          <w:rFonts w:hint="eastAsia"/>
        </w:rPr>
        <w:t>，卻僅增長6億1,</w:t>
      </w:r>
      <w:proofErr w:type="gramStart"/>
      <w:r w:rsidR="00307B52" w:rsidRPr="00C93FB6">
        <w:rPr>
          <w:rFonts w:hint="eastAsia"/>
        </w:rPr>
        <w:t>636餘元</w:t>
      </w:r>
      <w:proofErr w:type="gramEnd"/>
      <w:r w:rsidR="00307B52" w:rsidRPr="00C93FB6">
        <w:rPr>
          <w:rFonts w:hint="eastAsia"/>
        </w:rPr>
        <w:t>(增為2.63倍)</w:t>
      </w:r>
      <w:r w:rsidR="00C87F2E" w:rsidRPr="00C93FB6">
        <w:rPr>
          <w:rFonts w:hint="eastAsia"/>
        </w:rPr>
        <w:t>，已收金額之上升幅度較之應收金額遠有未及；</w:t>
      </w:r>
      <w:r w:rsidR="00307B52" w:rsidRPr="00C93FB6">
        <w:rPr>
          <w:rFonts w:hint="eastAsia"/>
        </w:rPr>
        <w:t>而致未結金額</w:t>
      </w:r>
      <w:r w:rsidRPr="00C93FB6">
        <w:rPr>
          <w:rFonts w:hint="eastAsia"/>
        </w:rPr>
        <w:t>由</w:t>
      </w:r>
      <w:proofErr w:type="gramStart"/>
      <w:r w:rsidRPr="00C93FB6">
        <w:rPr>
          <w:rFonts w:hint="eastAsia"/>
        </w:rPr>
        <w:t>105</w:t>
      </w:r>
      <w:proofErr w:type="gramEnd"/>
      <w:r w:rsidRPr="00C93FB6">
        <w:rPr>
          <w:rFonts w:hint="eastAsia"/>
        </w:rPr>
        <w:t>年度之13億7,911萬餘元，逐年上升至</w:t>
      </w:r>
      <w:proofErr w:type="gramStart"/>
      <w:r w:rsidRPr="00C93FB6">
        <w:rPr>
          <w:rFonts w:hint="eastAsia"/>
        </w:rPr>
        <w:t>107</w:t>
      </w:r>
      <w:proofErr w:type="gramEnd"/>
      <w:r w:rsidRPr="00C93FB6">
        <w:rPr>
          <w:rFonts w:hint="eastAsia"/>
        </w:rPr>
        <w:t>年度之102億6,054</w:t>
      </w:r>
      <w:r w:rsidR="001D7710" w:rsidRPr="00C93FB6">
        <w:rPr>
          <w:rFonts w:hint="eastAsia"/>
        </w:rPr>
        <w:t>萬餘元</w:t>
      </w:r>
      <w:r w:rsidR="00307B52" w:rsidRPr="00C93FB6">
        <w:rPr>
          <w:rFonts w:hint="eastAsia"/>
        </w:rPr>
        <w:t>，增長88億8,143萬餘元</w:t>
      </w:r>
      <w:r w:rsidRPr="00C93FB6">
        <w:rPr>
          <w:rFonts w:hint="eastAsia"/>
        </w:rPr>
        <w:t>，增幅644</w:t>
      </w:r>
      <w:r w:rsidR="005E626C" w:rsidRPr="00C93FB6">
        <w:rPr>
          <w:rFonts w:hint="eastAsia"/>
        </w:rPr>
        <w:t>%</w:t>
      </w:r>
      <w:r w:rsidRPr="00C93FB6">
        <w:rPr>
          <w:rFonts w:hint="eastAsia"/>
        </w:rPr>
        <w:t>。</w:t>
      </w:r>
    </w:p>
    <w:p w:rsidR="00717CE1" w:rsidRPr="00C93FB6" w:rsidRDefault="005E626C" w:rsidP="00717CE1">
      <w:pPr>
        <w:pStyle w:val="4"/>
        <w:rPr>
          <w:shd w:val="clear" w:color="auto" w:fill="FFFFFF"/>
        </w:rPr>
      </w:pPr>
      <w:proofErr w:type="gramStart"/>
      <w:r w:rsidRPr="00C93FB6">
        <w:rPr>
          <w:rFonts w:hAnsi="標楷體" w:hint="eastAsia"/>
          <w:szCs w:val="32"/>
        </w:rPr>
        <w:lastRenderedPageBreak/>
        <w:t>倘加計</w:t>
      </w:r>
      <w:proofErr w:type="gramEnd"/>
      <w:r w:rsidRPr="00C93FB6">
        <w:rPr>
          <w:rFonts w:hAnsi="標楷體" w:hint="eastAsia"/>
          <w:szCs w:val="32"/>
        </w:rPr>
        <w:t>89年7月至</w:t>
      </w:r>
      <w:proofErr w:type="gramStart"/>
      <w:r w:rsidRPr="00C93FB6">
        <w:rPr>
          <w:rFonts w:hAnsi="標楷體" w:hint="eastAsia"/>
          <w:szCs w:val="32"/>
        </w:rPr>
        <w:t>104</w:t>
      </w:r>
      <w:proofErr w:type="gramEnd"/>
      <w:r w:rsidRPr="00C93FB6">
        <w:rPr>
          <w:rFonts w:hAnsi="標楷體" w:hint="eastAsia"/>
          <w:szCs w:val="32"/>
        </w:rPr>
        <w:t>年度資料，截至107年底各地檢署執行經判決確定犯罪所得金額計295億5,684萬餘元，已收金額為64億4,289萬餘元（21.80%），未結金額為231億1,395萬餘元（78.20%），執行率為21.80%，較截至106年底止之28.8%下降7個百分點。另據法務部108年9月9日統計，89年7月至108年8月底止，各地檢署執行經判決確定犯罪所得金額計387億2,305萬餘元，已收金額為77億8,112萬餘元（20.1%），未結金額為309億4,193萬餘元（79.91%），執行率為20.1%，與截至107及106年底止之及21.8%及28.8%相較，持續下降中。</w:t>
      </w:r>
    </w:p>
    <w:p w:rsidR="00CC3783" w:rsidRPr="00C93FB6" w:rsidRDefault="004C4716" w:rsidP="00307C0E">
      <w:pPr>
        <w:pStyle w:val="3"/>
        <w:rPr>
          <w:shd w:val="clear" w:color="auto" w:fill="FFFFFF"/>
        </w:rPr>
      </w:pPr>
      <w:r w:rsidRPr="00C93FB6">
        <w:rPr>
          <w:rFonts w:hint="eastAsia"/>
        </w:rPr>
        <w:t>綜上，</w:t>
      </w:r>
      <w:r w:rsidR="00307C0E" w:rsidRPr="00C93FB6">
        <w:rPr>
          <w:rFonts w:hint="eastAsia"/>
        </w:rPr>
        <w:t>新法沒收新制自105年7月1日實施後迄今</w:t>
      </w:r>
      <w:r w:rsidR="00182302" w:rsidRPr="00C93FB6">
        <w:rPr>
          <w:rFonts w:hint="eastAsia"/>
        </w:rPr>
        <w:t>(截至109年1月3日)經判決確定之應收犯罪所得</w:t>
      </w:r>
      <w:r w:rsidR="00182302" w:rsidRPr="00C93FB6">
        <w:t>379</w:t>
      </w:r>
      <w:r w:rsidR="00182302" w:rsidRPr="00C93FB6">
        <w:rPr>
          <w:rFonts w:hint="eastAsia"/>
        </w:rPr>
        <w:t>億</w:t>
      </w:r>
      <w:r w:rsidR="00182302" w:rsidRPr="00C93FB6">
        <w:t>5,524</w:t>
      </w:r>
      <w:r w:rsidR="00182302" w:rsidRPr="00C93FB6">
        <w:rPr>
          <w:rFonts w:hint="eastAsia"/>
        </w:rPr>
        <w:t>萬餘元，已收僅39億9</w:t>
      </w:r>
      <w:r w:rsidR="00182302" w:rsidRPr="00C93FB6">
        <w:t>,</w:t>
      </w:r>
      <w:r w:rsidR="00182302" w:rsidRPr="00C93FB6">
        <w:rPr>
          <w:rFonts w:hint="eastAsia"/>
        </w:rPr>
        <w:t>448萬8</w:t>
      </w:r>
      <w:r w:rsidR="00182302" w:rsidRPr="00C93FB6">
        <w:t>,</w:t>
      </w:r>
      <w:r w:rsidR="00182302" w:rsidRPr="00C93FB6">
        <w:rPr>
          <w:rFonts w:hint="eastAsia"/>
        </w:rPr>
        <w:t>393元(10.5%)，未收金額達339億6,075萬7</w:t>
      </w:r>
      <w:r w:rsidR="00182302" w:rsidRPr="00C93FB6">
        <w:t>,</w:t>
      </w:r>
      <w:r w:rsidR="00182302" w:rsidRPr="00C93FB6">
        <w:rPr>
          <w:rFonts w:hint="eastAsia"/>
        </w:rPr>
        <w:t>608元。新制實施後，應收犯罪所得大幅增長，惟執行及收繳金額雖亦增長，幅度卻遠有未及，致未結金額由</w:t>
      </w:r>
      <w:proofErr w:type="gramStart"/>
      <w:r w:rsidR="00182302" w:rsidRPr="00C93FB6">
        <w:rPr>
          <w:rFonts w:hint="eastAsia"/>
        </w:rPr>
        <w:t>105</w:t>
      </w:r>
      <w:proofErr w:type="gramEnd"/>
      <w:r w:rsidR="00182302" w:rsidRPr="00C93FB6">
        <w:rPr>
          <w:rFonts w:hint="eastAsia"/>
        </w:rPr>
        <w:t>年度之13億7,911萬餘元，逐年上升至</w:t>
      </w:r>
      <w:proofErr w:type="gramStart"/>
      <w:r w:rsidR="00182302" w:rsidRPr="00C93FB6">
        <w:rPr>
          <w:rFonts w:hint="eastAsia"/>
        </w:rPr>
        <w:t>107</w:t>
      </w:r>
      <w:proofErr w:type="gramEnd"/>
      <w:r w:rsidR="00182302" w:rsidRPr="00C93FB6">
        <w:rPr>
          <w:rFonts w:hint="eastAsia"/>
        </w:rPr>
        <w:t>年度之102億6,054萬餘元，增幅644%。</w:t>
      </w:r>
      <w:r w:rsidR="005D5582" w:rsidRPr="00C93FB6">
        <w:rPr>
          <w:rFonts w:hint="eastAsia"/>
          <w:shd w:val="clear" w:color="auto" w:fill="FFFFFF"/>
        </w:rPr>
        <w:t>法務部</w:t>
      </w:r>
      <w:r w:rsidR="00D525A4" w:rsidRPr="00C93FB6">
        <w:rPr>
          <w:rFonts w:hint="eastAsia"/>
          <w:shd w:val="clear" w:color="auto" w:fill="FFFFFF"/>
        </w:rPr>
        <w:t>允宜持續加強犯罪所得之收繳，</w:t>
      </w:r>
      <w:r w:rsidR="00307C0E" w:rsidRPr="00C93FB6">
        <w:rPr>
          <w:rFonts w:hint="eastAsia"/>
          <w:shd w:val="clear" w:color="auto" w:fill="FFFFFF"/>
        </w:rPr>
        <w:t>落實</w:t>
      </w:r>
      <w:r w:rsidR="00D525A4" w:rsidRPr="00C93FB6">
        <w:rPr>
          <w:rFonts w:hint="eastAsia"/>
        </w:rPr>
        <w:t>修法</w:t>
      </w:r>
      <w:r w:rsidR="00307C0E" w:rsidRPr="00C93FB6">
        <w:rPr>
          <w:rFonts w:hint="eastAsia"/>
        </w:rPr>
        <w:t>精神。</w:t>
      </w:r>
    </w:p>
    <w:p w:rsidR="0027674F" w:rsidRPr="00C93FB6" w:rsidRDefault="00562A00" w:rsidP="004C4716">
      <w:pPr>
        <w:pStyle w:val="2"/>
        <w:rPr>
          <w:b/>
        </w:rPr>
      </w:pPr>
      <w:r w:rsidRPr="00C93FB6">
        <w:rPr>
          <w:rFonts w:hint="eastAsia"/>
          <w:b/>
        </w:rPr>
        <w:t>截至目前各地檢署執行經判決確定之未結案件中，</w:t>
      </w:r>
      <w:r w:rsidR="00507D1A" w:rsidRPr="00C93FB6">
        <w:rPr>
          <w:rFonts w:hint="eastAsia"/>
          <w:b/>
        </w:rPr>
        <w:t>執行</w:t>
      </w:r>
      <w:r w:rsidR="00AB3FEB" w:rsidRPr="00C93FB6">
        <w:rPr>
          <w:rFonts w:hint="eastAsia"/>
          <w:b/>
        </w:rPr>
        <w:t>已逾5年之件數及金額僅占4.1%及4.9%，而仍以執行「已逾6個月未逾2年」及執行「已逾2年未逾5年」者為多，顯示</w:t>
      </w:r>
      <w:r w:rsidR="00507D1A" w:rsidRPr="00C93FB6">
        <w:rPr>
          <w:rFonts w:hint="eastAsia"/>
          <w:b/>
        </w:rPr>
        <w:t>未結案件中，屬</w:t>
      </w:r>
      <w:r w:rsidR="00AB3FEB" w:rsidRPr="00C93FB6">
        <w:rPr>
          <w:rFonts w:hAnsi="標楷體" w:hint="eastAsia"/>
          <w:b/>
        </w:rPr>
        <w:t>「</w:t>
      </w:r>
      <w:r w:rsidR="00AB3FEB" w:rsidRPr="00C93FB6">
        <w:rPr>
          <w:rFonts w:hint="eastAsia"/>
          <w:b/>
        </w:rPr>
        <w:t>案件因年代久遠，當事人或早已潛逃、失聯甚至行蹤不明，以致無從執行</w:t>
      </w:r>
      <w:r w:rsidR="00AB3FEB" w:rsidRPr="00C93FB6">
        <w:rPr>
          <w:rFonts w:hAnsi="標楷體" w:hint="eastAsia"/>
          <w:b/>
        </w:rPr>
        <w:t>」較少，而</w:t>
      </w:r>
      <w:r w:rsidR="00AB3FEB" w:rsidRPr="00C93FB6">
        <w:rPr>
          <w:rFonts w:hint="eastAsia"/>
          <w:b/>
        </w:rPr>
        <w:t>係以屬</w:t>
      </w:r>
      <w:r w:rsidR="00507D1A" w:rsidRPr="00C93FB6">
        <w:rPr>
          <w:rFonts w:hAnsi="標楷體" w:hint="eastAsia"/>
          <w:b/>
        </w:rPr>
        <w:t>「</w:t>
      </w:r>
      <w:r w:rsidR="00F03E8C" w:rsidRPr="00C93FB6">
        <w:rPr>
          <w:rFonts w:hint="eastAsia"/>
          <w:b/>
        </w:rPr>
        <w:t>因</w:t>
      </w:r>
      <w:r w:rsidR="00507D1A" w:rsidRPr="00C93FB6">
        <w:rPr>
          <w:rFonts w:hint="eastAsia"/>
          <w:b/>
        </w:rPr>
        <w:t>新制實施前並無保全扣押制度，無法阻止當事人脫產</w:t>
      </w:r>
      <w:r w:rsidR="00507D1A" w:rsidRPr="00C93FB6">
        <w:rPr>
          <w:rFonts w:hAnsi="標楷體" w:hint="eastAsia"/>
          <w:b/>
        </w:rPr>
        <w:t>」</w:t>
      </w:r>
      <w:r w:rsidR="00AB3FEB" w:rsidRPr="00C93FB6">
        <w:rPr>
          <w:rFonts w:hint="eastAsia"/>
          <w:b/>
        </w:rPr>
        <w:t>及</w:t>
      </w:r>
      <w:r w:rsidR="00507D1A" w:rsidRPr="00C93FB6">
        <w:rPr>
          <w:rFonts w:hAnsi="標楷體" w:hint="eastAsia"/>
          <w:b/>
        </w:rPr>
        <w:t>「</w:t>
      </w:r>
      <w:r w:rsidR="00507D1A" w:rsidRPr="00C93FB6">
        <w:rPr>
          <w:rFonts w:hint="eastAsia"/>
          <w:b/>
        </w:rPr>
        <w:t>案件當事人自始即無所得或財產可供執行，或自始即已脫產或藏匿財產，導致保全扣押亦無效果</w:t>
      </w:r>
      <w:r w:rsidR="00507D1A" w:rsidRPr="00C93FB6">
        <w:rPr>
          <w:rFonts w:hAnsi="標楷體" w:hint="eastAsia"/>
          <w:b/>
        </w:rPr>
        <w:t>」</w:t>
      </w:r>
      <w:r w:rsidR="00AB3FEB" w:rsidRPr="00C93FB6">
        <w:rPr>
          <w:rFonts w:hint="eastAsia"/>
          <w:b/>
        </w:rPr>
        <w:t>之情況為多，</w:t>
      </w:r>
      <w:proofErr w:type="gramStart"/>
      <w:r w:rsidR="00AB3FEB" w:rsidRPr="00C93FB6">
        <w:rPr>
          <w:rFonts w:hint="eastAsia"/>
          <w:b/>
        </w:rPr>
        <w:t>爰</w:t>
      </w:r>
      <w:proofErr w:type="gramEnd"/>
      <w:r w:rsidR="00AB3FEB" w:rsidRPr="00C93FB6">
        <w:rPr>
          <w:rFonts w:hint="eastAsia"/>
          <w:b/>
        </w:rPr>
        <w:t>加強</w:t>
      </w:r>
      <w:proofErr w:type="gramStart"/>
      <w:r w:rsidR="00AB3FEB" w:rsidRPr="00C93FB6">
        <w:rPr>
          <w:rFonts w:hint="eastAsia"/>
          <w:b/>
        </w:rPr>
        <w:t>偵</w:t>
      </w:r>
      <w:proofErr w:type="gramEnd"/>
      <w:r w:rsidR="00AB3FEB" w:rsidRPr="00C93FB6">
        <w:rPr>
          <w:rFonts w:hint="eastAsia"/>
          <w:b/>
        </w:rPr>
        <w:t>審中保全</w:t>
      </w:r>
      <w:r w:rsidR="00AB3FEB" w:rsidRPr="00C93FB6">
        <w:rPr>
          <w:rFonts w:hint="eastAsia"/>
          <w:b/>
        </w:rPr>
        <w:lastRenderedPageBreak/>
        <w:t>扣押制度之落實，</w:t>
      </w:r>
      <w:r w:rsidR="00507D1A" w:rsidRPr="00C93FB6">
        <w:rPr>
          <w:rFonts w:hint="eastAsia"/>
          <w:b/>
        </w:rPr>
        <w:t>確有</w:t>
      </w:r>
      <w:r w:rsidR="00AB3FEB" w:rsidRPr="00C93FB6">
        <w:rPr>
          <w:rFonts w:hint="eastAsia"/>
          <w:b/>
        </w:rPr>
        <w:t>必要</w:t>
      </w:r>
      <w:r w:rsidR="00507D1A" w:rsidRPr="00C93FB6">
        <w:rPr>
          <w:rFonts w:hint="eastAsia"/>
          <w:b/>
        </w:rPr>
        <w:t>。</w:t>
      </w:r>
      <w:r w:rsidR="00AB3FEB" w:rsidRPr="00C93FB6">
        <w:rPr>
          <w:rFonts w:hint="eastAsia"/>
          <w:b/>
        </w:rPr>
        <w:t>法務部表示將持續督促所屬檢察署積極辦理犯罪所得之保全，避免怠惰、違失發生，並提供必要之行政支援，以利成效之提升</w:t>
      </w:r>
      <w:r w:rsidR="00507D1A" w:rsidRPr="00C93FB6">
        <w:rPr>
          <w:rFonts w:hint="eastAsia"/>
          <w:b/>
        </w:rPr>
        <w:t>，</w:t>
      </w:r>
      <w:r w:rsidR="00AB3FEB" w:rsidRPr="00C93FB6">
        <w:rPr>
          <w:rFonts w:hint="eastAsia"/>
          <w:b/>
        </w:rPr>
        <w:t>允宜確實辦理。</w:t>
      </w:r>
    </w:p>
    <w:p w:rsidR="0057171D" w:rsidRPr="00C93FB6" w:rsidRDefault="0057171D" w:rsidP="001C70EA">
      <w:pPr>
        <w:pStyle w:val="3"/>
        <w:rPr>
          <w:shd w:val="clear" w:color="auto" w:fill="FFFFFF"/>
        </w:rPr>
      </w:pPr>
      <w:r w:rsidRPr="00C93FB6">
        <w:rPr>
          <w:rFonts w:hint="eastAsia"/>
        </w:rPr>
        <w:t>偵查或審理之保全扣押，應依具體個案進行犯罪物與犯罪所得之資產調查，確認原物沒收之可能性及追徵價額之可行性評估，以搜索、同意扣押或扣押裁定之方式，將標的物扣押，以確保判決確定時得沒收原物或追徵價額。</w:t>
      </w:r>
    </w:p>
    <w:p w:rsidR="0027674F" w:rsidRPr="00C93FB6" w:rsidRDefault="001B0816" w:rsidP="001C70EA">
      <w:pPr>
        <w:pStyle w:val="3"/>
        <w:rPr>
          <w:shd w:val="clear" w:color="auto" w:fill="FFFFFF"/>
        </w:rPr>
      </w:pPr>
      <w:r w:rsidRPr="00C93FB6">
        <w:rPr>
          <w:rFonts w:hint="eastAsia"/>
        </w:rPr>
        <w:t>有關犯罪所得實際收繳情形仍欠理想之原因</w:t>
      </w:r>
      <w:r w:rsidR="0027674F" w:rsidRPr="00C93FB6">
        <w:rPr>
          <w:rFonts w:hint="eastAsia"/>
        </w:rPr>
        <w:t>，</w:t>
      </w:r>
      <w:r w:rsidR="0027674F" w:rsidRPr="00C93FB6">
        <w:rPr>
          <w:rFonts w:hint="eastAsia"/>
          <w:shd w:val="clear" w:color="auto" w:fill="FFFFFF"/>
        </w:rPr>
        <w:t>依法務部說明：</w:t>
      </w:r>
    </w:p>
    <w:p w:rsidR="0027674F" w:rsidRPr="00C93FB6" w:rsidRDefault="0027674F" w:rsidP="001C70EA">
      <w:pPr>
        <w:pStyle w:val="4"/>
        <w:rPr>
          <w:shd w:val="clear" w:color="auto" w:fill="FFFFFF"/>
        </w:rPr>
      </w:pPr>
      <w:r w:rsidRPr="00C93FB6">
        <w:rPr>
          <w:rFonts w:hint="eastAsia"/>
        </w:rPr>
        <w:t>在沒收新制施行後，因沒收範圍擴大，許多案件之應沒收金額大增，但在新制實施前並無保全扣押制度，無法阻止當事人脫產，導致該等案件於判決確定後，地檢署執行無效果，造成收繳比率過低的現象。</w:t>
      </w:r>
    </w:p>
    <w:p w:rsidR="0027674F" w:rsidRPr="00C93FB6" w:rsidRDefault="0027674F" w:rsidP="0027674F">
      <w:pPr>
        <w:pStyle w:val="4"/>
        <w:rPr>
          <w:shd w:val="clear" w:color="auto" w:fill="FFFFFF"/>
        </w:rPr>
      </w:pPr>
      <w:r w:rsidRPr="00C93FB6">
        <w:rPr>
          <w:rFonts w:hint="eastAsia"/>
        </w:rPr>
        <w:t>部分案件因年代久遠，當事人或早已潛逃、失聯甚至行蹤不明，以致無從執行。</w:t>
      </w:r>
    </w:p>
    <w:p w:rsidR="0027674F" w:rsidRPr="00C93FB6" w:rsidRDefault="0027674F" w:rsidP="0027674F">
      <w:pPr>
        <w:pStyle w:val="4"/>
      </w:pPr>
      <w:r w:rsidRPr="00C93FB6">
        <w:rPr>
          <w:rFonts w:hint="eastAsia"/>
        </w:rPr>
        <w:t>部分案件當事人自始即無所得或財產可供執行，或自始即已脫產或藏匿財產，導致保全扣押亦無效果，甚或法人被告已解散，導致無從執行。</w:t>
      </w:r>
    </w:p>
    <w:p w:rsidR="004621EC" w:rsidRPr="00C93FB6" w:rsidRDefault="004621EC" w:rsidP="004621EC">
      <w:pPr>
        <w:pStyle w:val="3"/>
      </w:pPr>
      <w:r w:rsidRPr="00C93FB6">
        <w:rPr>
          <w:rFonts w:hint="eastAsia"/>
        </w:rPr>
        <w:t>上開無從執行之案件，其後續處理及管考</w:t>
      </w:r>
      <w:r w:rsidR="00507D1A" w:rsidRPr="00C93FB6">
        <w:rPr>
          <w:rFonts w:hint="eastAsia"/>
        </w:rPr>
        <w:t>，依法務部說明</w:t>
      </w:r>
      <w:r w:rsidRPr="00C93FB6">
        <w:rPr>
          <w:rFonts w:hint="eastAsia"/>
        </w:rPr>
        <w:t>：</w:t>
      </w:r>
    </w:p>
    <w:p w:rsidR="004621EC" w:rsidRPr="00C93FB6" w:rsidRDefault="004621EC" w:rsidP="004621EC">
      <w:pPr>
        <w:pStyle w:val="4"/>
      </w:pPr>
      <w:r w:rsidRPr="00C93FB6">
        <w:rPr>
          <w:rFonts w:hint="eastAsia"/>
        </w:rPr>
        <w:t>依刑法第40條之2第4項之規定沒收之宣告，自裁判確定之日起，逾10年未開始或繼續執行者，不得執行。且如為年代久遠，無從執行或自始即無財產可供執行之案件，依該部108年4月1日法檢字第10804510830號函釋意旨，其沒收之時效適用上開10年時效之規定。</w:t>
      </w:r>
    </w:p>
    <w:p w:rsidR="004621EC" w:rsidRPr="00C93FB6" w:rsidRDefault="004621EC" w:rsidP="00507D1A">
      <w:pPr>
        <w:pStyle w:val="4"/>
      </w:pPr>
      <w:r w:rsidRPr="00C93FB6">
        <w:rPr>
          <w:rFonts w:hint="eastAsia"/>
        </w:rPr>
        <w:t>如案件仍未</w:t>
      </w:r>
      <w:proofErr w:type="gramStart"/>
      <w:r w:rsidRPr="00C93FB6">
        <w:rPr>
          <w:rFonts w:hint="eastAsia"/>
        </w:rPr>
        <w:t>罹</w:t>
      </w:r>
      <w:proofErr w:type="gramEnd"/>
      <w:r w:rsidRPr="00C93FB6">
        <w:rPr>
          <w:rFonts w:hint="eastAsia"/>
        </w:rPr>
        <w:t>於沒收時效，則地檢署將定期清查</w:t>
      </w:r>
      <w:r w:rsidRPr="00C93FB6">
        <w:rPr>
          <w:rFonts w:hint="eastAsia"/>
        </w:rPr>
        <w:lastRenderedPageBreak/>
        <w:t>受刑人名下是否有新增之財產，於案件未終結前，研考科會列管案件是否有逾6月未進行之情形。</w:t>
      </w:r>
    </w:p>
    <w:p w:rsidR="004621EC" w:rsidRPr="00C93FB6" w:rsidRDefault="004621EC" w:rsidP="00507D1A">
      <w:pPr>
        <w:pStyle w:val="4"/>
      </w:pPr>
      <w:r w:rsidRPr="00C93FB6">
        <w:rPr>
          <w:rFonts w:hint="eastAsia"/>
        </w:rPr>
        <w:t>各地檢署依各自規範定期追蹤，另由研考科定期通知執行科，逾6月未進行之案件，加以管考，於犯罪所得追徵完畢，或沒收</w:t>
      </w:r>
      <w:proofErr w:type="gramStart"/>
      <w:r w:rsidRPr="00C93FB6">
        <w:rPr>
          <w:rFonts w:hint="eastAsia"/>
        </w:rPr>
        <w:t>罹</w:t>
      </w:r>
      <w:proofErr w:type="gramEnd"/>
      <w:r w:rsidRPr="00C93FB6">
        <w:rPr>
          <w:rFonts w:hint="eastAsia"/>
        </w:rPr>
        <w:t>於時效時，始解除列管。</w:t>
      </w:r>
    </w:p>
    <w:p w:rsidR="00FA382C" w:rsidRPr="00C93FB6" w:rsidRDefault="00507D1A" w:rsidP="00507D1A">
      <w:pPr>
        <w:pStyle w:val="3"/>
      </w:pPr>
      <w:r w:rsidRPr="00C93FB6">
        <w:rPr>
          <w:rFonts w:hint="eastAsia"/>
        </w:rPr>
        <w:t>經查，</w:t>
      </w:r>
      <w:r w:rsidR="00FA382C" w:rsidRPr="00C93FB6">
        <w:rPr>
          <w:rFonts w:hint="eastAsia"/>
        </w:rPr>
        <w:t>89年7月至109年3月底止各地檢署執行經判決確定犯罪所得金額累計未結案件之分布情形</w:t>
      </w:r>
      <w:r w:rsidR="00371B14" w:rsidRPr="00C93FB6">
        <w:rPr>
          <w:rFonts w:hint="eastAsia"/>
        </w:rPr>
        <w:t>，截至109年3月底</w:t>
      </w:r>
      <w:r w:rsidR="00BD66C6" w:rsidRPr="00C93FB6">
        <w:rPr>
          <w:rFonts w:hint="eastAsia"/>
        </w:rPr>
        <w:t>之未結案件中</w:t>
      </w:r>
      <w:r w:rsidR="00371B14" w:rsidRPr="00C93FB6">
        <w:rPr>
          <w:rFonts w:hint="eastAsia"/>
        </w:rPr>
        <w:t>，</w:t>
      </w:r>
      <w:r w:rsidRPr="00C93FB6">
        <w:rPr>
          <w:rFonts w:hint="eastAsia"/>
        </w:rPr>
        <w:t>執行已逾5年之件數及金額僅占4.1%及4.9%</w:t>
      </w:r>
      <w:r w:rsidR="00CD041B" w:rsidRPr="00C93FB6">
        <w:rPr>
          <w:rFonts w:hint="eastAsia"/>
        </w:rPr>
        <w:t>，而</w:t>
      </w:r>
      <w:r w:rsidRPr="00C93FB6">
        <w:rPr>
          <w:rFonts w:hint="eastAsia"/>
        </w:rPr>
        <w:t>以</w:t>
      </w:r>
      <w:r w:rsidR="00BD66C6" w:rsidRPr="00C93FB6">
        <w:rPr>
          <w:rFonts w:hint="eastAsia"/>
        </w:rPr>
        <w:t>執行</w:t>
      </w:r>
      <w:r w:rsidR="00371B14" w:rsidRPr="00C93FB6">
        <w:rPr>
          <w:rFonts w:hint="eastAsia"/>
        </w:rPr>
        <w:t>「已逾6個月未逾2年」</w:t>
      </w:r>
      <w:r w:rsidR="00BD66C6" w:rsidRPr="00C93FB6">
        <w:rPr>
          <w:rFonts w:hAnsi="標楷體" w:hint="eastAsia"/>
        </w:rPr>
        <w:t>〔</w:t>
      </w:r>
      <w:r w:rsidR="00371B14" w:rsidRPr="00C93FB6">
        <w:rPr>
          <w:rFonts w:hint="eastAsia"/>
        </w:rPr>
        <w:t>件數13,620件(45.0%)及金額202億628萬餘元(54.2%)</w:t>
      </w:r>
      <w:r w:rsidR="00BD66C6" w:rsidRPr="00C93FB6">
        <w:rPr>
          <w:rFonts w:hAnsi="標楷體" w:hint="eastAsia"/>
        </w:rPr>
        <w:t>〕</w:t>
      </w:r>
      <w:r w:rsidR="00BD66C6" w:rsidRPr="00C93FB6">
        <w:rPr>
          <w:rFonts w:hint="eastAsia"/>
        </w:rPr>
        <w:t>及執行</w:t>
      </w:r>
      <w:r w:rsidR="00371B14" w:rsidRPr="00C93FB6">
        <w:rPr>
          <w:rFonts w:hint="eastAsia"/>
        </w:rPr>
        <w:t>「已逾2年未逾5年」</w:t>
      </w:r>
      <w:r w:rsidR="00BD66C6" w:rsidRPr="00C93FB6">
        <w:rPr>
          <w:rFonts w:hAnsi="標楷體" w:hint="eastAsia"/>
        </w:rPr>
        <w:t>〔</w:t>
      </w:r>
      <w:r w:rsidR="00371B14" w:rsidRPr="00C93FB6">
        <w:rPr>
          <w:rFonts w:hint="eastAsia"/>
        </w:rPr>
        <w:t>件數9,748件(32.2%)及金額100億4,336萬餘元(26.9%)</w:t>
      </w:r>
      <w:r w:rsidR="00BD66C6" w:rsidRPr="00C93FB6">
        <w:rPr>
          <w:rFonts w:hAnsi="標楷體" w:hint="eastAsia"/>
        </w:rPr>
        <w:t>〕</w:t>
      </w:r>
      <w:r w:rsidR="00BD66C6" w:rsidRPr="00C93FB6">
        <w:rPr>
          <w:rFonts w:hint="eastAsia"/>
        </w:rPr>
        <w:t>為多</w:t>
      </w:r>
      <w:r w:rsidR="007B0C93" w:rsidRPr="00C93FB6">
        <w:rPr>
          <w:rFonts w:hint="eastAsia"/>
        </w:rPr>
        <w:t>，如表4</w:t>
      </w:r>
      <w:r w:rsidR="00BD66C6" w:rsidRPr="00C93FB6">
        <w:rPr>
          <w:rFonts w:hint="eastAsia"/>
        </w:rPr>
        <w:t>。</w:t>
      </w:r>
      <w:r w:rsidR="001B0816" w:rsidRPr="00C93FB6">
        <w:rPr>
          <w:rFonts w:hint="eastAsia"/>
        </w:rPr>
        <w:t>顯示，如</w:t>
      </w:r>
      <w:r w:rsidR="005A4E38" w:rsidRPr="00C93FB6">
        <w:rPr>
          <w:rFonts w:hint="eastAsia"/>
        </w:rPr>
        <w:t>參</w:t>
      </w:r>
      <w:r w:rsidR="00B64D59" w:rsidRPr="00C93FB6">
        <w:rPr>
          <w:rFonts w:hint="eastAsia"/>
        </w:rPr>
        <w:t>照前述(二)</w:t>
      </w:r>
      <w:r w:rsidR="005A4E38" w:rsidRPr="00C93FB6">
        <w:rPr>
          <w:rFonts w:hint="eastAsia"/>
        </w:rPr>
        <w:t>有關</w:t>
      </w:r>
      <w:r w:rsidR="001B0816" w:rsidRPr="00C93FB6">
        <w:rPr>
          <w:rFonts w:hint="eastAsia"/>
        </w:rPr>
        <w:t>犯罪所得實際收繳情形仍欠理想之原因</w:t>
      </w:r>
      <w:r w:rsidR="005A4E38" w:rsidRPr="00C93FB6">
        <w:rPr>
          <w:rFonts w:hint="eastAsia"/>
        </w:rPr>
        <w:t>，</w:t>
      </w:r>
      <w:r w:rsidR="001B0816" w:rsidRPr="00C93FB6">
        <w:rPr>
          <w:rFonts w:hint="eastAsia"/>
        </w:rPr>
        <w:t>則</w:t>
      </w:r>
      <w:r w:rsidR="007B0C93" w:rsidRPr="00C93FB6">
        <w:rPr>
          <w:rFonts w:hint="eastAsia"/>
        </w:rPr>
        <w:t>未結案件中，屬</w:t>
      </w:r>
      <w:r w:rsidR="007B0C93" w:rsidRPr="00C93FB6">
        <w:rPr>
          <w:rFonts w:hAnsi="標楷體" w:hint="eastAsia"/>
        </w:rPr>
        <w:t>「</w:t>
      </w:r>
      <w:r w:rsidR="00B64D59" w:rsidRPr="00C93FB6">
        <w:rPr>
          <w:rFonts w:hAnsi="標楷體" w:hint="eastAsia"/>
        </w:rPr>
        <w:t>2、</w:t>
      </w:r>
      <w:r w:rsidR="007B0C93" w:rsidRPr="00C93FB6">
        <w:rPr>
          <w:rFonts w:hint="eastAsia"/>
        </w:rPr>
        <w:t>案件因年代久遠，當事人或早已潛逃、失聯甚至行蹤不明，以致無從執行</w:t>
      </w:r>
      <w:r w:rsidR="007B0C93" w:rsidRPr="00C93FB6">
        <w:rPr>
          <w:rFonts w:hAnsi="標楷體" w:hint="eastAsia"/>
        </w:rPr>
        <w:t>」較少，而</w:t>
      </w:r>
      <w:r w:rsidR="007B0C93" w:rsidRPr="00C93FB6">
        <w:rPr>
          <w:rFonts w:hint="eastAsia"/>
        </w:rPr>
        <w:t>係以屬</w:t>
      </w:r>
      <w:r w:rsidR="00B64D59" w:rsidRPr="00C93FB6">
        <w:rPr>
          <w:rFonts w:hint="eastAsia"/>
        </w:rPr>
        <w:t>「</w:t>
      </w:r>
      <w:r w:rsidR="00F03E8C" w:rsidRPr="00C93FB6">
        <w:rPr>
          <w:rFonts w:hint="eastAsia"/>
        </w:rPr>
        <w:t>1、</w:t>
      </w:r>
      <w:r w:rsidR="00F03E8C" w:rsidRPr="00C93FB6">
        <w:rPr>
          <w:rFonts w:hAnsi="標楷體" w:hint="eastAsia"/>
        </w:rPr>
        <w:t>因</w:t>
      </w:r>
      <w:r w:rsidR="00F03E8C" w:rsidRPr="00C93FB6">
        <w:rPr>
          <w:rFonts w:hint="eastAsia"/>
        </w:rPr>
        <w:t>新制實施前並無保全扣押制度，無法阻止當事人脫產，導致該等案件於判決確定後，地檢署執行無效果</w:t>
      </w:r>
      <w:r w:rsidR="00B64D59" w:rsidRPr="00C93FB6">
        <w:rPr>
          <w:rFonts w:hint="eastAsia"/>
        </w:rPr>
        <w:t>」</w:t>
      </w:r>
      <w:r w:rsidR="00A26388" w:rsidRPr="00C93FB6">
        <w:rPr>
          <w:rFonts w:hint="eastAsia"/>
        </w:rPr>
        <w:t>及</w:t>
      </w:r>
      <w:r w:rsidR="005A4E38" w:rsidRPr="00C93FB6">
        <w:rPr>
          <w:rFonts w:hint="eastAsia"/>
        </w:rPr>
        <w:t>「</w:t>
      </w:r>
      <w:r w:rsidR="007B0C93" w:rsidRPr="00C93FB6">
        <w:rPr>
          <w:rFonts w:hint="eastAsia"/>
        </w:rPr>
        <w:t>3</w:t>
      </w:r>
      <w:r w:rsidR="005A4E38" w:rsidRPr="00C93FB6">
        <w:rPr>
          <w:rFonts w:hint="eastAsia"/>
        </w:rPr>
        <w:t>、案件當事人自始即無所得或財產可供執行，或自始即已脫產或藏匿財產，導致保全扣押亦無效果」</w:t>
      </w:r>
      <w:r w:rsidR="00A26388" w:rsidRPr="00C93FB6">
        <w:rPr>
          <w:rFonts w:hint="eastAsia"/>
        </w:rPr>
        <w:t>之情況</w:t>
      </w:r>
      <w:r w:rsidR="00CD041B" w:rsidRPr="00C93FB6">
        <w:rPr>
          <w:rFonts w:hint="eastAsia"/>
        </w:rPr>
        <w:t>為多，</w:t>
      </w:r>
      <w:proofErr w:type="gramStart"/>
      <w:r w:rsidR="007B0C93" w:rsidRPr="00C93FB6">
        <w:rPr>
          <w:rFonts w:hint="eastAsia"/>
        </w:rPr>
        <w:t>爰</w:t>
      </w:r>
      <w:proofErr w:type="gramEnd"/>
      <w:r w:rsidR="007B0C93" w:rsidRPr="00C93FB6">
        <w:rPr>
          <w:rFonts w:hint="eastAsia"/>
        </w:rPr>
        <w:t>加強</w:t>
      </w:r>
      <w:r w:rsidR="00A26388" w:rsidRPr="00C93FB6">
        <w:rPr>
          <w:rFonts w:hint="eastAsia"/>
        </w:rPr>
        <w:t>新制實施後</w:t>
      </w:r>
      <w:proofErr w:type="gramStart"/>
      <w:r w:rsidR="007B0C93" w:rsidRPr="00C93FB6">
        <w:rPr>
          <w:rFonts w:hint="eastAsia"/>
        </w:rPr>
        <w:t>偵</w:t>
      </w:r>
      <w:proofErr w:type="gramEnd"/>
      <w:r w:rsidR="007B0C93" w:rsidRPr="00C93FB6">
        <w:rPr>
          <w:rFonts w:hint="eastAsia"/>
        </w:rPr>
        <w:t>審中保全扣</w:t>
      </w:r>
      <w:r w:rsidR="00CD041B" w:rsidRPr="00C93FB6">
        <w:rPr>
          <w:rFonts w:hint="eastAsia"/>
        </w:rPr>
        <w:t>押制度之辦理，確有必要；</w:t>
      </w:r>
      <w:r w:rsidR="005A4E38" w:rsidRPr="00C93FB6">
        <w:rPr>
          <w:rFonts w:hint="eastAsia"/>
        </w:rPr>
        <w:t>如能加強實施，當能大幅減少</w:t>
      </w:r>
      <w:r w:rsidR="00F03E8C" w:rsidRPr="00C93FB6">
        <w:rPr>
          <w:rFonts w:hint="eastAsia"/>
        </w:rPr>
        <w:t>前述(二)</w:t>
      </w:r>
      <w:r w:rsidR="00F03E8C" w:rsidRPr="00C93FB6">
        <w:rPr>
          <w:rFonts w:hAnsi="標楷體" w:hint="eastAsia"/>
        </w:rPr>
        <w:t>、</w:t>
      </w:r>
      <w:r w:rsidR="00F03E8C" w:rsidRPr="00C93FB6">
        <w:rPr>
          <w:rFonts w:hint="eastAsia"/>
        </w:rPr>
        <w:t>1</w:t>
      </w:r>
      <w:r w:rsidR="00A26388" w:rsidRPr="00C93FB6">
        <w:rPr>
          <w:rFonts w:hint="eastAsia"/>
        </w:rPr>
        <w:t>之情事</w:t>
      </w:r>
      <w:r w:rsidR="00285224" w:rsidRPr="00C93FB6">
        <w:rPr>
          <w:rFonts w:hint="eastAsia"/>
        </w:rPr>
        <w:t>，而使犯罪所得沒收追繳之執行率逐步提升</w:t>
      </w:r>
      <w:r w:rsidR="00A26388" w:rsidRPr="00C93FB6">
        <w:rPr>
          <w:rFonts w:hint="eastAsia"/>
        </w:rPr>
        <w:t>。</w:t>
      </w:r>
    </w:p>
    <w:p w:rsidR="00371B14" w:rsidRPr="00C93FB6" w:rsidRDefault="00371B14" w:rsidP="00371B14">
      <w:pPr>
        <w:pStyle w:val="a4"/>
      </w:pPr>
      <w:r w:rsidRPr="00C93FB6">
        <w:rPr>
          <w:rFonts w:hint="eastAsia"/>
        </w:rPr>
        <w:t>地檢署執行經法院判決確定應沒收犯罪所得未結案件分布情形</w:t>
      </w:r>
    </w:p>
    <w:p w:rsidR="00371B14" w:rsidRPr="00C93FB6" w:rsidRDefault="00371B14" w:rsidP="00371B14">
      <w:pPr>
        <w:jc w:val="center"/>
      </w:pPr>
      <w:r w:rsidRPr="00C93FB6">
        <w:rPr>
          <w:rFonts w:hint="eastAsia"/>
          <w:sz w:val="28"/>
        </w:rPr>
        <w:t>(89年7月至109年3月收案，截至109年3月底)</w:t>
      </w:r>
    </w:p>
    <w:p w:rsidR="00FA382C" w:rsidRPr="00C93FB6" w:rsidRDefault="00371B14" w:rsidP="00371B14">
      <w:pPr>
        <w:pStyle w:val="3"/>
        <w:numPr>
          <w:ilvl w:val="0"/>
          <w:numId w:val="0"/>
        </w:numPr>
        <w:spacing w:line="280" w:lineRule="exact"/>
        <w:ind w:left="1361"/>
        <w:jc w:val="right"/>
      </w:pPr>
      <w:r w:rsidRPr="00C93FB6">
        <w:rPr>
          <w:rFonts w:hint="eastAsia"/>
          <w:sz w:val="24"/>
        </w:rPr>
        <w:t>單位：件、萬元、%</w:t>
      </w:r>
    </w:p>
    <w:tbl>
      <w:tblPr>
        <w:tblStyle w:val="af7"/>
        <w:tblW w:w="5000" w:type="pct"/>
        <w:tblLook w:val="04A0" w:firstRow="1" w:lastRow="0" w:firstColumn="1" w:lastColumn="0" w:noHBand="0" w:noVBand="1"/>
      </w:tblPr>
      <w:tblGrid>
        <w:gridCol w:w="2620"/>
        <w:gridCol w:w="1408"/>
        <w:gridCol w:w="1408"/>
        <w:gridCol w:w="1700"/>
        <w:gridCol w:w="1698"/>
      </w:tblGrid>
      <w:tr w:rsidR="00FA382C" w:rsidRPr="00C93FB6" w:rsidTr="00A26388">
        <w:trPr>
          <w:tblHeader/>
        </w:trPr>
        <w:tc>
          <w:tcPr>
            <w:tcW w:w="1483" w:type="pct"/>
            <w:vMerge w:val="restart"/>
            <w:vAlign w:val="center"/>
          </w:tcPr>
          <w:p w:rsidR="00FA382C" w:rsidRPr="00C93FB6" w:rsidRDefault="00FA382C" w:rsidP="00FA382C">
            <w:pPr>
              <w:pStyle w:val="3"/>
              <w:numPr>
                <w:ilvl w:val="0"/>
                <w:numId w:val="0"/>
              </w:numPr>
              <w:jc w:val="center"/>
              <w:rPr>
                <w:sz w:val="28"/>
              </w:rPr>
            </w:pPr>
            <w:r w:rsidRPr="00C93FB6">
              <w:rPr>
                <w:rFonts w:hint="eastAsia"/>
                <w:sz w:val="28"/>
              </w:rPr>
              <w:lastRenderedPageBreak/>
              <w:t>進入執行科</w:t>
            </w:r>
          </w:p>
          <w:p w:rsidR="00FA382C" w:rsidRPr="00C93FB6" w:rsidRDefault="00FA382C" w:rsidP="00FA382C">
            <w:pPr>
              <w:pStyle w:val="3"/>
              <w:numPr>
                <w:ilvl w:val="0"/>
                <w:numId w:val="0"/>
              </w:numPr>
              <w:jc w:val="center"/>
              <w:rPr>
                <w:sz w:val="28"/>
              </w:rPr>
            </w:pPr>
            <w:r w:rsidRPr="00C93FB6">
              <w:rPr>
                <w:rFonts w:hint="eastAsia"/>
                <w:sz w:val="28"/>
              </w:rPr>
              <w:t>後迄今</w:t>
            </w:r>
          </w:p>
        </w:tc>
        <w:tc>
          <w:tcPr>
            <w:tcW w:w="1594" w:type="pct"/>
            <w:gridSpan w:val="2"/>
            <w:vAlign w:val="center"/>
          </w:tcPr>
          <w:p w:rsidR="00FA382C" w:rsidRPr="00C93FB6" w:rsidRDefault="00FA382C" w:rsidP="00FA382C">
            <w:pPr>
              <w:pStyle w:val="3"/>
              <w:numPr>
                <w:ilvl w:val="0"/>
                <w:numId w:val="0"/>
              </w:numPr>
              <w:jc w:val="center"/>
              <w:rPr>
                <w:sz w:val="28"/>
              </w:rPr>
            </w:pPr>
            <w:proofErr w:type="gramStart"/>
            <w:r w:rsidRPr="00C93FB6">
              <w:rPr>
                <w:rFonts w:hint="eastAsia"/>
                <w:sz w:val="28"/>
              </w:rPr>
              <w:t>未結件數</w:t>
            </w:r>
            <w:proofErr w:type="gramEnd"/>
          </w:p>
        </w:tc>
        <w:tc>
          <w:tcPr>
            <w:tcW w:w="1923" w:type="pct"/>
            <w:gridSpan w:val="2"/>
            <w:vAlign w:val="center"/>
          </w:tcPr>
          <w:p w:rsidR="00FA382C" w:rsidRPr="00C93FB6" w:rsidRDefault="00FA382C" w:rsidP="00FA382C">
            <w:pPr>
              <w:pStyle w:val="3"/>
              <w:numPr>
                <w:ilvl w:val="0"/>
                <w:numId w:val="0"/>
              </w:numPr>
              <w:jc w:val="center"/>
              <w:rPr>
                <w:sz w:val="28"/>
              </w:rPr>
            </w:pPr>
            <w:r w:rsidRPr="00C93FB6">
              <w:rPr>
                <w:rFonts w:hint="eastAsia"/>
                <w:sz w:val="28"/>
              </w:rPr>
              <w:t>未收金額</w:t>
            </w:r>
          </w:p>
        </w:tc>
      </w:tr>
      <w:tr w:rsidR="00FA382C" w:rsidRPr="00C93FB6" w:rsidTr="00A26388">
        <w:trPr>
          <w:tblHeader/>
        </w:trPr>
        <w:tc>
          <w:tcPr>
            <w:tcW w:w="1483" w:type="pct"/>
            <w:vMerge/>
          </w:tcPr>
          <w:p w:rsidR="00FA382C" w:rsidRPr="00C93FB6" w:rsidRDefault="00FA382C" w:rsidP="00FA382C">
            <w:pPr>
              <w:pStyle w:val="3"/>
              <w:numPr>
                <w:ilvl w:val="0"/>
                <w:numId w:val="0"/>
              </w:numPr>
              <w:jc w:val="center"/>
              <w:rPr>
                <w:sz w:val="28"/>
              </w:rPr>
            </w:pPr>
          </w:p>
        </w:tc>
        <w:tc>
          <w:tcPr>
            <w:tcW w:w="797" w:type="pct"/>
            <w:vAlign w:val="center"/>
          </w:tcPr>
          <w:p w:rsidR="00FA382C" w:rsidRPr="00C93FB6" w:rsidRDefault="00FA382C" w:rsidP="00FA382C">
            <w:pPr>
              <w:pStyle w:val="3"/>
              <w:numPr>
                <w:ilvl w:val="0"/>
                <w:numId w:val="0"/>
              </w:numPr>
              <w:jc w:val="center"/>
              <w:rPr>
                <w:sz w:val="28"/>
              </w:rPr>
            </w:pPr>
            <w:r w:rsidRPr="00C93FB6">
              <w:rPr>
                <w:rFonts w:hint="eastAsia"/>
                <w:sz w:val="28"/>
              </w:rPr>
              <w:t>件數</w:t>
            </w:r>
          </w:p>
        </w:tc>
        <w:tc>
          <w:tcPr>
            <w:tcW w:w="797" w:type="pct"/>
            <w:vAlign w:val="center"/>
          </w:tcPr>
          <w:p w:rsidR="00FA382C" w:rsidRPr="00C93FB6" w:rsidRDefault="00FA382C" w:rsidP="00FA382C">
            <w:pPr>
              <w:pStyle w:val="3"/>
              <w:numPr>
                <w:ilvl w:val="0"/>
                <w:numId w:val="0"/>
              </w:numPr>
              <w:jc w:val="center"/>
              <w:rPr>
                <w:sz w:val="28"/>
              </w:rPr>
            </w:pPr>
            <w:r w:rsidRPr="00C93FB6">
              <w:rPr>
                <w:rFonts w:hint="eastAsia"/>
                <w:sz w:val="28"/>
              </w:rPr>
              <w:t>占比</w:t>
            </w:r>
          </w:p>
        </w:tc>
        <w:tc>
          <w:tcPr>
            <w:tcW w:w="962" w:type="pct"/>
            <w:vAlign w:val="center"/>
          </w:tcPr>
          <w:p w:rsidR="00FA382C" w:rsidRPr="00C93FB6" w:rsidRDefault="00FA382C" w:rsidP="00FA382C">
            <w:pPr>
              <w:pStyle w:val="3"/>
              <w:numPr>
                <w:ilvl w:val="0"/>
                <w:numId w:val="0"/>
              </w:numPr>
              <w:jc w:val="center"/>
              <w:rPr>
                <w:sz w:val="28"/>
              </w:rPr>
            </w:pPr>
            <w:r w:rsidRPr="00C93FB6">
              <w:rPr>
                <w:rFonts w:hint="eastAsia"/>
                <w:sz w:val="28"/>
              </w:rPr>
              <w:t>金額</w:t>
            </w:r>
          </w:p>
        </w:tc>
        <w:tc>
          <w:tcPr>
            <w:tcW w:w="961" w:type="pct"/>
            <w:vAlign w:val="center"/>
          </w:tcPr>
          <w:p w:rsidR="00FA382C" w:rsidRPr="00C93FB6" w:rsidRDefault="00FA382C" w:rsidP="00FA382C">
            <w:pPr>
              <w:pStyle w:val="3"/>
              <w:numPr>
                <w:ilvl w:val="0"/>
                <w:numId w:val="0"/>
              </w:numPr>
              <w:jc w:val="center"/>
              <w:rPr>
                <w:sz w:val="28"/>
              </w:rPr>
            </w:pPr>
            <w:r w:rsidRPr="00C93FB6">
              <w:rPr>
                <w:rFonts w:hint="eastAsia"/>
                <w:sz w:val="28"/>
              </w:rPr>
              <w:t>占比</w:t>
            </w:r>
          </w:p>
        </w:tc>
      </w:tr>
      <w:tr w:rsidR="00FA382C" w:rsidRPr="00C93FB6" w:rsidTr="00FA382C">
        <w:tc>
          <w:tcPr>
            <w:tcW w:w="1483" w:type="pct"/>
            <w:vAlign w:val="center"/>
          </w:tcPr>
          <w:p w:rsidR="00FA382C" w:rsidRPr="00C93FB6" w:rsidRDefault="00FA382C" w:rsidP="00FA382C">
            <w:pPr>
              <w:pStyle w:val="3"/>
              <w:numPr>
                <w:ilvl w:val="0"/>
                <w:numId w:val="0"/>
              </w:numPr>
              <w:rPr>
                <w:spacing w:val="-20"/>
                <w:sz w:val="28"/>
              </w:rPr>
            </w:pPr>
            <w:r w:rsidRPr="00C93FB6">
              <w:rPr>
                <w:rFonts w:hint="eastAsia"/>
                <w:spacing w:val="-20"/>
                <w:sz w:val="28"/>
              </w:rPr>
              <w:t>迄未逾6個月</w:t>
            </w:r>
          </w:p>
        </w:tc>
        <w:tc>
          <w:tcPr>
            <w:tcW w:w="797" w:type="pct"/>
            <w:vAlign w:val="center"/>
          </w:tcPr>
          <w:p w:rsidR="00FA382C" w:rsidRPr="00C93FB6" w:rsidRDefault="00FA382C" w:rsidP="00FA382C">
            <w:pPr>
              <w:widowControl/>
              <w:overflowPunct/>
              <w:autoSpaceDE/>
              <w:autoSpaceDN/>
              <w:jc w:val="right"/>
              <w:rPr>
                <w:rFonts w:ascii="新細明體" w:eastAsia="新細明體"/>
                <w:kern w:val="0"/>
                <w:sz w:val="28"/>
              </w:rPr>
            </w:pPr>
            <w:r w:rsidRPr="00C93FB6">
              <w:rPr>
                <w:rFonts w:hint="eastAsia"/>
                <w:sz w:val="28"/>
              </w:rPr>
              <w:t>5,636</w:t>
            </w:r>
          </w:p>
        </w:tc>
        <w:tc>
          <w:tcPr>
            <w:tcW w:w="797" w:type="pct"/>
            <w:vAlign w:val="center"/>
          </w:tcPr>
          <w:p w:rsidR="00FA382C" w:rsidRPr="00C93FB6" w:rsidRDefault="00FA382C" w:rsidP="00FA382C">
            <w:pPr>
              <w:jc w:val="right"/>
              <w:rPr>
                <w:sz w:val="28"/>
              </w:rPr>
            </w:pPr>
            <w:r w:rsidRPr="00C93FB6">
              <w:rPr>
                <w:rFonts w:hint="eastAsia"/>
                <w:sz w:val="28"/>
              </w:rPr>
              <w:t>18.6%</w:t>
            </w:r>
          </w:p>
        </w:tc>
        <w:tc>
          <w:tcPr>
            <w:tcW w:w="962" w:type="pct"/>
            <w:vAlign w:val="center"/>
          </w:tcPr>
          <w:p w:rsidR="00FA382C" w:rsidRPr="00C93FB6" w:rsidRDefault="00FA382C" w:rsidP="00FA382C">
            <w:pPr>
              <w:jc w:val="right"/>
              <w:rPr>
                <w:sz w:val="28"/>
              </w:rPr>
            </w:pPr>
            <w:r w:rsidRPr="00C93FB6">
              <w:rPr>
                <w:rFonts w:hint="eastAsia"/>
                <w:sz w:val="28"/>
              </w:rPr>
              <w:t>519,932</w:t>
            </w:r>
          </w:p>
        </w:tc>
        <w:tc>
          <w:tcPr>
            <w:tcW w:w="961" w:type="pct"/>
            <w:vAlign w:val="center"/>
          </w:tcPr>
          <w:p w:rsidR="00FA382C" w:rsidRPr="00C93FB6" w:rsidRDefault="00FA382C" w:rsidP="00FA382C">
            <w:pPr>
              <w:jc w:val="right"/>
              <w:rPr>
                <w:sz w:val="28"/>
              </w:rPr>
            </w:pPr>
            <w:r w:rsidRPr="00C93FB6">
              <w:rPr>
                <w:rFonts w:hint="eastAsia"/>
                <w:sz w:val="28"/>
              </w:rPr>
              <w:t>13.9%</w:t>
            </w:r>
          </w:p>
        </w:tc>
      </w:tr>
      <w:tr w:rsidR="00FA382C" w:rsidRPr="00C93FB6" w:rsidTr="00FA382C">
        <w:tc>
          <w:tcPr>
            <w:tcW w:w="1483" w:type="pct"/>
            <w:vAlign w:val="center"/>
          </w:tcPr>
          <w:p w:rsidR="00FA382C" w:rsidRPr="00C93FB6" w:rsidRDefault="00FA382C" w:rsidP="00FA382C">
            <w:pPr>
              <w:pStyle w:val="3"/>
              <w:numPr>
                <w:ilvl w:val="0"/>
                <w:numId w:val="0"/>
              </w:numPr>
              <w:rPr>
                <w:sz w:val="28"/>
              </w:rPr>
            </w:pPr>
            <w:r w:rsidRPr="00C93FB6">
              <w:rPr>
                <w:rFonts w:hint="eastAsia"/>
                <w:sz w:val="28"/>
              </w:rPr>
              <w:t>已逾6個月未逾2年</w:t>
            </w:r>
          </w:p>
        </w:tc>
        <w:tc>
          <w:tcPr>
            <w:tcW w:w="797" w:type="pct"/>
            <w:vAlign w:val="center"/>
          </w:tcPr>
          <w:p w:rsidR="00FA382C" w:rsidRPr="00C93FB6" w:rsidRDefault="00FA382C" w:rsidP="00FA382C">
            <w:pPr>
              <w:jc w:val="right"/>
              <w:rPr>
                <w:sz w:val="28"/>
              </w:rPr>
            </w:pPr>
            <w:r w:rsidRPr="00C93FB6">
              <w:rPr>
                <w:rFonts w:hint="eastAsia"/>
                <w:sz w:val="28"/>
              </w:rPr>
              <w:t>13,620</w:t>
            </w:r>
          </w:p>
        </w:tc>
        <w:tc>
          <w:tcPr>
            <w:tcW w:w="797" w:type="pct"/>
            <w:vAlign w:val="center"/>
          </w:tcPr>
          <w:p w:rsidR="00FA382C" w:rsidRPr="00C93FB6" w:rsidRDefault="00FA382C" w:rsidP="00FA382C">
            <w:pPr>
              <w:jc w:val="right"/>
              <w:rPr>
                <w:sz w:val="28"/>
              </w:rPr>
            </w:pPr>
            <w:r w:rsidRPr="00C93FB6">
              <w:rPr>
                <w:rFonts w:hint="eastAsia"/>
                <w:sz w:val="28"/>
              </w:rPr>
              <w:t>45.0%</w:t>
            </w:r>
          </w:p>
        </w:tc>
        <w:tc>
          <w:tcPr>
            <w:tcW w:w="962" w:type="pct"/>
            <w:vAlign w:val="center"/>
          </w:tcPr>
          <w:p w:rsidR="00FA382C" w:rsidRPr="00C93FB6" w:rsidRDefault="00FA382C" w:rsidP="00FA382C">
            <w:pPr>
              <w:jc w:val="right"/>
              <w:rPr>
                <w:sz w:val="28"/>
              </w:rPr>
            </w:pPr>
            <w:r w:rsidRPr="00C93FB6">
              <w:rPr>
                <w:rFonts w:hint="eastAsia"/>
                <w:sz w:val="28"/>
              </w:rPr>
              <w:t>2,020,628</w:t>
            </w:r>
          </w:p>
        </w:tc>
        <w:tc>
          <w:tcPr>
            <w:tcW w:w="961" w:type="pct"/>
            <w:vAlign w:val="center"/>
          </w:tcPr>
          <w:p w:rsidR="00FA382C" w:rsidRPr="00C93FB6" w:rsidRDefault="00FA382C" w:rsidP="00FA382C">
            <w:pPr>
              <w:jc w:val="right"/>
              <w:rPr>
                <w:sz w:val="28"/>
              </w:rPr>
            </w:pPr>
            <w:r w:rsidRPr="00C93FB6">
              <w:rPr>
                <w:rFonts w:hint="eastAsia"/>
                <w:sz w:val="28"/>
              </w:rPr>
              <w:t>54.2%</w:t>
            </w:r>
          </w:p>
        </w:tc>
      </w:tr>
      <w:tr w:rsidR="00FA382C" w:rsidRPr="00C93FB6" w:rsidTr="00FA382C">
        <w:tc>
          <w:tcPr>
            <w:tcW w:w="1483" w:type="pct"/>
            <w:vAlign w:val="center"/>
          </w:tcPr>
          <w:p w:rsidR="00FA382C" w:rsidRPr="00C93FB6" w:rsidRDefault="00FA382C" w:rsidP="00FA382C">
            <w:pPr>
              <w:pStyle w:val="3"/>
              <w:numPr>
                <w:ilvl w:val="0"/>
                <w:numId w:val="0"/>
              </w:numPr>
              <w:rPr>
                <w:sz w:val="28"/>
              </w:rPr>
            </w:pPr>
            <w:r w:rsidRPr="00C93FB6">
              <w:rPr>
                <w:rFonts w:hint="eastAsia"/>
                <w:sz w:val="28"/>
              </w:rPr>
              <w:t>已逾2年未逾5年</w:t>
            </w:r>
          </w:p>
        </w:tc>
        <w:tc>
          <w:tcPr>
            <w:tcW w:w="797" w:type="pct"/>
            <w:vAlign w:val="center"/>
          </w:tcPr>
          <w:p w:rsidR="00FA382C" w:rsidRPr="00C93FB6" w:rsidRDefault="00371B14" w:rsidP="00FA382C">
            <w:pPr>
              <w:jc w:val="right"/>
              <w:rPr>
                <w:sz w:val="28"/>
              </w:rPr>
            </w:pPr>
            <w:r w:rsidRPr="00C93FB6">
              <w:rPr>
                <w:rFonts w:hint="eastAsia"/>
                <w:sz w:val="28"/>
              </w:rPr>
              <w:t>9,748</w:t>
            </w:r>
          </w:p>
        </w:tc>
        <w:tc>
          <w:tcPr>
            <w:tcW w:w="797" w:type="pct"/>
            <w:vAlign w:val="center"/>
          </w:tcPr>
          <w:p w:rsidR="00FA382C" w:rsidRPr="00C93FB6" w:rsidRDefault="00FA382C" w:rsidP="00FA382C">
            <w:pPr>
              <w:jc w:val="right"/>
              <w:rPr>
                <w:sz w:val="28"/>
              </w:rPr>
            </w:pPr>
            <w:r w:rsidRPr="00C93FB6">
              <w:rPr>
                <w:rFonts w:hint="eastAsia"/>
                <w:sz w:val="28"/>
              </w:rPr>
              <w:t>32.2%</w:t>
            </w:r>
          </w:p>
        </w:tc>
        <w:tc>
          <w:tcPr>
            <w:tcW w:w="962" w:type="pct"/>
            <w:vAlign w:val="center"/>
          </w:tcPr>
          <w:p w:rsidR="00FA382C" w:rsidRPr="00C93FB6" w:rsidRDefault="00FA382C" w:rsidP="00FA382C">
            <w:pPr>
              <w:jc w:val="right"/>
              <w:rPr>
                <w:sz w:val="28"/>
              </w:rPr>
            </w:pPr>
            <w:r w:rsidRPr="00C93FB6">
              <w:rPr>
                <w:rFonts w:hint="eastAsia"/>
                <w:sz w:val="28"/>
              </w:rPr>
              <w:t>1,004,336</w:t>
            </w:r>
          </w:p>
        </w:tc>
        <w:tc>
          <w:tcPr>
            <w:tcW w:w="961" w:type="pct"/>
            <w:vAlign w:val="center"/>
          </w:tcPr>
          <w:p w:rsidR="00FA382C" w:rsidRPr="00C93FB6" w:rsidRDefault="00FA382C" w:rsidP="00FA382C">
            <w:pPr>
              <w:jc w:val="right"/>
              <w:rPr>
                <w:sz w:val="28"/>
              </w:rPr>
            </w:pPr>
            <w:r w:rsidRPr="00C93FB6">
              <w:rPr>
                <w:rFonts w:hint="eastAsia"/>
                <w:sz w:val="28"/>
              </w:rPr>
              <w:t>26.9%</w:t>
            </w:r>
          </w:p>
        </w:tc>
      </w:tr>
      <w:tr w:rsidR="00FA382C" w:rsidRPr="00C93FB6" w:rsidTr="00FA382C">
        <w:tc>
          <w:tcPr>
            <w:tcW w:w="1483" w:type="pct"/>
            <w:vAlign w:val="center"/>
          </w:tcPr>
          <w:p w:rsidR="00FA382C" w:rsidRPr="00C93FB6" w:rsidRDefault="00FA382C" w:rsidP="00FA382C">
            <w:pPr>
              <w:pStyle w:val="3"/>
              <w:numPr>
                <w:ilvl w:val="0"/>
                <w:numId w:val="0"/>
              </w:numPr>
              <w:rPr>
                <w:sz w:val="28"/>
              </w:rPr>
            </w:pPr>
            <w:r w:rsidRPr="00C93FB6">
              <w:rPr>
                <w:rFonts w:hint="eastAsia"/>
                <w:sz w:val="28"/>
              </w:rPr>
              <w:t>已逾5年</w:t>
            </w:r>
          </w:p>
        </w:tc>
        <w:tc>
          <w:tcPr>
            <w:tcW w:w="797" w:type="pct"/>
            <w:vAlign w:val="center"/>
          </w:tcPr>
          <w:p w:rsidR="00FA382C" w:rsidRPr="00C93FB6" w:rsidRDefault="00FA382C" w:rsidP="00FA382C">
            <w:pPr>
              <w:jc w:val="right"/>
              <w:rPr>
                <w:sz w:val="28"/>
              </w:rPr>
            </w:pPr>
            <w:r w:rsidRPr="00C93FB6">
              <w:rPr>
                <w:rFonts w:hint="eastAsia"/>
                <w:sz w:val="28"/>
              </w:rPr>
              <w:t>1,230</w:t>
            </w:r>
          </w:p>
        </w:tc>
        <w:tc>
          <w:tcPr>
            <w:tcW w:w="797" w:type="pct"/>
            <w:vAlign w:val="center"/>
          </w:tcPr>
          <w:p w:rsidR="00FA382C" w:rsidRPr="00C93FB6" w:rsidRDefault="00FA382C" w:rsidP="00FA382C">
            <w:pPr>
              <w:jc w:val="right"/>
              <w:rPr>
                <w:sz w:val="28"/>
              </w:rPr>
            </w:pPr>
            <w:r w:rsidRPr="00C93FB6">
              <w:rPr>
                <w:rFonts w:hint="eastAsia"/>
                <w:sz w:val="28"/>
              </w:rPr>
              <w:t>4.1%</w:t>
            </w:r>
          </w:p>
        </w:tc>
        <w:tc>
          <w:tcPr>
            <w:tcW w:w="962" w:type="pct"/>
            <w:vAlign w:val="center"/>
          </w:tcPr>
          <w:p w:rsidR="00FA382C" w:rsidRPr="00C93FB6" w:rsidRDefault="00FA382C" w:rsidP="00FA382C">
            <w:pPr>
              <w:jc w:val="right"/>
              <w:rPr>
                <w:sz w:val="28"/>
              </w:rPr>
            </w:pPr>
            <w:r w:rsidRPr="00C93FB6">
              <w:rPr>
                <w:rFonts w:hint="eastAsia"/>
                <w:sz w:val="28"/>
              </w:rPr>
              <w:t>182,587</w:t>
            </w:r>
          </w:p>
        </w:tc>
        <w:tc>
          <w:tcPr>
            <w:tcW w:w="961" w:type="pct"/>
            <w:vAlign w:val="center"/>
          </w:tcPr>
          <w:p w:rsidR="00FA382C" w:rsidRPr="00C93FB6" w:rsidRDefault="00FA382C" w:rsidP="00FA382C">
            <w:pPr>
              <w:jc w:val="right"/>
              <w:rPr>
                <w:sz w:val="28"/>
              </w:rPr>
            </w:pPr>
            <w:r w:rsidRPr="00C93FB6">
              <w:rPr>
                <w:rFonts w:hint="eastAsia"/>
                <w:sz w:val="28"/>
              </w:rPr>
              <w:t>4.9%</w:t>
            </w:r>
          </w:p>
        </w:tc>
      </w:tr>
      <w:tr w:rsidR="00FA382C" w:rsidRPr="00C93FB6" w:rsidTr="00FA382C">
        <w:tc>
          <w:tcPr>
            <w:tcW w:w="1483" w:type="pct"/>
            <w:vAlign w:val="center"/>
          </w:tcPr>
          <w:p w:rsidR="00FA382C" w:rsidRPr="00C93FB6" w:rsidRDefault="00FA382C" w:rsidP="00FA382C">
            <w:pPr>
              <w:pStyle w:val="3"/>
              <w:numPr>
                <w:ilvl w:val="0"/>
                <w:numId w:val="0"/>
              </w:numPr>
              <w:jc w:val="center"/>
              <w:rPr>
                <w:sz w:val="28"/>
              </w:rPr>
            </w:pPr>
            <w:r w:rsidRPr="00C93FB6">
              <w:rPr>
                <w:rFonts w:hint="eastAsia"/>
                <w:sz w:val="28"/>
              </w:rPr>
              <w:t>總計</w:t>
            </w:r>
          </w:p>
        </w:tc>
        <w:tc>
          <w:tcPr>
            <w:tcW w:w="797" w:type="pct"/>
            <w:vAlign w:val="center"/>
          </w:tcPr>
          <w:p w:rsidR="00FA382C" w:rsidRPr="00C93FB6" w:rsidRDefault="00FA382C" w:rsidP="00FA382C">
            <w:pPr>
              <w:jc w:val="right"/>
              <w:rPr>
                <w:sz w:val="28"/>
              </w:rPr>
            </w:pPr>
            <w:r w:rsidRPr="00C93FB6">
              <w:rPr>
                <w:rFonts w:hint="eastAsia"/>
                <w:sz w:val="28"/>
              </w:rPr>
              <w:t>30,234</w:t>
            </w:r>
          </w:p>
        </w:tc>
        <w:tc>
          <w:tcPr>
            <w:tcW w:w="797" w:type="pct"/>
            <w:vAlign w:val="center"/>
          </w:tcPr>
          <w:p w:rsidR="00FA382C" w:rsidRPr="00C93FB6" w:rsidRDefault="00FA382C" w:rsidP="00FA382C">
            <w:pPr>
              <w:jc w:val="right"/>
              <w:rPr>
                <w:sz w:val="28"/>
              </w:rPr>
            </w:pPr>
            <w:r w:rsidRPr="00C93FB6">
              <w:rPr>
                <w:rFonts w:hint="eastAsia"/>
                <w:sz w:val="28"/>
              </w:rPr>
              <w:t>100.0%</w:t>
            </w:r>
          </w:p>
        </w:tc>
        <w:tc>
          <w:tcPr>
            <w:tcW w:w="962" w:type="pct"/>
            <w:vAlign w:val="center"/>
          </w:tcPr>
          <w:p w:rsidR="00FA382C" w:rsidRPr="00C93FB6" w:rsidRDefault="00FA382C" w:rsidP="00FA382C">
            <w:pPr>
              <w:jc w:val="right"/>
              <w:rPr>
                <w:sz w:val="28"/>
              </w:rPr>
            </w:pPr>
            <w:r w:rsidRPr="00C93FB6">
              <w:rPr>
                <w:rFonts w:hint="eastAsia"/>
                <w:sz w:val="28"/>
              </w:rPr>
              <w:t>3,727,483</w:t>
            </w:r>
          </w:p>
        </w:tc>
        <w:tc>
          <w:tcPr>
            <w:tcW w:w="961" w:type="pct"/>
            <w:vAlign w:val="center"/>
          </w:tcPr>
          <w:p w:rsidR="00FA382C" w:rsidRPr="00C93FB6" w:rsidRDefault="00FA382C" w:rsidP="00FA382C">
            <w:pPr>
              <w:jc w:val="right"/>
              <w:rPr>
                <w:sz w:val="28"/>
              </w:rPr>
            </w:pPr>
            <w:r w:rsidRPr="00C93FB6">
              <w:rPr>
                <w:rFonts w:hint="eastAsia"/>
                <w:sz w:val="28"/>
              </w:rPr>
              <w:t>100.0%</w:t>
            </w:r>
          </w:p>
        </w:tc>
      </w:tr>
    </w:tbl>
    <w:p w:rsidR="00FA382C" w:rsidRPr="00C93FB6" w:rsidRDefault="00371B14" w:rsidP="00371B14">
      <w:pPr>
        <w:pStyle w:val="3"/>
        <w:numPr>
          <w:ilvl w:val="0"/>
          <w:numId w:val="0"/>
        </w:numPr>
      </w:pPr>
      <w:r w:rsidRPr="00C93FB6">
        <w:rPr>
          <w:rFonts w:hint="eastAsia"/>
          <w:sz w:val="24"/>
        </w:rPr>
        <w:t>資料來源：法務部。</w:t>
      </w:r>
    </w:p>
    <w:p w:rsidR="001C70EA" w:rsidRPr="00C93FB6" w:rsidRDefault="001C70EA" w:rsidP="001C70EA">
      <w:pPr>
        <w:pStyle w:val="3"/>
      </w:pPr>
      <w:proofErr w:type="gramStart"/>
      <w:r w:rsidRPr="00C93FB6">
        <w:rPr>
          <w:rFonts w:hint="eastAsia"/>
        </w:rPr>
        <w:t>偵</w:t>
      </w:r>
      <w:proofErr w:type="gramEnd"/>
      <w:r w:rsidRPr="00C93FB6">
        <w:rPr>
          <w:rFonts w:hint="eastAsia"/>
        </w:rPr>
        <w:t>審中聲請保全扣押犯罪所得之情形：</w:t>
      </w:r>
    </w:p>
    <w:p w:rsidR="001C70EA" w:rsidRPr="00C93FB6" w:rsidRDefault="001C70EA" w:rsidP="001C70EA">
      <w:pPr>
        <w:pStyle w:val="4"/>
      </w:pPr>
      <w:r w:rsidRPr="00C93FB6">
        <w:rPr>
          <w:rFonts w:hint="eastAsia"/>
        </w:rPr>
        <w:t>依法務部函復，105年至108年</w:t>
      </w:r>
      <w:proofErr w:type="gramStart"/>
      <w:r w:rsidRPr="00C93FB6">
        <w:rPr>
          <w:rFonts w:hint="eastAsia"/>
        </w:rPr>
        <w:t>偵</w:t>
      </w:r>
      <w:proofErr w:type="gramEnd"/>
      <w:r w:rsidRPr="00C93FB6">
        <w:rPr>
          <w:rFonts w:hint="eastAsia"/>
        </w:rPr>
        <w:t>審中查扣案件，終結件數為3,574件、2,525件、3,091件、3,494件，金額為28億4</w:t>
      </w:r>
      <w:r w:rsidRPr="00C93FB6">
        <w:t>,</w:t>
      </w:r>
      <w:r w:rsidRPr="00C93FB6">
        <w:rPr>
          <w:rFonts w:hint="eastAsia"/>
        </w:rPr>
        <w:t>953萬餘元、54億1</w:t>
      </w:r>
      <w:r w:rsidRPr="00C93FB6">
        <w:t>,768</w:t>
      </w:r>
      <w:r w:rsidRPr="00C93FB6">
        <w:rPr>
          <w:rFonts w:hint="eastAsia"/>
        </w:rPr>
        <w:t>萬餘元、13億8,427萬餘元及15億2,432萬餘元，如表5。</w:t>
      </w:r>
    </w:p>
    <w:p w:rsidR="001C70EA" w:rsidRPr="00C93FB6" w:rsidRDefault="001C70EA" w:rsidP="00CE2AE0">
      <w:pPr>
        <w:pStyle w:val="4"/>
      </w:pPr>
      <w:r w:rsidRPr="00C93FB6">
        <w:rPr>
          <w:rFonts w:hint="eastAsia"/>
        </w:rPr>
        <w:t>有關偵查中向法院聲請核發扣押裁定情形、偵查中查扣案件情形及占比</w:t>
      </w:r>
      <w:r w:rsidR="00CE2AE0" w:rsidRPr="00C93FB6">
        <w:rPr>
          <w:rFonts w:hint="eastAsia"/>
        </w:rPr>
        <w:t>等資料</w:t>
      </w:r>
      <w:r w:rsidRPr="00C93FB6">
        <w:rPr>
          <w:rFonts w:hint="eastAsia"/>
        </w:rPr>
        <w:t>，</w:t>
      </w:r>
      <w:proofErr w:type="gramStart"/>
      <w:r w:rsidRPr="00C93FB6">
        <w:rPr>
          <w:rFonts w:hint="eastAsia"/>
        </w:rPr>
        <w:t>詢</w:t>
      </w:r>
      <w:proofErr w:type="gramEnd"/>
      <w:r w:rsidRPr="00C93FB6">
        <w:rPr>
          <w:rFonts w:hint="eastAsia"/>
        </w:rPr>
        <w:t>據法務部表示，該部系統並未蒐集此類資料，無法提供</w:t>
      </w:r>
      <w:r w:rsidR="00CE2AE0" w:rsidRPr="00C93FB6">
        <w:rPr>
          <w:rFonts w:hint="eastAsia"/>
        </w:rPr>
        <w:t>。</w:t>
      </w:r>
      <w:proofErr w:type="gramStart"/>
      <w:r w:rsidR="00CE2AE0" w:rsidRPr="00C93FB6">
        <w:rPr>
          <w:rFonts w:hint="eastAsia"/>
        </w:rPr>
        <w:t>爰</w:t>
      </w:r>
      <w:proofErr w:type="gramEnd"/>
      <w:r w:rsidR="00CE2AE0" w:rsidRPr="00C93FB6">
        <w:rPr>
          <w:rFonts w:hint="eastAsia"/>
        </w:rPr>
        <w:t>僅就相較於各年度經法院判決確定應沒收犯罪所得件數及金額之規模觀</w:t>
      </w:r>
      <w:r w:rsidRPr="00C93FB6">
        <w:rPr>
          <w:rFonts w:hint="eastAsia"/>
        </w:rPr>
        <w:t>之，105年(7至12月)至108年各年度件數占比為76.7%、15.4%、19.2%、21.2%，金額占比為185.2%、62.4%、12.3%、9.2%，如表6。</w:t>
      </w:r>
    </w:p>
    <w:p w:rsidR="001C70EA" w:rsidRPr="00C93FB6" w:rsidRDefault="001D0EA6" w:rsidP="001C70EA">
      <w:pPr>
        <w:pStyle w:val="a4"/>
      </w:pPr>
      <w:r w:rsidRPr="00C93FB6">
        <w:rPr>
          <w:rFonts w:hAnsi="標楷體" w:hint="eastAsia"/>
        </w:rPr>
        <w:t>地檢</w:t>
      </w:r>
      <w:r w:rsidR="001C70EA" w:rsidRPr="00C93FB6">
        <w:rPr>
          <w:rFonts w:hAnsi="標楷體" w:hint="eastAsia"/>
        </w:rPr>
        <w:t>署辦理</w:t>
      </w:r>
      <w:proofErr w:type="gramStart"/>
      <w:r w:rsidR="001C70EA" w:rsidRPr="00C93FB6">
        <w:rPr>
          <w:rFonts w:hAnsi="標楷體" w:hint="eastAsia"/>
        </w:rPr>
        <w:t>偵</w:t>
      </w:r>
      <w:proofErr w:type="gramEnd"/>
      <w:r w:rsidR="001C70EA" w:rsidRPr="00C93FB6">
        <w:rPr>
          <w:rFonts w:hAnsi="標楷體" w:hint="eastAsia"/>
        </w:rPr>
        <w:t>審中查扣案件統計表</w:t>
      </w:r>
    </w:p>
    <w:p w:rsidR="001C70EA" w:rsidRPr="00C93FB6" w:rsidRDefault="001C70EA" w:rsidP="001C70EA">
      <w:pPr>
        <w:spacing w:line="280" w:lineRule="exact"/>
        <w:jc w:val="right"/>
      </w:pPr>
      <w:r w:rsidRPr="00C93FB6">
        <w:rPr>
          <w:rFonts w:hint="eastAsia"/>
          <w:sz w:val="24"/>
        </w:rPr>
        <w:t>單位：件、萬元</w:t>
      </w:r>
    </w:p>
    <w:tbl>
      <w:tblPr>
        <w:tblStyle w:val="af7"/>
        <w:tblW w:w="5000" w:type="pct"/>
        <w:tblLook w:val="04A0" w:firstRow="1" w:lastRow="0" w:firstColumn="1" w:lastColumn="0" w:noHBand="0" w:noVBand="1"/>
      </w:tblPr>
      <w:tblGrid>
        <w:gridCol w:w="2020"/>
        <w:gridCol w:w="1703"/>
        <w:gridCol w:w="1703"/>
        <w:gridCol w:w="1703"/>
        <w:gridCol w:w="1705"/>
      </w:tblGrid>
      <w:tr w:rsidR="001C70EA" w:rsidRPr="00C93FB6" w:rsidTr="00507D1A">
        <w:trPr>
          <w:trHeight w:val="340"/>
          <w:tblHeader/>
        </w:trPr>
        <w:tc>
          <w:tcPr>
            <w:tcW w:w="1143" w:type="pct"/>
            <w:noWrap/>
            <w:hideMark/>
          </w:tcPr>
          <w:p w:rsidR="001C70EA" w:rsidRPr="00C93FB6" w:rsidRDefault="001C70EA" w:rsidP="005D1DC1">
            <w:pPr>
              <w:widowControl/>
              <w:overflowPunct/>
              <w:autoSpaceDE/>
              <w:autoSpaceDN/>
              <w:jc w:val="center"/>
              <w:rPr>
                <w:rFonts w:hAnsi="標楷體" w:cs="新細明體"/>
                <w:kern w:val="0"/>
                <w:sz w:val="28"/>
                <w:szCs w:val="28"/>
              </w:rPr>
            </w:pPr>
            <w:r w:rsidRPr="00C93FB6">
              <w:rPr>
                <w:rFonts w:hAnsi="標楷體" w:cs="新細明體" w:hint="eastAsia"/>
                <w:kern w:val="0"/>
                <w:sz w:val="28"/>
                <w:szCs w:val="28"/>
              </w:rPr>
              <w:t>項目</w:t>
            </w:r>
          </w:p>
        </w:tc>
        <w:tc>
          <w:tcPr>
            <w:tcW w:w="964" w:type="pct"/>
            <w:noWrap/>
            <w:hideMark/>
          </w:tcPr>
          <w:p w:rsidR="001C70EA" w:rsidRPr="00C93FB6" w:rsidRDefault="001C70EA" w:rsidP="00507D1A">
            <w:pPr>
              <w:widowControl/>
              <w:overflowPunct/>
              <w:autoSpaceDE/>
              <w:autoSpaceDN/>
              <w:jc w:val="center"/>
              <w:rPr>
                <w:rFonts w:hAnsi="標楷體" w:cs="新細明體"/>
                <w:kern w:val="0"/>
                <w:sz w:val="28"/>
                <w:szCs w:val="28"/>
              </w:rPr>
            </w:pPr>
            <w:r w:rsidRPr="00C93FB6">
              <w:rPr>
                <w:rFonts w:hAnsi="標楷體" w:cs="新細明體" w:hint="eastAsia"/>
                <w:kern w:val="0"/>
                <w:sz w:val="28"/>
                <w:szCs w:val="28"/>
              </w:rPr>
              <w:t>105年</w:t>
            </w:r>
          </w:p>
        </w:tc>
        <w:tc>
          <w:tcPr>
            <w:tcW w:w="964" w:type="pct"/>
            <w:noWrap/>
            <w:hideMark/>
          </w:tcPr>
          <w:p w:rsidR="001C70EA" w:rsidRPr="00C93FB6" w:rsidRDefault="001C70EA" w:rsidP="00507D1A">
            <w:pPr>
              <w:widowControl/>
              <w:overflowPunct/>
              <w:autoSpaceDE/>
              <w:autoSpaceDN/>
              <w:jc w:val="center"/>
              <w:rPr>
                <w:rFonts w:hAnsi="標楷體" w:cs="新細明體"/>
                <w:kern w:val="0"/>
                <w:sz w:val="28"/>
                <w:szCs w:val="28"/>
              </w:rPr>
            </w:pPr>
            <w:r w:rsidRPr="00C93FB6">
              <w:rPr>
                <w:rFonts w:hAnsi="標楷體" w:cs="新細明體" w:hint="eastAsia"/>
                <w:kern w:val="0"/>
                <w:sz w:val="28"/>
                <w:szCs w:val="28"/>
              </w:rPr>
              <w:t>106年</w:t>
            </w:r>
          </w:p>
        </w:tc>
        <w:tc>
          <w:tcPr>
            <w:tcW w:w="964" w:type="pct"/>
            <w:noWrap/>
            <w:hideMark/>
          </w:tcPr>
          <w:p w:rsidR="001C70EA" w:rsidRPr="00C93FB6" w:rsidRDefault="001C70EA" w:rsidP="00507D1A">
            <w:pPr>
              <w:widowControl/>
              <w:overflowPunct/>
              <w:autoSpaceDE/>
              <w:autoSpaceDN/>
              <w:jc w:val="center"/>
              <w:rPr>
                <w:rFonts w:hAnsi="標楷體" w:cs="新細明體"/>
                <w:kern w:val="0"/>
                <w:sz w:val="28"/>
                <w:szCs w:val="28"/>
              </w:rPr>
            </w:pPr>
            <w:r w:rsidRPr="00C93FB6">
              <w:rPr>
                <w:rFonts w:hAnsi="標楷體" w:cs="新細明體" w:hint="eastAsia"/>
                <w:kern w:val="0"/>
                <w:sz w:val="28"/>
                <w:szCs w:val="28"/>
              </w:rPr>
              <w:t>107年</w:t>
            </w:r>
          </w:p>
        </w:tc>
        <w:tc>
          <w:tcPr>
            <w:tcW w:w="965" w:type="pct"/>
            <w:noWrap/>
            <w:hideMark/>
          </w:tcPr>
          <w:p w:rsidR="001C70EA" w:rsidRPr="00C93FB6" w:rsidRDefault="001C70EA" w:rsidP="00507D1A">
            <w:pPr>
              <w:widowControl/>
              <w:overflowPunct/>
              <w:autoSpaceDE/>
              <w:autoSpaceDN/>
              <w:jc w:val="center"/>
              <w:rPr>
                <w:rFonts w:hAnsi="標楷體" w:cs="新細明體"/>
                <w:kern w:val="0"/>
                <w:sz w:val="28"/>
                <w:szCs w:val="28"/>
              </w:rPr>
            </w:pPr>
            <w:r w:rsidRPr="00C93FB6">
              <w:rPr>
                <w:rFonts w:hAnsi="標楷體" w:cs="新細明體" w:hint="eastAsia"/>
                <w:kern w:val="0"/>
                <w:sz w:val="28"/>
                <w:szCs w:val="28"/>
              </w:rPr>
              <w:t>108年</w:t>
            </w:r>
          </w:p>
        </w:tc>
      </w:tr>
      <w:tr w:rsidR="001C70EA" w:rsidRPr="00C93FB6" w:rsidTr="00507D1A">
        <w:trPr>
          <w:trHeight w:val="340"/>
        </w:trPr>
        <w:tc>
          <w:tcPr>
            <w:tcW w:w="1143" w:type="pct"/>
            <w:noWrap/>
            <w:hideMark/>
          </w:tcPr>
          <w:p w:rsidR="001C70EA" w:rsidRPr="00C93FB6" w:rsidRDefault="001C70EA" w:rsidP="00507D1A">
            <w:pPr>
              <w:widowControl/>
              <w:overflowPunct/>
              <w:autoSpaceDE/>
              <w:autoSpaceDN/>
              <w:jc w:val="left"/>
              <w:rPr>
                <w:rFonts w:hAnsi="標楷體" w:cs="新細明體"/>
                <w:kern w:val="0"/>
                <w:sz w:val="28"/>
                <w:szCs w:val="28"/>
              </w:rPr>
            </w:pPr>
            <w:r w:rsidRPr="00C93FB6">
              <w:rPr>
                <w:rFonts w:hAnsi="標楷體" w:cs="新細明體" w:hint="eastAsia"/>
                <w:kern w:val="0"/>
                <w:sz w:val="28"/>
                <w:szCs w:val="28"/>
              </w:rPr>
              <w:t>終結件數(件)</w:t>
            </w:r>
          </w:p>
        </w:tc>
        <w:tc>
          <w:tcPr>
            <w:tcW w:w="964" w:type="pct"/>
            <w:noWrap/>
            <w:hideMark/>
          </w:tcPr>
          <w:p w:rsidR="001C70EA" w:rsidRPr="00C93FB6" w:rsidRDefault="001C70EA" w:rsidP="00507D1A">
            <w:pPr>
              <w:widowControl/>
              <w:overflowPunct/>
              <w:autoSpaceDE/>
              <w:autoSpaceDN/>
              <w:jc w:val="right"/>
              <w:rPr>
                <w:rFonts w:hAnsi="標楷體" w:cs="新細明體"/>
                <w:kern w:val="0"/>
                <w:sz w:val="28"/>
                <w:szCs w:val="28"/>
              </w:rPr>
            </w:pPr>
            <w:r w:rsidRPr="00C93FB6">
              <w:rPr>
                <w:rFonts w:hAnsi="標楷體" w:cs="新細明體" w:hint="eastAsia"/>
                <w:kern w:val="0"/>
                <w:sz w:val="28"/>
                <w:szCs w:val="28"/>
              </w:rPr>
              <w:t>3,574</w:t>
            </w:r>
          </w:p>
        </w:tc>
        <w:tc>
          <w:tcPr>
            <w:tcW w:w="964" w:type="pct"/>
            <w:noWrap/>
            <w:hideMark/>
          </w:tcPr>
          <w:p w:rsidR="001C70EA" w:rsidRPr="00C93FB6" w:rsidRDefault="001C70EA" w:rsidP="00507D1A">
            <w:pPr>
              <w:widowControl/>
              <w:overflowPunct/>
              <w:autoSpaceDE/>
              <w:autoSpaceDN/>
              <w:jc w:val="right"/>
              <w:rPr>
                <w:rFonts w:hAnsi="標楷體" w:cs="新細明體"/>
                <w:kern w:val="0"/>
                <w:sz w:val="28"/>
                <w:szCs w:val="28"/>
              </w:rPr>
            </w:pPr>
            <w:r w:rsidRPr="00C93FB6">
              <w:rPr>
                <w:rFonts w:hAnsi="標楷體" w:cs="新細明體" w:hint="eastAsia"/>
                <w:kern w:val="0"/>
                <w:sz w:val="28"/>
                <w:szCs w:val="28"/>
              </w:rPr>
              <w:t>2,525</w:t>
            </w:r>
          </w:p>
        </w:tc>
        <w:tc>
          <w:tcPr>
            <w:tcW w:w="964" w:type="pct"/>
            <w:noWrap/>
            <w:hideMark/>
          </w:tcPr>
          <w:p w:rsidR="001C70EA" w:rsidRPr="00C93FB6" w:rsidRDefault="001C70EA" w:rsidP="00507D1A">
            <w:pPr>
              <w:widowControl/>
              <w:overflowPunct/>
              <w:autoSpaceDE/>
              <w:autoSpaceDN/>
              <w:jc w:val="right"/>
              <w:rPr>
                <w:rFonts w:hAnsi="標楷體" w:cs="新細明體"/>
                <w:kern w:val="0"/>
                <w:sz w:val="28"/>
                <w:szCs w:val="28"/>
              </w:rPr>
            </w:pPr>
            <w:r w:rsidRPr="00C93FB6">
              <w:rPr>
                <w:rFonts w:hAnsi="標楷體" w:cs="新細明體" w:hint="eastAsia"/>
                <w:kern w:val="0"/>
                <w:sz w:val="28"/>
                <w:szCs w:val="28"/>
              </w:rPr>
              <w:t>3,091</w:t>
            </w:r>
          </w:p>
        </w:tc>
        <w:tc>
          <w:tcPr>
            <w:tcW w:w="965" w:type="pct"/>
            <w:noWrap/>
            <w:hideMark/>
          </w:tcPr>
          <w:p w:rsidR="001C70EA" w:rsidRPr="00C93FB6" w:rsidRDefault="001C70EA" w:rsidP="00507D1A">
            <w:pPr>
              <w:widowControl/>
              <w:overflowPunct/>
              <w:autoSpaceDE/>
              <w:autoSpaceDN/>
              <w:jc w:val="right"/>
              <w:rPr>
                <w:rFonts w:hAnsi="標楷體" w:cs="新細明體"/>
                <w:kern w:val="0"/>
                <w:sz w:val="28"/>
                <w:szCs w:val="28"/>
              </w:rPr>
            </w:pPr>
            <w:r w:rsidRPr="00C93FB6">
              <w:rPr>
                <w:rFonts w:hAnsi="標楷體" w:cs="新細明體" w:hint="eastAsia"/>
                <w:kern w:val="0"/>
                <w:sz w:val="28"/>
                <w:szCs w:val="28"/>
              </w:rPr>
              <w:t>3,494</w:t>
            </w:r>
          </w:p>
        </w:tc>
      </w:tr>
      <w:tr w:rsidR="001C70EA" w:rsidRPr="00C93FB6" w:rsidTr="00507D1A">
        <w:trPr>
          <w:trHeight w:val="340"/>
        </w:trPr>
        <w:tc>
          <w:tcPr>
            <w:tcW w:w="1143" w:type="pct"/>
            <w:noWrap/>
            <w:hideMark/>
          </w:tcPr>
          <w:p w:rsidR="001C70EA" w:rsidRPr="00C93FB6" w:rsidRDefault="001C70EA" w:rsidP="00507D1A">
            <w:pPr>
              <w:widowControl/>
              <w:overflowPunct/>
              <w:autoSpaceDE/>
              <w:autoSpaceDN/>
              <w:jc w:val="left"/>
              <w:rPr>
                <w:rFonts w:hAnsi="標楷體" w:cs="新細明體"/>
                <w:kern w:val="0"/>
                <w:sz w:val="28"/>
                <w:szCs w:val="28"/>
              </w:rPr>
            </w:pPr>
            <w:r w:rsidRPr="00C93FB6">
              <w:rPr>
                <w:rFonts w:hAnsi="標楷體" w:cs="新細明體" w:hint="eastAsia"/>
                <w:kern w:val="0"/>
                <w:sz w:val="28"/>
                <w:szCs w:val="28"/>
              </w:rPr>
              <w:t>金額</w:t>
            </w:r>
          </w:p>
        </w:tc>
        <w:tc>
          <w:tcPr>
            <w:tcW w:w="964" w:type="pct"/>
            <w:noWrap/>
            <w:hideMark/>
          </w:tcPr>
          <w:p w:rsidR="001C70EA" w:rsidRPr="00C93FB6" w:rsidRDefault="001C70EA" w:rsidP="00507D1A">
            <w:pPr>
              <w:widowControl/>
              <w:overflowPunct/>
              <w:autoSpaceDE/>
              <w:autoSpaceDN/>
              <w:jc w:val="right"/>
              <w:rPr>
                <w:rFonts w:hAnsi="標楷體" w:cs="新細明體"/>
                <w:kern w:val="0"/>
                <w:sz w:val="28"/>
                <w:szCs w:val="28"/>
              </w:rPr>
            </w:pPr>
            <w:r w:rsidRPr="00C93FB6">
              <w:rPr>
                <w:rFonts w:hAnsi="標楷體" w:cs="新細明體" w:hint="eastAsia"/>
                <w:kern w:val="0"/>
                <w:sz w:val="28"/>
                <w:szCs w:val="28"/>
              </w:rPr>
              <w:t>284,953</w:t>
            </w:r>
          </w:p>
        </w:tc>
        <w:tc>
          <w:tcPr>
            <w:tcW w:w="964" w:type="pct"/>
            <w:noWrap/>
            <w:hideMark/>
          </w:tcPr>
          <w:p w:rsidR="001C70EA" w:rsidRPr="00C93FB6" w:rsidRDefault="001C70EA" w:rsidP="00507D1A">
            <w:pPr>
              <w:widowControl/>
              <w:overflowPunct/>
              <w:autoSpaceDE/>
              <w:autoSpaceDN/>
              <w:jc w:val="right"/>
              <w:rPr>
                <w:rFonts w:hAnsi="標楷體" w:cs="新細明體"/>
                <w:kern w:val="0"/>
                <w:sz w:val="28"/>
                <w:szCs w:val="28"/>
              </w:rPr>
            </w:pPr>
            <w:r w:rsidRPr="00C93FB6">
              <w:rPr>
                <w:rFonts w:hAnsi="標楷體" w:cs="新細明體" w:hint="eastAsia"/>
                <w:kern w:val="0"/>
                <w:sz w:val="28"/>
                <w:szCs w:val="28"/>
              </w:rPr>
              <w:t>541</w:t>
            </w:r>
            <w:r w:rsidRPr="00C93FB6">
              <w:rPr>
                <w:rFonts w:hAnsi="標楷體" w:cs="新細明體"/>
                <w:kern w:val="0"/>
                <w:sz w:val="28"/>
                <w:szCs w:val="28"/>
              </w:rPr>
              <w:t>,768</w:t>
            </w:r>
          </w:p>
        </w:tc>
        <w:tc>
          <w:tcPr>
            <w:tcW w:w="964" w:type="pct"/>
            <w:noWrap/>
          </w:tcPr>
          <w:p w:rsidR="001C70EA" w:rsidRPr="00C93FB6" w:rsidRDefault="001C70EA" w:rsidP="00507D1A">
            <w:pPr>
              <w:widowControl/>
              <w:overflowPunct/>
              <w:autoSpaceDE/>
              <w:autoSpaceDN/>
              <w:jc w:val="right"/>
              <w:rPr>
                <w:rFonts w:hAnsi="標楷體" w:cs="新細明體"/>
                <w:kern w:val="0"/>
                <w:sz w:val="28"/>
                <w:szCs w:val="28"/>
              </w:rPr>
            </w:pPr>
            <w:r w:rsidRPr="00C93FB6">
              <w:rPr>
                <w:rFonts w:hAnsi="標楷體" w:cs="新細明體" w:hint="eastAsia"/>
                <w:kern w:val="0"/>
                <w:sz w:val="28"/>
                <w:szCs w:val="28"/>
              </w:rPr>
              <w:t>138,427</w:t>
            </w:r>
          </w:p>
        </w:tc>
        <w:tc>
          <w:tcPr>
            <w:tcW w:w="965" w:type="pct"/>
            <w:noWrap/>
          </w:tcPr>
          <w:p w:rsidR="001C70EA" w:rsidRPr="00C93FB6" w:rsidRDefault="001C70EA" w:rsidP="00507D1A">
            <w:pPr>
              <w:widowControl/>
              <w:overflowPunct/>
              <w:autoSpaceDE/>
              <w:autoSpaceDN/>
              <w:jc w:val="right"/>
              <w:rPr>
                <w:rFonts w:hAnsi="標楷體" w:cs="新細明體"/>
                <w:kern w:val="0"/>
                <w:sz w:val="28"/>
                <w:szCs w:val="28"/>
              </w:rPr>
            </w:pPr>
            <w:r w:rsidRPr="00C93FB6">
              <w:rPr>
                <w:rFonts w:hAnsi="標楷體" w:cs="新細明體" w:hint="eastAsia"/>
                <w:kern w:val="0"/>
                <w:sz w:val="28"/>
                <w:szCs w:val="28"/>
              </w:rPr>
              <w:t>152,432</w:t>
            </w:r>
          </w:p>
        </w:tc>
      </w:tr>
    </w:tbl>
    <w:p w:rsidR="001C70EA" w:rsidRPr="00C93FB6" w:rsidRDefault="001C70EA" w:rsidP="00422B73">
      <w:pPr>
        <w:pStyle w:val="3"/>
        <w:numPr>
          <w:ilvl w:val="0"/>
          <w:numId w:val="0"/>
        </w:numPr>
        <w:spacing w:line="280" w:lineRule="exact"/>
        <w:rPr>
          <w:sz w:val="24"/>
        </w:rPr>
      </w:pPr>
      <w:r w:rsidRPr="00C93FB6">
        <w:rPr>
          <w:rFonts w:hint="eastAsia"/>
          <w:sz w:val="24"/>
        </w:rPr>
        <w:t>資料來源：法務部</w:t>
      </w:r>
      <w:r w:rsidR="00392655" w:rsidRPr="00C93FB6">
        <w:rPr>
          <w:rFonts w:hint="eastAsia"/>
          <w:sz w:val="24"/>
        </w:rPr>
        <w:t>統計處</w:t>
      </w:r>
      <w:r w:rsidRPr="00C93FB6">
        <w:rPr>
          <w:rFonts w:hint="eastAsia"/>
          <w:sz w:val="24"/>
        </w:rPr>
        <w:t>。</w:t>
      </w:r>
    </w:p>
    <w:p w:rsidR="00422B73" w:rsidRPr="00C93FB6" w:rsidRDefault="00422B73" w:rsidP="00422B73">
      <w:pPr>
        <w:pStyle w:val="3"/>
        <w:numPr>
          <w:ilvl w:val="0"/>
          <w:numId w:val="0"/>
        </w:numPr>
        <w:spacing w:line="280" w:lineRule="exact"/>
      </w:pPr>
      <w:r w:rsidRPr="00C93FB6">
        <w:rPr>
          <w:rFonts w:hint="eastAsia"/>
          <w:sz w:val="24"/>
        </w:rPr>
        <w:t>說明：查扣外幣資料於105年前業折算成新臺幣列入統計；106年起</w:t>
      </w:r>
      <w:proofErr w:type="gramStart"/>
      <w:r w:rsidRPr="00C93FB6">
        <w:rPr>
          <w:rFonts w:hint="eastAsia"/>
          <w:sz w:val="24"/>
        </w:rPr>
        <w:t>採</w:t>
      </w:r>
      <w:proofErr w:type="gramEnd"/>
      <w:r w:rsidRPr="00C93FB6">
        <w:rPr>
          <w:rFonts w:hint="eastAsia"/>
          <w:sz w:val="24"/>
        </w:rPr>
        <w:t>新臺幣及外幣資料分項</w:t>
      </w:r>
      <w:r w:rsidR="0011322A" w:rsidRPr="00C93FB6">
        <w:rPr>
          <w:rFonts w:hint="eastAsia"/>
          <w:sz w:val="24"/>
        </w:rPr>
        <w:t>列</w:t>
      </w:r>
      <w:r w:rsidRPr="00C93FB6">
        <w:rPr>
          <w:rFonts w:hint="eastAsia"/>
          <w:sz w:val="24"/>
        </w:rPr>
        <w:t>示，為便於參</w:t>
      </w:r>
      <w:proofErr w:type="gramStart"/>
      <w:r w:rsidRPr="00C93FB6">
        <w:rPr>
          <w:rFonts w:hint="eastAsia"/>
          <w:sz w:val="24"/>
        </w:rPr>
        <w:t>用表列查</w:t>
      </w:r>
      <w:proofErr w:type="gramEnd"/>
      <w:r w:rsidRPr="00C93FB6">
        <w:rPr>
          <w:rFonts w:hint="eastAsia"/>
          <w:sz w:val="24"/>
        </w:rPr>
        <w:t>扣犯罪所得金額，業將106年後外幣資料以108年12月31日匯率折算為新臺幣併入統計。</w:t>
      </w:r>
    </w:p>
    <w:p w:rsidR="001C70EA" w:rsidRPr="00C93FB6" w:rsidRDefault="001C70EA" w:rsidP="001C70EA">
      <w:pPr>
        <w:pStyle w:val="a4"/>
      </w:pPr>
      <w:r w:rsidRPr="00C93FB6">
        <w:rPr>
          <w:rFonts w:hint="eastAsia"/>
        </w:rPr>
        <w:t>各年度辦理</w:t>
      </w:r>
      <w:proofErr w:type="gramStart"/>
      <w:r w:rsidRPr="00C93FB6">
        <w:rPr>
          <w:rFonts w:hint="eastAsia"/>
        </w:rPr>
        <w:t>偵</w:t>
      </w:r>
      <w:proofErr w:type="gramEnd"/>
      <w:r w:rsidRPr="00C93FB6">
        <w:rPr>
          <w:rFonts w:hint="eastAsia"/>
        </w:rPr>
        <w:t>審中查扣案件與各該年度犯罪所得案件相較之比率</w:t>
      </w:r>
    </w:p>
    <w:p w:rsidR="001C70EA" w:rsidRPr="00C93FB6" w:rsidRDefault="001C70EA" w:rsidP="001C70EA">
      <w:pPr>
        <w:spacing w:line="280" w:lineRule="exact"/>
        <w:jc w:val="right"/>
      </w:pPr>
      <w:r w:rsidRPr="00C93FB6">
        <w:rPr>
          <w:rFonts w:hint="eastAsia"/>
          <w:sz w:val="24"/>
        </w:rPr>
        <w:t>單位：件、萬元</w:t>
      </w:r>
    </w:p>
    <w:tbl>
      <w:tblPr>
        <w:tblStyle w:val="af7"/>
        <w:tblW w:w="0" w:type="auto"/>
        <w:jc w:val="center"/>
        <w:tblLook w:val="04A0" w:firstRow="1" w:lastRow="0" w:firstColumn="1" w:lastColumn="0" w:noHBand="0" w:noVBand="1"/>
      </w:tblPr>
      <w:tblGrid>
        <w:gridCol w:w="1980"/>
        <w:gridCol w:w="707"/>
        <w:gridCol w:w="1703"/>
        <w:gridCol w:w="1481"/>
        <w:gridCol w:w="1481"/>
        <w:gridCol w:w="1482"/>
      </w:tblGrid>
      <w:tr w:rsidR="001C70EA" w:rsidRPr="00C93FB6" w:rsidTr="00507D1A">
        <w:trPr>
          <w:jc w:val="center"/>
        </w:trPr>
        <w:tc>
          <w:tcPr>
            <w:tcW w:w="2687" w:type="dxa"/>
            <w:gridSpan w:val="2"/>
          </w:tcPr>
          <w:p w:rsidR="001C70EA" w:rsidRPr="00C93FB6" w:rsidRDefault="001C70EA" w:rsidP="00507D1A">
            <w:pPr>
              <w:pStyle w:val="3"/>
              <w:numPr>
                <w:ilvl w:val="0"/>
                <w:numId w:val="0"/>
              </w:numPr>
              <w:jc w:val="center"/>
              <w:rPr>
                <w:sz w:val="24"/>
              </w:rPr>
            </w:pPr>
            <w:r w:rsidRPr="00C93FB6">
              <w:rPr>
                <w:rFonts w:hint="eastAsia"/>
                <w:sz w:val="24"/>
              </w:rPr>
              <w:t>項目</w:t>
            </w:r>
          </w:p>
        </w:tc>
        <w:tc>
          <w:tcPr>
            <w:tcW w:w="1703" w:type="dxa"/>
          </w:tcPr>
          <w:p w:rsidR="001C70EA" w:rsidRPr="00C93FB6" w:rsidRDefault="001C70EA" w:rsidP="00507D1A">
            <w:pPr>
              <w:pStyle w:val="3"/>
              <w:numPr>
                <w:ilvl w:val="0"/>
                <w:numId w:val="0"/>
              </w:numPr>
              <w:jc w:val="center"/>
              <w:rPr>
                <w:sz w:val="24"/>
              </w:rPr>
            </w:pPr>
            <w:r w:rsidRPr="00C93FB6">
              <w:rPr>
                <w:rFonts w:hint="eastAsia"/>
                <w:sz w:val="24"/>
              </w:rPr>
              <w:t>105年7-12月</w:t>
            </w:r>
          </w:p>
        </w:tc>
        <w:tc>
          <w:tcPr>
            <w:tcW w:w="1481" w:type="dxa"/>
          </w:tcPr>
          <w:p w:rsidR="001C70EA" w:rsidRPr="00C93FB6" w:rsidRDefault="001C70EA" w:rsidP="00507D1A">
            <w:pPr>
              <w:pStyle w:val="3"/>
              <w:numPr>
                <w:ilvl w:val="0"/>
                <w:numId w:val="0"/>
              </w:numPr>
              <w:jc w:val="center"/>
              <w:rPr>
                <w:sz w:val="24"/>
              </w:rPr>
            </w:pPr>
            <w:r w:rsidRPr="00C93FB6">
              <w:rPr>
                <w:rFonts w:hint="eastAsia"/>
                <w:sz w:val="24"/>
              </w:rPr>
              <w:t>106年</w:t>
            </w:r>
          </w:p>
        </w:tc>
        <w:tc>
          <w:tcPr>
            <w:tcW w:w="1481" w:type="dxa"/>
          </w:tcPr>
          <w:p w:rsidR="001C70EA" w:rsidRPr="00C93FB6" w:rsidRDefault="001C70EA" w:rsidP="00507D1A">
            <w:pPr>
              <w:pStyle w:val="3"/>
              <w:numPr>
                <w:ilvl w:val="0"/>
                <w:numId w:val="0"/>
              </w:numPr>
              <w:jc w:val="center"/>
              <w:rPr>
                <w:sz w:val="24"/>
              </w:rPr>
            </w:pPr>
            <w:r w:rsidRPr="00C93FB6">
              <w:rPr>
                <w:rFonts w:hint="eastAsia"/>
                <w:sz w:val="24"/>
              </w:rPr>
              <w:t>107年</w:t>
            </w:r>
          </w:p>
        </w:tc>
        <w:tc>
          <w:tcPr>
            <w:tcW w:w="1482" w:type="dxa"/>
          </w:tcPr>
          <w:p w:rsidR="001C70EA" w:rsidRPr="00C93FB6" w:rsidRDefault="001C70EA" w:rsidP="00507D1A">
            <w:pPr>
              <w:pStyle w:val="3"/>
              <w:numPr>
                <w:ilvl w:val="0"/>
                <w:numId w:val="0"/>
              </w:numPr>
              <w:jc w:val="center"/>
              <w:rPr>
                <w:sz w:val="24"/>
              </w:rPr>
            </w:pPr>
            <w:r w:rsidRPr="00C93FB6">
              <w:rPr>
                <w:rFonts w:hint="eastAsia"/>
                <w:sz w:val="24"/>
              </w:rPr>
              <w:t>108年</w:t>
            </w:r>
          </w:p>
        </w:tc>
      </w:tr>
      <w:tr w:rsidR="001C70EA" w:rsidRPr="00C93FB6" w:rsidTr="00507D1A">
        <w:trPr>
          <w:jc w:val="center"/>
        </w:trPr>
        <w:tc>
          <w:tcPr>
            <w:tcW w:w="1980" w:type="dxa"/>
            <w:vMerge w:val="restart"/>
            <w:vAlign w:val="center"/>
          </w:tcPr>
          <w:p w:rsidR="001C70EA" w:rsidRPr="00C93FB6" w:rsidRDefault="001C70EA" w:rsidP="00507D1A">
            <w:pPr>
              <w:pStyle w:val="3"/>
              <w:numPr>
                <w:ilvl w:val="0"/>
                <w:numId w:val="0"/>
              </w:numPr>
              <w:jc w:val="center"/>
              <w:rPr>
                <w:spacing w:val="-20"/>
                <w:sz w:val="24"/>
              </w:rPr>
            </w:pPr>
            <w:proofErr w:type="gramStart"/>
            <w:r w:rsidRPr="00C93FB6">
              <w:rPr>
                <w:rFonts w:hint="eastAsia"/>
                <w:spacing w:val="-20"/>
                <w:sz w:val="24"/>
              </w:rPr>
              <w:lastRenderedPageBreak/>
              <w:t>偵</w:t>
            </w:r>
            <w:proofErr w:type="gramEnd"/>
            <w:r w:rsidRPr="00C93FB6">
              <w:rPr>
                <w:rFonts w:hint="eastAsia"/>
                <w:spacing w:val="-20"/>
                <w:sz w:val="24"/>
              </w:rPr>
              <w:t>審中查扣</w:t>
            </w:r>
          </w:p>
        </w:tc>
        <w:tc>
          <w:tcPr>
            <w:tcW w:w="707" w:type="dxa"/>
            <w:vAlign w:val="center"/>
          </w:tcPr>
          <w:p w:rsidR="001C70EA" w:rsidRPr="00C93FB6" w:rsidRDefault="001C70EA" w:rsidP="00507D1A">
            <w:pPr>
              <w:pStyle w:val="3"/>
              <w:numPr>
                <w:ilvl w:val="0"/>
                <w:numId w:val="0"/>
              </w:numPr>
              <w:jc w:val="center"/>
              <w:rPr>
                <w:spacing w:val="-20"/>
                <w:sz w:val="24"/>
              </w:rPr>
            </w:pPr>
            <w:r w:rsidRPr="00C93FB6">
              <w:rPr>
                <w:rFonts w:hint="eastAsia"/>
                <w:spacing w:val="-20"/>
                <w:sz w:val="24"/>
              </w:rPr>
              <w:t>件數</w:t>
            </w:r>
          </w:p>
        </w:tc>
        <w:tc>
          <w:tcPr>
            <w:tcW w:w="1703" w:type="dxa"/>
          </w:tcPr>
          <w:p w:rsidR="001C70EA" w:rsidRPr="00C93FB6" w:rsidRDefault="001C70EA" w:rsidP="00507D1A">
            <w:pPr>
              <w:widowControl/>
              <w:overflowPunct/>
              <w:autoSpaceDE/>
              <w:autoSpaceDN/>
              <w:jc w:val="right"/>
              <w:rPr>
                <w:rFonts w:hAnsi="標楷體" w:cs="新細明體"/>
                <w:kern w:val="0"/>
                <w:sz w:val="24"/>
                <w:szCs w:val="28"/>
              </w:rPr>
            </w:pPr>
            <w:r w:rsidRPr="00C93FB6">
              <w:rPr>
                <w:rFonts w:hAnsi="標楷體" w:cs="新細明體" w:hint="eastAsia"/>
                <w:kern w:val="0"/>
                <w:sz w:val="24"/>
                <w:szCs w:val="28"/>
              </w:rPr>
              <w:t>3,574</w:t>
            </w:r>
          </w:p>
        </w:tc>
        <w:tc>
          <w:tcPr>
            <w:tcW w:w="1481" w:type="dxa"/>
          </w:tcPr>
          <w:p w:rsidR="001C70EA" w:rsidRPr="00C93FB6" w:rsidRDefault="001C70EA" w:rsidP="00507D1A">
            <w:pPr>
              <w:widowControl/>
              <w:overflowPunct/>
              <w:autoSpaceDE/>
              <w:autoSpaceDN/>
              <w:jc w:val="right"/>
              <w:rPr>
                <w:rFonts w:hAnsi="標楷體" w:cs="新細明體"/>
                <w:kern w:val="0"/>
                <w:sz w:val="24"/>
                <w:szCs w:val="28"/>
              </w:rPr>
            </w:pPr>
            <w:r w:rsidRPr="00C93FB6">
              <w:rPr>
                <w:rFonts w:hAnsi="標楷體" w:cs="新細明體" w:hint="eastAsia"/>
                <w:kern w:val="0"/>
                <w:sz w:val="24"/>
                <w:szCs w:val="28"/>
              </w:rPr>
              <w:t>2,525</w:t>
            </w:r>
          </w:p>
        </w:tc>
        <w:tc>
          <w:tcPr>
            <w:tcW w:w="1481" w:type="dxa"/>
          </w:tcPr>
          <w:p w:rsidR="001C70EA" w:rsidRPr="00C93FB6" w:rsidRDefault="001C70EA" w:rsidP="00507D1A">
            <w:pPr>
              <w:widowControl/>
              <w:overflowPunct/>
              <w:autoSpaceDE/>
              <w:autoSpaceDN/>
              <w:jc w:val="right"/>
              <w:rPr>
                <w:rFonts w:hAnsi="標楷體" w:cs="新細明體"/>
                <w:kern w:val="0"/>
                <w:sz w:val="24"/>
                <w:szCs w:val="28"/>
              </w:rPr>
            </w:pPr>
            <w:r w:rsidRPr="00C93FB6">
              <w:rPr>
                <w:rFonts w:hAnsi="標楷體" w:cs="新細明體" w:hint="eastAsia"/>
                <w:kern w:val="0"/>
                <w:sz w:val="24"/>
                <w:szCs w:val="28"/>
              </w:rPr>
              <w:t>3,091</w:t>
            </w:r>
          </w:p>
        </w:tc>
        <w:tc>
          <w:tcPr>
            <w:tcW w:w="1482" w:type="dxa"/>
          </w:tcPr>
          <w:p w:rsidR="001C70EA" w:rsidRPr="00C93FB6" w:rsidRDefault="001C70EA" w:rsidP="00507D1A">
            <w:pPr>
              <w:widowControl/>
              <w:overflowPunct/>
              <w:autoSpaceDE/>
              <w:autoSpaceDN/>
              <w:jc w:val="right"/>
              <w:rPr>
                <w:rFonts w:hAnsi="標楷體" w:cs="新細明體"/>
                <w:kern w:val="0"/>
                <w:sz w:val="24"/>
                <w:szCs w:val="28"/>
              </w:rPr>
            </w:pPr>
            <w:r w:rsidRPr="00C93FB6">
              <w:rPr>
                <w:rFonts w:hAnsi="標楷體" w:cs="新細明體" w:hint="eastAsia"/>
                <w:kern w:val="0"/>
                <w:sz w:val="24"/>
                <w:szCs w:val="28"/>
              </w:rPr>
              <w:t>3,494</w:t>
            </w:r>
          </w:p>
        </w:tc>
      </w:tr>
      <w:tr w:rsidR="001C70EA" w:rsidRPr="00C93FB6" w:rsidTr="00507D1A">
        <w:trPr>
          <w:jc w:val="center"/>
        </w:trPr>
        <w:tc>
          <w:tcPr>
            <w:tcW w:w="1980" w:type="dxa"/>
            <w:vMerge/>
            <w:vAlign w:val="center"/>
          </w:tcPr>
          <w:p w:rsidR="001C70EA" w:rsidRPr="00C93FB6" w:rsidRDefault="001C70EA" w:rsidP="00507D1A">
            <w:pPr>
              <w:pStyle w:val="3"/>
              <w:numPr>
                <w:ilvl w:val="0"/>
                <w:numId w:val="0"/>
              </w:numPr>
              <w:jc w:val="center"/>
              <w:rPr>
                <w:spacing w:val="-20"/>
                <w:sz w:val="24"/>
              </w:rPr>
            </w:pPr>
          </w:p>
        </w:tc>
        <w:tc>
          <w:tcPr>
            <w:tcW w:w="707" w:type="dxa"/>
            <w:vAlign w:val="center"/>
          </w:tcPr>
          <w:p w:rsidR="001C70EA" w:rsidRPr="00C93FB6" w:rsidRDefault="001C70EA" w:rsidP="00507D1A">
            <w:pPr>
              <w:pStyle w:val="3"/>
              <w:numPr>
                <w:ilvl w:val="0"/>
                <w:numId w:val="0"/>
              </w:numPr>
              <w:jc w:val="center"/>
              <w:rPr>
                <w:spacing w:val="-20"/>
                <w:sz w:val="24"/>
              </w:rPr>
            </w:pPr>
            <w:r w:rsidRPr="00C93FB6">
              <w:rPr>
                <w:rFonts w:hint="eastAsia"/>
                <w:spacing w:val="-20"/>
                <w:sz w:val="24"/>
              </w:rPr>
              <w:t>金額</w:t>
            </w:r>
          </w:p>
        </w:tc>
        <w:tc>
          <w:tcPr>
            <w:tcW w:w="1703" w:type="dxa"/>
          </w:tcPr>
          <w:p w:rsidR="001C70EA" w:rsidRPr="00C93FB6" w:rsidRDefault="001C70EA" w:rsidP="00507D1A">
            <w:pPr>
              <w:widowControl/>
              <w:overflowPunct/>
              <w:autoSpaceDE/>
              <w:autoSpaceDN/>
              <w:jc w:val="right"/>
              <w:rPr>
                <w:rFonts w:hAnsi="標楷體" w:cs="新細明體"/>
                <w:kern w:val="0"/>
                <w:sz w:val="24"/>
                <w:szCs w:val="28"/>
              </w:rPr>
            </w:pPr>
            <w:r w:rsidRPr="00C93FB6">
              <w:rPr>
                <w:rFonts w:hAnsi="標楷體" w:cs="新細明體" w:hint="eastAsia"/>
                <w:kern w:val="0"/>
                <w:sz w:val="24"/>
                <w:szCs w:val="28"/>
              </w:rPr>
              <w:t>284,953</w:t>
            </w:r>
          </w:p>
        </w:tc>
        <w:tc>
          <w:tcPr>
            <w:tcW w:w="1481" w:type="dxa"/>
          </w:tcPr>
          <w:p w:rsidR="001C70EA" w:rsidRPr="00C93FB6" w:rsidRDefault="001C70EA" w:rsidP="00507D1A">
            <w:pPr>
              <w:widowControl/>
              <w:overflowPunct/>
              <w:autoSpaceDE/>
              <w:autoSpaceDN/>
              <w:jc w:val="right"/>
              <w:rPr>
                <w:rFonts w:hAnsi="標楷體" w:cs="新細明體"/>
                <w:kern w:val="0"/>
                <w:sz w:val="24"/>
                <w:szCs w:val="28"/>
              </w:rPr>
            </w:pPr>
            <w:r w:rsidRPr="00C93FB6">
              <w:rPr>
                <w:rFonts w:hAnsi="標楷體" w:cs="新細明體" w:hint="eastAsia"/>
                <w:kern w:val="0"/>
                <w:sz w:val="24"/>
                <w:szCs w:val="28"/>
              </w:rPr>
              <w:t>541</w:t>
            </w:r>
            <w:r w:rsidRPr="00C93FB6">
              <w:rPr>
                <w:rFonts w:hAnsi="標楷體" w:cs="新細明體"/>
                <w:kern w:val="0"/>
                <w:sz w:val="24"/>
                <w:szCs w:val="28"/>
              </w:rPr>
              <w:t>,768</w:t>
            </w:r>
          </w:p>
        </w:tc>
        <w:tc>
          <w:tcPr>
            <w:tcW w:w="1481" w:type="dxa"/>
          </w:tcPr>
          <w:p w:rsidR="001C70EA" w:rsidRPr="00C93FB6" w:rsidRDefault="001C70EA" w:rsidP="00507D1A">
            <w:pPr>
              <w:widowControl/>
              <w:overflowPunct/>
              <w:autoSpaceDE/>
              <w:autoSpaceDN/>
              <w:jc w:val="right"/>
              <w:rPr>
                <w:rFonts w:hAnsi="標楷體" w:cs="新細明體"/>
                <w:kern w:val="0"/>
                <w:sz w:val="24"/>
                <w:szCs w:val="28"/>
              </w:rPr>
            </w:pPr>
            <w:r w:rsidRPr="00C93FB6">
              <w:rPr>
                <w:rFonts w:hAnsi="標楷體" w:cs="新細明體" w:hint="eastAsia"/>
                <w:kern w:val="0"/>
                <w:sz w:val="24"/>
                <w:szCs w:val="28"/>
              </w:rPr>
              <w:t>138,427</w:t>
            </w:r>
          </w:p>
        </w:tc>
        <w:tc>
          <w:tcPr>
            <w:tcW w:w="1482" w:type="dxa"/>
          </w:tcPr>
          <w:p w:rsidR="001C70EA" w:rsidRPr="00C93FB6" w:rsidRDefault="001C70EA" w:rsidP="00507D1A">
            <w:pPr>
              <w:widowControl/>
              <w:overflowPunct/>
              <w:autoSpaceDE/>
              <w:autoSpaceDN/>
              <w:jc w:val="right"/>
              <w:rPr>
                <w:rFonts w:hAnsi="標楷體" w:cs="新細明體"/>
                <w:kern w:val="0"/>
                <w:sz w:val="24"/>
                <w:szCs w:val="28"/>
              </w:rPr>
            </w:pPr>
            <w:r w:rsidRPr="00C93FB6">
              <w:rPr>
                <w:rFonts w:hAnsi="標楷體" w:cs="新細明體" w:hint="eastAsia"/>
                <w:kern w:val="0"/>
                <w:sz w:val="24"/>
                <w:szCs w:val="28"/>
              </w:rPr>
              <w:t>152,432</w:t>
            </w:r>
          </w:p>
        </w:tc>
      </w:tr>
      <w:tr w:rsidR="001C70EA" w:rsidRPr="00C93FB6" w:rsidTr="00507D1A">
        <w:trPr>
          <w:jc w:val="center"/>
        </w:trPr>
        <w:tc>
          <w:tcPr>
            <w:tcW w:w="1980" w:type="dxa"/>
            <w:vMerge w:val="restart"/>
            <w:vAlign w:val="center"/>
          </w:tcPr>
          <w:p w:rsidR="001C70EA" w:rsidRPr="00C93FB6" w:rsidRDefault="001C70EA" w:rsidP="00507D1A">
            <w:pPr>
              <w:pStyle w:val="3"/>
              <w:numPr>
                <w:ilvl w:val="0"/>
                <w:numId w:val="0"/>
              </w:numPr>
              <w:jc w:val="center"/>
              <w:rPr>
                <w:spacing w:val="-20"/>
                <w:sz w:val="24"/>
              </w:rPr>
            </w:pPr>
            <w:r w:rsidRPr="00C93FB6">
              <w:rPr>
                <w:rFonts w:hint="eastAsia"/>
                <w:spacing w:val="-20"/>
                <w:sz w:val="24"/>
              </w:rPr>
              <w:t>各年度法院判決確定應沒收犯罪所得</w:t>
            </w:r>
          </w:p>
        </w:tc>
        <w:tc>
          <w:tcPr>
            <w:tcW w:w="707" w:type="dxa"/>
            <w:vAlign w:val="center"/>
          </w:tcPr>
          <w:p w:rsidR="001C70EA" w:rsidRPr="00C93FB6" w:rsidRDefault="001C70EA" w:rsidP="00507D1A">
            <w:pPr>
              <w:pStyle w:val="3"/>
              <w:numPr>
                <w:ilvl w:val="0"/>
                <w:numId w:val="0"/>
              </w:numPr>
              <w:jc w:val="center"/>
              <w:rPr>
                <w:spacing w:val="-20"/>
                <w:sz w:val="24"/>
              </w:rPr>
            </w:pPr>
            <w:r w:rsidRPr="00C93FB6">
              <w:rPr>
                <w:rFonts w:hint="eastAsia"/>
                <w:spacing w:val="-20"/>
                <w:sz w:val="24"/>
              </w:rPr>
              <w:t>件數</w:t>
            </w:r>
          </w:p>
        </w:tc>
        <w:tc>
          <w:tcPr>
            <w:tcW w:w="1703" w:type="dxa"/>
            <w:vAlign w:val="center"/>
          </w:tcPr>
          <w:p w:rsidR="001C70EA" w:rsidRPr="00C93FB6" w:rsidRDefault="001C70EA" w:rsidP="00507D1A">
            <w:pPr>
              <w:widowControl/>
              <w:overflowPunct/>
              <w:autoSpaceDE/>
              <w:autoSpaceDN/>
              <w:jc w:val="right"/>
              <w:rPr>
                <w:rFonts w:hAnsi="標楷體" w:cs="新細明體"/>
                <w:kern w:val="0"/>
                <w:sz w:val="24"/>
                <w:szCs w:val="28"/>
              </w:rPr>
            </w:pPr>
            <w:r w:rsidRPr="00C93FB6">
              <w:rPr>
                <w:rFonts w:hAnsi="標楷體" w:cs="新細明體" w:hint="eastAsia"/>
                <w:kern w:val="0"/>
                <w:sz w:val="24"/>
                <w:szCs w:val="28"/>
              </w:rPr>
              <w:t>4</w:t>
            </w:r>
            <w:r w:rsidRPr="00C93FB6">
              <w:rPr>
                <w:rFonts w:hAnsi="標楷體" w:cs="新細明體"/>
                <w:kern w:val="0"/>
                <w:sz w:val="24"/>
                <w:szCs w:val="28"/>
              </w:rPr>
              <w:t>,</w:t>
            </w:r>
            <w:r w:rsidRPr="00C93FB6">
              <w:rPr>
                <w:rFonts w:hAnsi="標楷體" w:cs="新細明體" w:hint="eastAsia"/>
                <w:kern w:val="0"/>
                <w:sz w:val="24"/>
                <w:szCs w:val="28"/>
              </w:rPr>
              <w:t>659</w:t>
            </w:r>
          </w:p>
        </w:tc>
        <w:tc>
          <w:tcPr>
            <w:tcW w:w="1481" w:type="dxa"/>
            <w:vAlign w:val="center"/>
          </w:tcPr>
          <w:p w:rsidR="001C70EA" w:rsidRPr="00C93FB6" w:rsidRDefault="001C70EA" w:rsidP="00507D1A">
            <w:pPr>
              <w:widowControl/>
              <w:overflowPunct/>
              <w:autoSpaceDE/>
              <w:autoSpaceDN/>
              <w:jc w:val="right"/>
              <w:rPr>
                <w:rFonts w:hAnsi="標楷體" w:cs="新細明體"/>
                <w:kern w:val="0"/>
                <w:sz w:val="24"/>
                <w:szCs w:val="28"/>
              </w:rPr>
            </w:pPr>
            <w:r w:rsidRPr="00C93FB6">
              <w:rPr>
                <w:rFonts w:hAnsi="標楷體" w:cs="新細明體" w:hint="eastAsia"/>
                <w:kern w:val="0"/>
                <w:sz w:val="24"/>
                <w:szCs w:val="28"/>
              </w:rPr>
              <w:t>16</w:t>
            </w:r>
            <w:r w:rsidRPr="00C93FB6">
              <w:rPr>
                <w:rFonts w:hAnsi="標楷體" w:cs="新細明體"/>
                <w:kern w:val="0"/>
                <w:sz w:val="24"/>
                <w:szCs w:val="28"/>
              </w:rPr>
              <w:t>,</w:t>
            </w:r>
            <w:r w:rsidRPr="00C93FB6">
              <w:rPr>
                <w:rFonts w:hAnsi="標楷體" w:cs="新細明體" w:hint="eastAsia"/>
                <w:kern w:val="0"/>
                <w:sz w:val="24"/>
                <w:szCs w:val="28"/>
              </w:rPr>
              <w:t>395</w:t>
            </w:r>
          </w:p>
        </w:tc>
        <w:tc>
          <w:tcPr>
            <w:tcW w:w="1481" w:type="dxa"/>
            <w:vAlign w:val="center"/>
          </w:tcPr>
          <w:p w:rsidR="001C70EA" w:rsidRPr="00C93FB6" w:rsidRDefault="001C70EA" w:rsidP="00507D1A">
            <w:pPr>
              <w:widowControl/>
              <w:overflowPunct/>
              <w:autoSpaceDE/>
              <w:autoSpaceDN/>
              <w:jc w:val="right"/>
              <w:rPr>
                <w:rFonts w:hAnsi="標楷體" w:cs="新細明體"/>
                <w:kern w:val="0"/>
                <w:sz w:val="24"/>
                <w:szCs w:val="28"/>
              </w:rPr>
            </w:pPr>
            <w:r w:rsidRPr="00C93FB6">
              <w:rPr>
                <w:rFonts w:hAnsi="標楷體" w:cs="新細明體" w:hint="eastAsia"/>
                <w:kern w:val="0"/>
                <w:sz w:val="24"/>
                <w:szCs w:val="28"/>
              </w:rPr>
              <w:t>16</w:t>
            </w:r>
            <w:r w:rsidRPr="00C93FB6">
              <w:rPr>
                <w:rFonts w:hAnsi="標楷體" w:cs="新細明體"/>
                <w:kern w:val="0"/>
                <w:sz w:val="24"/>
                <w:szCs w:val="28"/>
              </w:rPr>
              <w:t>,</w:t>
            </w:r>
            <w:r w:rsidRPr="00C93FB6">
              <w:rPr>
                <w:rFonts w:hAnsi="標楷體" w:cs="新細明體" w:hint="eastAsia"/>
                <w:kern w:val="0"/>
                <w:sz w:val="24"/>
                <w:szCs w:val="28"/>
              </w:rPr>
              <w:t>120</w:t>
            </w:r>
          </w:p>
        </w:tc>
        <w:tc>
          <w:tcPr>
            <w:tcW w:w="1482" w:type="dxa"/>
            <w:vAlign w:val="center"/>
          </w:tcPr>
          <w:p w:rsidR="001C70EA" w:rsidRPr="00C93FB6" w:rsidRDefault="001C70EA" w:rsidP="00507D1A">
            <w:pPr>
              <w:widowControl/>
              <w:overflowPunct/>
              <w:autoSpaceDE/>
              <w:autoSpaceDN/>
              <w:jc w:val="right"/>
              <w:rPr>
                <w:rFonts w:hAnsi="標楷體" w:cs="新細明體"/>
                <w:kern w:val="0"/>
                <w:sz w:val="24"/>
                <w:szCs w:val="28"/>
              </w:rPr>
            </w:pPr>
            <w:r w:rsidRPr="00C93FB6">
              <w:rPr>
                <w:rFonts w:hAnsi="標楷體" w:cs="新細明體" w:hint="eastAsia"/>
                <w:kern w:val="0"/>
                <w:sz w:val="24"/>
                <w:szCs w:val="28"/>
              </w:rPr>
              <w:t>16</w:t>
            </w:r>
            <w:r w:rsidRPr="00C93FB6">
              <w:rPr>
                <w:rFonts w:hAnsi="標楷體" w:cs="新細明體"/>
                <w:kern w:val="0"/>
                <w:sz w:val="24"/>
                <w:szCs w:val="28"/>
              </w:rPr>
              <w:t>,</w:t>
            </w:r>
            <w:r w:rsidRPr="00C93FB6">
              <w:rPr>
                <w:rFonts w:hAnsi="標楷體" w:cs="新細明體" w:hint="eastAsia"/>
                <w:kern w:val="0"/>
                <w:sz w:val="24"/>
                <w:szCs w:val="28"/>
              </w:rPr>
              <w:t>457</w:t>
            </w:r>
          </w:p>
        </w:tc>
      </w:tr>
      <w:tr w:rsidR="001C70EA" w:rsidRPr="00C93FB6" w:rsidTr="00507D1A">
        <w:trPr>
          <w:jc w:val="center"/>
        </w:trPr>
        <w:tc>
          <w:tcPr>
            <w:tcW w:w="1980" w:type="dxa"/>
            <w:vMerge/>
          </w:tcPr>
          <w:p w:rsidR="001C70EA" w:rsidRPr="00C93FB6" w:rsidRDefault="001C70EA" w:rsidP="00507D1A">
            <w:pPr>
              <w:pStyle w:val="3"/>
              <w:numPr>
                <w:ilvl w:val="0"/>
                <w:numId w:val="0"/>
              </w:numPr>
              <w:rPr>
                <w:spacing w:val="-20"/>
                <w:sz w:val="24"/>
              </w:rPr>
            </w:pPr>
          </w:p>
        </w:tc>
        <w:tc>
          <w:tcPr>
            <w:tcW w:w="707" w:type="dxa"/>
            <w:vAlign w:val="center"/>
          </w:tcPr>
          <w:p w:rsidR="001C70EA" w:rsidRPr="00C93FB6" w:rsidRDefault="001C70EA" w:rsidP="00507D1A">
            <w:pPr>
              <w:pStyle w:val="3"/>
              <w:numPr>
                <w:ilvl w:val="0"/>
                <w:numId w:val="0"/>
              </w:numPr>
              <w:jc w:val="center"/>
              <w:rPr>
                <w:spacing w:val="-20"/>
                <w:sz w:val="24"/>
              </w:rPr>
            </w:pPr>
            <w:r w:rsidRPr="00C93FB6">
              <w:rPr>
                <w:rFonts w:hint="eastAsia"/>
                <w:spacing w:val="-20"/>
                <w:sz w:val="24"/>
              </w:rPr>
              <w:t>金額</w:t>
            </w:r>
          </w:p>
        </w:tc>
        <w:tc>
          <w:tcPr>
            <w:tcW w:w="1703" w:type="dxa"/>
            <w:vAlign w:val="center"/>
          </w:tcPr>
          <w:p w:rsidR="001C70EA" w:rsidRPr="00C93FB6" w:rsidRDefault="001C70EA" w:rsidP="00507D1A">
            <w:pPr>
              <w:widowControl/>
              <w:overflowPunct/>
              <w:autoSpaceDE/>
              <w:autoSpaceDN/>
              <w:jc w:val="right"/>
              <w:rPr>
                <w:rFonts w:hAnsi="標楷體" w:cs="新細明體"/>
                <w:kern w:val="0"/>
                <w:sz w:val="24"/>
                <w:szCs w:val="28"/>
              </w:rPr>
            </w:pPr>
            <w:r w:rsidRPr="00C93FB6">
              <w:rPr>
                <w:rFonts w:hAnsi="標楷體" w:cs="新細明體" w:hint="eastAsia"/>
                <w:kern w:val="0"/>
                <w:sz w:val="24"/>
                <w:szCs w:val="28"/>
              </w:rPr>
              <w:t>153,870</w:t>
            </w:r>
          </w:p>
        </w:tc>
        <w:tc>
          <w:tcPr>
            <w:tcW w:w="1481" w:type="dxa"/>
            <w:vAlign w:val="center"/>
          </w:tcPr>
          <w:p w:rsidR="001C70EA" w:rsidRPr="00C93FB6" w:rsidRDefault="001C70EA" w:rsidP="00507D1A">
            <w:pPr>
              <w:widowControl/>
              <w:overflowPunct/>
              <w:autoSpaceDE/>
              <w:autoSpaceDN/>
              <w:jc w:val="right"/>
              <w:rPr>
                <w:rFonts w:hAnsi="標楷體" w:cs="新細明體"/>
                <w:kern w:val="0"/>
                <w:sz w:val="24"/>
                <w:szCs w:val="28"/>
              </w:rPr>
            </w:pPr>
            <w:r w:rsidRPr="00C93FB6">
              <w:rPr>
                <w:rFonts w:hAnsi="標楷體" w:cs="新細明體" w:hint="eastAsia"/>
                <w:kern w:val="0"/>
                <w:sz w:val="24"/>
                <w:szCs w:val="28"/>
              </w:rPr>
              <w:t>868</w:t>
            </w:r>
            <w:r w:rsidRPr="00C93FB6">
              <w:rPr>
                <w:rFonts w:hAnsi="標楷體" w:cs="新細明體"/>
                <w:kern w:val="0"/>
                <w:sz w:val="24"/>
                <w:szCs w:val="28"/>
              </w:rPr>
              <w:t>,</w:t>
            </w:r>
            <w:r w:rsidRPr="00C93FB6">
              <w:rPr>
                <w:rFonts w:hAnsi="標楷體" w:cs="新細明體" w:hint="eastAsia"/>
                <w:kern w:val="0"/>
                <w:sz w:val="24"/>
                <w:szCs w:val="28"/>
              </w:rPr>
              <w:t>407</w:t>
            </w:r>
          </w:p>
        </w:tc>
        <w:tc>
          <w:tcPr>
            <w:tcW w:w="1481" w:type="dxa"/>
            <w:vAlign w:val="center"/>
          </w:tcPr>
          <w:p w:rsidR="001C70EA" w:rsidRPr="00C93FB6" w:rsidRDefault="001C70EA" w:rsidP="00507D1A">
            <w:pPr>
              <w:widowControl/>
              <w:overflowPunct/>
              <w:autoSpaceDE/>
              <w:autoSpaceDN/>
              <w:jc w:val="right"/>
              <w:rPr>
                <w:rFonts w:hAnsi="標楷體" w:cs="新細明體"/>
                <w:kern w:val="0"/>
                <w:sz w:val="24"/>
                <w:szCs w:val="28"/>
              </w:rPr>
            </w:pPr>
            <w:r w:rsidRPr="00C93FB6">
              <w:rPr>
                <w:rFonts w:hAnsi="標楷體" w:cs="新細明體" w:hint="eastAsia"/>
                <w:kern w:val="0"/>
                <w:sz w:val="24"/>
                <w:szCs w:val="28"/>
              </w:rPr>
              <w:t>1</w:t>
            </w:r>
            <w:r w:rsidRPr="00C93FB6">
              <w:rPr>
                <w:rFonts w:hAnsi="標楷體" w:cs="新細明體"/>
                <w:kern w:val="0"/>
                <w:sz w:val="24"/>
                <w:szCs w:val="28"/>
              </w:rPr>
              <w:t>,</w:t>
            </w:r>
            <w:r w:rsidRPr="00C93FB6">
              <w:rPr>
                <w:rFonts w:hAnsi="標楷體" w:cs="新細明體" w:hint="eastAsia"/>
                <w:kern w:val="0"/>
                <w:sz w:val="24"/>
                <w:szCs w:val="28"/>
              </w:rPr>
              <w:t>121</w:t>
            </w:r>
            <w:r w:rsidRPr="00C93FB6">
              <w:rPr>
                <w:rFonts w:hAnsi="標楷體" w:cs="新細明體"/>
                <w:kern w:val="0"/>
                <w:sz w:val="24"/>
                <w:szCs w:val="28"/>
              </w:rPr>
              <w:t>,</w:t>
            </w:r>
            <w:r w:rsidRPr="00C93FB6">
              <w:rPr>
                <w:rFonts w:hAnsi="標楷體" w:cs="新細明體" w:hint="eastAsia"/>
                <w:kern w:val="0"/>
                <w:sz w:val="24"/>
                <w:szCs w:val="28"/>
              </w:rPr>
              <w:t>154</w:t>
            </w:r>
          </w:p>
        </w:tc>
        <w:tc>
          <w:tcPr>
            <w:tcW w:w="1482" w:type="dxa"/>
            <w:vAlign w:val="center"/>
          </w:tcPr>
          <w:p w:rsidR="001C70EA" w:rsidRPr="00C93FB6" w:rsidRDefault="001C70EA" w:rsidP="00507D1A">
            <w:pPr>
              <w:widowControl/>
              <w:overflowPunct/>
              <w:autoSpaceDE/>
              <w:autoSpaceDN/>
              <w:jc w:val="right"/>
              <w:rPr>
                <w:rFonts w:hAnsi="標楷體" w:cs="新細明體"/>
                <w:kern w:val="0"/>
                <w:sz w:val="24"/>
                <w:szCs w:val="28"/>
              </w:rPr>
            </w:pPr>
            <w:r w:rsidRPr="00C93FB6">
              <w:rPr>
                <w:rFonts w:hAnsi="標楷體" w:cs="新細明體" w:hint="eastAsia"/>
                <w:kern w:val="0"/>
                <w:sz w:val="24"/>
                <w:szCs w:val="28"/>
              </w:rPr>
              <w:t>1</w:t>
            </w:r>
            <w:r w:rsidRPr="00C93FB6">
              <w:rPr>
                <w:rFonts w:hAnsi="標楷體" w:cs="新細明體"/>
                <w:kern w:val="0"/>
                <w:sz w:val="24"/>
                <w:szCs w:val="28"/>
              </w:rPr>
              <w:t>,</w:t>
            </w:r>
            <w:r w:rsidRPr="00C93FB6">
              <w:rPr>
                <w:rFonts w:hAnsi="標楷體" w:cs="新細明體" w:hint="eastAsia"/>
                <w:kern w:val="0"/>
                <w:sz w:val="24"/>
                <w:szCs w:val="28"/>
              </w:rPr>
              <w:t>652,093</w:t>
            </w:r>
          </w:p>
        </w:tc>
      </w:tr>
      <w:tr w:rsidR="001C70EA" w:rsidRPr="00C93FB6" w:rsidTr="00507D1A">
        <w:trPr>
          <w:jc w:val="center"/>
        </w:trPr>
        <w:tc>
          <w:tcPr>
            <w:tcW w:w="1980" w:type="dxa"/>
            <w:vMerge w:val="restart"/>
            <w:vAlign w:val="center"/>
          </w:tcPr>
          <w:p w:rsidR="001C70EA" w:rsidRPr="00C93FB6" w:rsidRDefault="001C70EA" w:rsidP="00507D1A">
            <w:pPr>
              <w:pStyle w:val="3"/>
              <w:numPr>
                <w:ilvl w:val="0"/>
                <w:numId w:val="0"/>
              </w:numPr>
              <w:jc w:val="center"/>
              <w:rPr>
                <w:sz w:val="24"/>
              </w:rPr>
            </w:pPr>
            <w:r w:rsidRPr="00C93FB6">
              <w:rPr>
                <w:rFonts w:hint="eastAsia"/>
                <w:sz w:val="24"/>
              </w:rPr>
              <w:t>占比</w:t>
            </w:r>
          </w:p>
        </w:tc>
        <w:tc>
          <w:tcPr>
            <w:tcW w:w="707" w:type="dxa"/>
            <w:vAlign w:val="center"/>
          </w:tcPr>
          <w:p w:rsidR="001C70EA" w:rsidRPr="00C93FB6" w:rsidRDefault="001C70EA" w:rsidP="00507D1A">
            <w:pPr>
              <w:pStyle w:val="3"/>
              <w:numPr>
                <w:ilvl w:val="0"/>
                <w:numId w:val="0"/>
              </w:numPr>
              <w:jc w:val="center"/>
              <w:rPr>
                <w:spacing w:val="-20"/>
                <w:sz w:val="24"/>
              </w:rPr>
            </w:pPr>
            <w:r w:rsidRPr="00C93FB6">
              <w:rPr>
                <w:rFonts w:hint="eastAsia"/>
                <w:spacing w:val="-20"/>
                <w:sz w:val="24"/>
              </w:rPr>
              <w:t>件數</w:t>
            </w:r>
          </w:p>
        </w:tc>
        <w:tc>
          <w:tcPr>
            <w:tcW w:w="1703" w:type="dxa"/>
            <w:vAlign w:val="center"/>
          </w:tcPr>
          <w:p w:rsidR="001C70EA" w:rsidRPr="00C93FB6" w:rsidRDefault="001C70EA" w:rsidP="00507D1A">
            <w:pPr>
              <w:widowControl/>
              <w:overflowPunct/>
              <w:autoSpaceDE/>
              <w:autoSpaceDN/>
              <w:jc w:val="right"/>
              <w:rPr>
                <w:rFonts w:hAnsi="標楷體" w:cs="新細明體"/>
                <w:kern w:val="0"/>
                <w:sz w:val="24"/>
                <w:szCs w:val="28"/>
              </w:rPr>
            </w:pPr>
            <w:r w:rsidRPr="00C93FB6">
              <w:rPr>
                <w:rFonts w:hAnsi="標楷體" w:cs="新細明體" w:hint="eastAsia"/>
                <w:kern w:val="0"/>
                <w:sz w:val="24"/>
                <w:szCs w:val="28"/>
              </w:rPr>
              <w:t>76.7%</w:t>
            </w:r>
          </w:p>
        </w:tc>
        <w:tc>
          <w:tcPr>
            <w:tcW w:w="1481" w:type="dxa"/>
            <w:vAlign w:val="center"/>
          </w:tcPr>
          <w:p w:rsidR="001C70EA" w:rsidRPr="00C93FB6" w:rsidRDefault="001C70EA" w:rsidP="00507D1A">
            <w:pPr>
              <w:jc w:val="right"/>
              <w:rPr>
                <w:rFonts w:hAnsi="標楷體" w:cs="新細明體"/>
                <w:kern w:val="0"/>
                <w:sz w:val="24"/>
                <w:szCs w:val="28"/>
              </w:rPr>
            </w:pPr>
            <w:r w:rsidRPr="00C93FB6">
              <w:rPr>
                <w:rFonts w:hAnsi="標楷體" w:cs="新細明體" w:hint="eastAsia"/>
                <w:kern w:val="0"/>
                <w:sz w:val="24"/>
                <w:szCs w:val="28"/>
              </w:rPr>
              <w:t>15.4%</w:t>
            </w:r>
          </w:p>
        </w:tc>
        <w:tc>
          <w:tcPr>
            <w:tcW w:w="1481" w:type="dxa"/>
            <w:vAlign w:val="center"/>
          </w:tcPr>
          <w:p w:rsidR="001C70EA" w:rsidRPr="00C93FB6" w:rsidRDefault="001C70EA" w:rsidP="00507D1A">
            <w:pPr>
              <w:jc w:val="right"/>
              <w:rPr>
                <w:rFonts w:hAnsi="標楷體" w:cs="新細明體"/>
                <w:kern w:val="0"/>
                <w:sz w:val="24"/>
                <w:szCs w:val="28"/>
              </w:rPr>
            </w:pPr>
            <w:r w:rsidRPr="00C93FB6">
              <w:rPr>
                <w:rFonts w:hAnsi="標楷體" w:cs="新細明體" w:hint="eastAsia"/>
                <w:kern w:val="0"/>
                <w:sz w:val="24"/>
                <w:szCs w:val="28"/>
              </w:rPr>
              <w:t>19.2%</w:t>
            </w:r>
          </w:p>
        </w:tc>
        <w:tc>
          <w:tcPr>
            <w:tcW w:w="1482" w:type="dxa"/>
            <w:vAlign w:val="center"/>
          </w:tcPr>
          <w:p w:rsidR="001C70EA" w:rsidRPr="00C93FB6" w:rsidRDefault="001C70EA" w:rsidP="00507D1A">
            <w:pPr>
              <w:jc w:val="right"/>
              <w:rPr>
                <w:rFonts w:hAnsi="標楷體" w:cs="新細明體"/>
                <w:kern w:val="0"/>
                <w:sz w:val="24"/>
                <w:szCs w:val="28"/>
              </w:rPr>
            </w:pPr>
            <w:r w:rsidRPr="00C93FB6">
              <w:rPr>
                <w:rFonts w:hAnsi="標楷體" w:cs="新細明體" w:hint="eastAsia"/>
                <w:kern w:val="0"/>
                <w:sz w:val="24"/>
                <w:szCs w:val="28"/>
              </w:rPr>
              <w:t>21.2%</w:t>
            </w:r>
          </w:p>
        </w:tc>
      </w:tr>
      <w:tr w:rsidR="001C70EA" w:rsidRPr="00C93FB6" w:rsidTr="00507D1A">
        <w:trPr>
          <w:jc w:val="center"/>
        </w:trPr>
        <w:tc>
          <w:tcPr>
            <w:tcW w:w="1980" w:type="dxa"/>
            <w:vMerge/>
          </w:tcPr>
          <w:p w:rsidR="001C70EA" w:rsidRPr="00C93FB6" w:rsidRDefault="001C70EA" w:rsidP="00507D1A">
            <w:pPr>
              <w:pStyle w:val="3"/>
              <w:numPr>
                <w:ilvl w:val="0"/>
                <w:numId w:val="0"/>
              </w:numPr>
              <w:rPr>
                <w:sz w:val="24"/>
              </w:rPr>
            </w:pPr>
          </w:p>
        </w:tc>
        <w:tc>
          <w:tcPr>
            <w:tcW w:w="707" w:type="dxa"/>
            <w:vAlign w:val="center"/>
          </w:tcPr>
          <w:p w:rsidR="001C70EA" w:rsidRPr="00C93FB6" w:rsidRDefault="001C70EA" w:rsidP="00507D1A">
            <w:pPr>
              <w:pStyle w:val="3"/>
              <w:numPr>
                <w:ilvl w:val="0"/>
                <w:numId w:val="0"/>
              </w:numPr>
              <w:jc w:val="center"/>
              <w:rPr>
                <w:spacing w:val="-20"/>
                <w:sz w:val="24"/>
              </w:rPr>
            </w:pPr>
            <w:r w:rsidRPr="00C93FB6">
              <w:rPr>
                <w:rFonts w:hint="eastAsia"/>
                <w:spacing w:val="-20"/>
                <w:sz w:val="24"/>
              </w:rPr>
              <w:t>金額</w:t>
            </w:r>
          </w:p>
        </w:tc>
        <w:tc>
          <w:tcPr>
            <w:tcW w:w="1703" w:type="dxa"/>
            <w:vAlign w:val="center"/>
          </w:tcPr>
          <w:p w:rsidR="001C70EA" w:rsidRPr="00C93FB6" w:rsidRDefault="001C70EA" w:rsidP="00507D1A">
            <w:pPr>
              <w:widowControl/>
              <w:overflowPunct/>
              <w:autoSpaceDE/>
              <w:autoSpaceDN/>
              <w:jc w:val="right"/>
              <w:rPr>
                <w:rFonts w:hAnsi="標楷體" w:cs="新細明體"/>
                <w:kern w:val="0"/>
                <w:sz w:val="24"/>
                <w:szCs w:val="28"/>
              </w:rPr>
            </w:pPr>
            <w:r w:rsidRPr="00C93FB6">
              <w:rPr>
                <w:rFonts w:hAnsi="標楷體" w:cs="新細明體" w:hint="eastAsia"/>
                <w:kern w:val="0"/>
                <w:sz w:val="24"/>
                <w:szCs w:val="28"/>
              </w:rPr>
              <w:t>185.2%</w:t>
            </w:r>
          </w:p>
        </w:tc>
        <w:tc>
          <w:tcPr>
            <w:tcW w:w="1481" w:type="dxa"/>
            <w:vAlign w:val="center"/>
          </w:tcPr>
          <w:p w:rsidR="001C70EA" w:rsidRPr="00C93FB6" w:rsidRDefault="001C70EA" w:rsidP="00507D1A">
            <w:pPr>
              <w:widowControl/>
              <w:overflowPunct/>
              <w:autoSpaceDE/>
              <w:autoSpaceDN/>
              <w:jc w:val="right"/>
              <w:rPr>
                <w:rFonts w:hAnsi="標楷體" w:cs="新細明體"/>
                <w:kern w:val="0"/>
                <w:sz w:val="24"/>
                <w:szCs w:val="28"/>
              </w:rPr>
            </w:pPr>
            <w:r w:rsidRPr="00C93FB6">
              <w:rPr>
                <w:rFonts w:hAnsi="標楷體" w:cs="新細明體" w:hint="eastAsia"/>
                <w:kern w:val="0"/>
                <w:sz w:val="24"/>
                <w:szCs w:val="28"/>
              </w:rPr>
              <w:t>62.4%</w:t>
            </w:r>
          </w:p>
        </w:tc>
        <w:tc>
          <w:tcPr>
            <w:tcW w:w="1481" w:type="dxa"/>
            <w:vAlign w:val="center"/>
          </w:tcPr>
          <w:p w:rsidR="001C70EA" w:rsidRPr="00C93FB6" w:rsidRDefault="001C70EA" w:rsidP="00507D1A">
            <w:pPr>
              <w:widowControl/>
              <w:overflowPunct/>
              <w:autoSpaceDE/>
              <w:autoSpaceDN/>
              <w:jc w:val="right"/>
              <w:rPr>
                <w:rFonts w:hAnsi="標楷體" w:cs="新細明體"/>
                <w:kern w:val="0"/>
                <w:sz w:val="24"/>
                <w:szCs w:val="28"/>
              </w:rPr>
            </w:pPr>
            <w:r w:rsidRPr="00C93FB6">
              <w:rPr>
                <w:rFonts w:hAnsi="標楷體" w:cs="新細明體" w:hint="eastAsia"/>
                <w:kern w:val="0"/>
                <w:sz w:val="24"/>
                <w:szCs w:val="28"/>
              </w:rPr>
              <w:t>12.3%</w:t>
            </w:r>
          </w:p>
        </w:tc>
        <w:tc>
          <w:tcPr>
            <w:tcW w:w="1482" w:type="dxa"/>
            <w:vAlign w:val="center"/>
          </w:tcPr>
          <w:p w:rsidR="001C70EA" w:rsidRPr="00C93FB6" w:rsidRDefault="001C70EA" w:rsidP="00507D1A">
            <w:pPr>
              <w:widowControl/>
              <w:overflowPunct/>
              <w:autoSpaceDE/>
              <w:autoSpaceDN/>
              <w:jc w:val="right"/>
              <w:rPr>
                <w:rFonts w:hAnsi="標楷體" w:cs="新細明體"/>
                <w:kern w:val="0"/>
                <w:sz w:val="24"/>
                <w:szCs w:val="28"/>
              </w:rPr>
            </w:pPr>
            <w:r w:rsidRPr="00C93FB6">
              <w:rPr>
                <w:rFonts w:hAnsi="標楷體" w:cs="新細明體" w:hint="eastAsia"/>
                <w:kern w:val="0"/>
                <w:sz w:val="24"/>
                <w:szCs w:val="28"/>
              </w:rPr>
              <w:t>9.2%</w:t>
            </w:r>
          </w:p>
        </w:tc>
      </w:tr>
    </w:tbl>
    <w:p w:rsidR="001C70EA" w:rsidRPr="00C93FB6" w:rsidRDefault="001C70EA" w:rsidP="001C70EA">
      <w:pPr>
        <w:pStyle w:val="3"/>
        <w:numPr>
          <w:ilvl w:val="0"/>
          <w:numId w:val="0"/>
        </w:numPr>
        <w:spacing w:afterLines="30" w:after="137" w:line="320" w:lineRule="exact"/>
      </w:pPr>
      <w:r w:rsidRPr="00C93FB6">
        <w:rPr>
          <w:rFonts w:hint="eastAsia"/>
          <w:sz w:val="24"/>
        </w:rPr>
        <w:t>資料來源：法務部提供，</w:t>
      </w:r>
      <w:proofErr w:type="gramStart"/>
      <w:r w:rsidRPr="00C93FB6">
        <w:rPr>
          <w:rFonts w:hint="eastAsia"/>
          <w:sz w:val="24"/>
        </w:rPr>
        <w:t>本院彙整</w:t>
      </w:r>
      <w:proofErr w:type="gramEnd"/>
      <w:r w:rsidRPr="00C93FB6">
        <w:rPr>
          <w:rFonts w:hint="eastAsia"/>
          <w:sz w:val="24"/>
        </w:rPr>
        <w:t>。</w:t>
      </w:r>
    </w:p>
    <w:p w:rsidR="001C70EA" w:rsidRPr="00C93FB6" w:rsidRDefault="001C70EA" w:rsidP="001C70EA">
      <w:pPr>
        <w:pStyle w:val="4"/>
      </w:pPr>
      <w:r w:rsidRPr="00C93FB6">
        <w:rPr>
          <w:rFonts w:hint="eastAsia"/>
        </w:rPr>
        <w:t>依法務部函復：</w:t>
      </w:r>
    </w:p>
    <w:p w:rsidR="001C70EA" w:rsidRPr="00C93FB6" w:rsidRDefault="001C70EA" w:rsidP="001C70EA">
      <w:pPr>
        <w:pStyle w:val="5"/>
      </w:pPr>
      <w:r w:rsidRPr="00C93FB6">
        <w:rPr>
          <w:rFonts w:hint="eastAsia"/>
        </w:rPr>
        <w:t>偵查中保全犯罪所得之實施，為檢察官偵辦個案之核心權限，為司法處分，且為檢察官職權之核心事項，</w:t>
      </w:r>
      <w:proofErr w:type="gramStart"/>
      <w:r w:rsidRPr="00C93FB6">
        <w:rPr>
          <w:rFonts w:hint="eastAsia"/>
        </w:rPr>
        <w:t>該部就偵查</w:t>
      </w:r>
      <w:proofErr w:type="gramEnd"/>
      <w:r w:rsidRPr="00C93FB6">
        <w:rPr>
          <w:rFonts w:hint="eastAsia"/>
        </w:rPr>
        <w:t>中保全犯罪</w:t>
      </w:r>
      <w:proofErr w:type="gramStart"/>
      <w:r w:rsidRPr="00C93FB6">
        <w:rPr>
          <w:rFonts w:hint="eastAsia"/>
        </w:rPr>
        <w:t>所得之督考</w:t>
      </w:r>
      <w:proofErr w:type="gramEnd"/>
      <w:r w:rsidRPr="00C93FB6">
        <w:rPr>
          <w:rFonts w:hint="eastAsia"/>
        </w:rPr>
        <w:t>，係依據檢察機關辦理刑事訴訟案件應行注意事項，監督相關作為是否有怠惰、違失，但不得涉及檢察官職權之核心。若要求地檢署必須逐步提升實施比例或達到特定指標或成效，均涉及檢察官職權核心範圍，非該部主管之檢察行政可加以指示。故</w:t>
      </w:r>
      <w:proofErr w:type="gramStart"/>
      <w:r w:rsidRPr="00C93FB6">
        <w:rPr>
          <w:rFonts w:hint="eastAsia"/>
        </w:rPr>
        <w:t>該部僅能</w:t>
      </w:r>
      <w:proofErr w:type="gramEnd"/>
      <w:r w:rsidRPr="00C93FB6">
        <w:rPr>
          <w:rFonts w:hint="eastAsia"/>
        </w:rPr>
        <w:t>督促所屬檢察署積極辦理犯罪所得之保全，並提供必要之行政支援。</w:t>
      </w:r>
    </w:p>
    <w:p w:rsidR="001C70EA" w:rsidRPr="00C93FB6" w:rsidRDefault="001C70EA" w:rsidP="001C70EA">
      <w:pPr>
        <w:pStyle w:val="5"/>
      </w:pPr>
      <w:r w:rsidRPr="00C93FB6">
        <w:rPr>
          <w:rFonts w:hint="eastAsia"/>
        </w:rPr>
        <w:t>偵查中保全犯罪所得之金額，在不同個案之間會有巨大差異，此為無法要求其金額應每年逐步提升之原因。若有特定個案於偵查中保全鉅額犯罪所得，自會造成該年度偵查中保全犯罪所得之統計金額大增，下一年度若無類似個案，年度查扣金額自難與前一年度相近。全國檢察機關自10</w:t>
      </w:r>
      <w:r w:rsidRPr="00C93FB6">
        <w:t>5</w:t>
      </w:r>
      <w:r w:rsidRPr="00C93FB6">
        <w:rPr>
          <w:rFonts w:hint="eastAsia"/>
        </w:rPr>
        <w:t>年至108年各年偵查中保全犯罪所得金額不一，無固定成長現象，與特定個案情況有密切關係。該部將持續督促所屬檢察署積極辦理犯罪所得之保全，避免怠惰、違失發生，並提供必要之行政支援，以利成效之提升。</w:t>
      </w:r>
    </w:p>
    <w:p w:rsidR="005D1A95" w:rsidRPr="00C93FB6" w:rsidRDefault="00562A00" w:rsidP="005D1A95">
      <w:pPr>
        <w:pStyle w:val="3"/>
      </w:pPr>
      <w:r w:rsidRPr="00C93FB6">
        <w:rPr>
          <w:rFonts w:hint="eastAsia"/>
        </w:rPr>
        <w:t>綜上，</w:t>
      </w:r>
      <w:r w:rsidR="005D1A95" w:rsidRPr="00C93FB6">
        <w:rPr>
          <w:rFonts w:hint="eastAsia"/>
        </w:rPr>
        <w:t>截至目前各地檢署執行經判決確定之未結案</w:t>
      </w:r>
      <w:r w:rsidR="005D1A95" w:rsidRPr="00C93FB6">
        <w:rPr>
          <w:rFonts w:hint="eastAsia"/>
        </w:rPr>
        <w:lastRenderedPageBreak/>
        <w:t>件中，執行已逾5年之件數及金額僅占4.1%及4.9%，而仍以執行「已逾6個月未逾2年」及執行「已逾2年未逾5年」者為多，顯示未結案件中，屬</w:t>
      </w:r>
      <w:r w:rsidR="005D1A95" w:rsidRPr="00C93FB6">
        <w:rPr>
          <w:rFonts w:hAnsi="標楷體" w:hint="eastAsia"/>
        </w:rPr>
        <w:t>「</w:t>
      </w:r>
      <w:r w:rsidR="005D1A95" w:rsidRPr="00C93FB6">
        <w:rPr>
          <w:rFonts w:hint="eastAsia"/>
        </w:rPr>
        <w:t>案件因年代久遠，當事人或早已潛逃、失聯甚至行蹤不明，以致無從執行</w:t>
      </w:r>
      <w:r w:rsidR="005D1A95" w:rsidRPr="00C93FB6">
        <w:rPr>
          <w:rFonts w:hAnsi="標楷體" w:hint="eastAsia"/>
        </w:rPr>
        <w:t>」較少，而</w:t>
      </w:r>
      <w:r w:rsidR="005D1A95" w:rsidRPr="00C93FB6">
        <w:rPr>
          <w:rFonts w:hint="eastAsia"/>
        </w:rPr>
        <w:t>以屬</w:t>
      </w:r>
      <w:r w:rsidR="005D1A95" w:rsidRPr="00C93FB6">
        <w:rPr>
          <w:rFonts w:hAnsi="標楷體" w:hint="eastAsia"/>
        </w:rPr>
        <w:t>「</w:t>
      </w:r>
      <w:r w:rsidR="005D1A95" w:rsidRPr="00C93FB6">
        <w:rPr>
          <w:rFonts w:hint="eastAsia"/>
        </w:rPr>
        <w:t>在新制實施前並無保全扣押制度，無法阻止當事人脫產</w:t>
      </w:r>
      <w:r w:rsidR="005D1A95" w:rsidRPr="00C93FB6">
        <w:rPr>
          <w:rFonts w:hAnsi="標楷體" w:hint="eastAsia"/>
        </w:rPr>
        <w:t>」</w:t>
      </w:r>
      <w:r w:rsidR="005D1A95" w:rsidRPr="00C93FB6">
        <w:rPr>
          <w:rFonts w:hint="eastAsia"/>
        </w:rPr>
        <w:t>及</w:t>
      </w:r>
      <w:r w:rsidR="005D1A95" w:rsidRPr="00C93FB6">
        <w:rPr>
          <w:rFonts w:hAnsi="標楷體" w:hint="eastAsia"/>
        </w:rPr>
        <w:t>「</w:t>
      </w:r>
      <w:r w:rsidR="005D1A95" w:rsidRPr="00C93FB6">
        <w:rPr>
          <w:rFonts w:hint="eastAsia"/>
        </w:rPr>
        <w:t>案件當事人自始即無所得或財產可供執行，或自始即已脫產或藏匿財產，導致保全扣押亦無效果</w:t>
      </w:r>
      <w:r w:rsidR="005D1A95" w:rsidRPr="00C93FB6">
        <w:rPr>
          <w:rFonts w:hAnsi="標楷體" w:hint="eastAsia"/>
        </w:rPr>
        <w:t>」</w:t>
      </w:r>
      <w:r w:rsidR="005D1A95" w:rsidRPr="00C93FB6">
        <w:rPr>
          <w:rFonts w:hint="eastAsia"/>
        </w:rPr>
        <w:t>之情況為多，</w:t>
      </w:r>
      <w:proofErr w:type="gramStart"/>
      <w:r w:rsidR="005D1A95" w:rsidRPr="00C93FB6">
        <w:rPr>
          <w:rFonts w:hint="eastAsia"/>
        </w:rPr>
        <w:t>爰</w:t>
      </w:r>
      <w:proofErr w:type="gramEnd"/>
      <w:r w:rsidR="005D1A95" w:rsidRPr="00C93FB6">
        <w:rPr>
          <w:rFonts w:hint="eastAsia"/>
        </w:rPr>
        <w:t>加強</w:t>
      </w:r>
      <w:proofErr w:type="gramStart"/>
      <w:r w:rsidR="005D1A95" w:rsidRPr="00C93FB6">
        <w:rPr>
          <w:rFonts w:hint="eastAsia"/>
        </w:rPr>
        <w:t>偵</w:t>
      </w:r>
      <w:proofErr w:type="gramEnd"/>
      <w:r w:rsidR="005D1A95" w:rsidRPr="00C93FB6">
        <w:rPr>
          <w:rFonts w:hint="eastAsia"/>
        </w:rPr>
        <w:t>審中保全扣押制度之落實，確有必要。法務部表示將持續督促所屬檢察署積極辦理犯罪所得之保全，避免怠惰、違失發生，並提供必要之行政支援，以利成效之提升，允宜確實辦理。</w:t>
      </w:r>
    </w:p>
    <w:p w:rsidR="003A5927" w:rsidRPr="00C93FB6" w:rsidRDefault="006404E9" w:rsidP="006935B2">
      <w:pPr>
        <w:pStyle w:val="2"/>
        <w:rPr>
          <w:b/>
        </w:rPr>
      </w:pPr>
      <w:r w:rsidRPr="00C93FB6">
        <w:rPr>
          <w:rFonts w:hint="eastAsia"/>
          <w:b/>
        </w:rPr>
        <w:t>各地檢署</w:t>
      </w:r>
      <w:r w:rsidR="001D5FFC" w:rsidRPr="00C93FB6">
        <w:rPr>
          <w:rFonts w:hint="eastAsia"/>
          <w:b/>
        </w:rPr>
        <w:t>人力原已不足，</w:t>
      </w:r>
      <w:r w:rsidR="00940A4D" w:rsidRPr="00C93FB6">
        <w:rPr>
          <w:rFonts w:hint="eastAsia"/>
          <w:b/>
        </w:rPr>
        <w:t>而</w:t>
      </w:r>
      <w:r w:rsidR="001D5FFC" w:rsidRPr="00C93FB6">
        <w:rPr>
          <w:rFonts w:hint="eastAsia"/>
          <w:b/>
        </w:rPr>
        <w:t>執行案件逐年增加。</w:t>
      </w:r>
      <w:r w:rsidR="001D5FFC" w:rsidRPr="00C3539D">
        <w:rPr>
          <w:b/>
        </w:rPr>
        <w:t>法務部與</w:t>
      </w:r>
      <w:r w:rsidR="001D5FFC" w:rsidRPr="00C3539D">
        <w:rPr>
          <w:rFonts w:hint="eastAsia"/>
          <w:b/>
        </w:rPr>
        <w:t>金管會</w:t>
      </w:r>
      <w:r w:rsidR="001D5FFC" w:rsidRPr="00C3539D">
        <w:rPr>
          <w:b/>
        </w:rPr>
        <w:t>溝通協調</w:t>
      </w:r>
      <w:r w:rsidR="001D5FFC" w:rsidRPr="00C3539D">
        <w:rPr>
          <w:rFonts w:hint="eastAsia"/>
          <w:b/>
        </w:rPr>
        <w:t>，建置</w:t>
      </w:r>
      <w:r w:rsidR="001D5FFC" w:rsidRPr="00C3539D">
        <w:rPr>
          <w:b/>
        </w:rPr>
        <w:t>「金融</w:t>
      </w:r>
      <w:proofErr w:type="gramStart"/>
      <w:r w:rsidR="001D5FFC" w:rsidRPr="00C3539D">
        <w:rPr>
          <w:b/>
        </w:rPr>
        <w:t>區塊鏈帳</w:t>
      </w:r>
      <w:r w:rsidR="001D5FFC" w:rsidRPr="00C93FB6">
        <w:rPr>
          <w:b/>
          <w:szCs w:val="36"/>
        </w:rPr>
        <w:t>戶</w:t>
      </w:r>
      <w:proofErr w:type="gramEnd"/>
      <w:r w:rsidR="001D5FFC" w:rsidRPr="00C93FB6">
        <w:rPr>
          <w:b/>
          <w:szCs w:val="36"/>
        </w:rPr>
        <w:t>餘額查詢系統」</w:t>
      </w:r>
      <w:r w:rsidR="001D5FFC" w:rsidRPr="00C93FB6">
        <w:rPr>
          <w:rFonts w:hint="eastAsia"/>
          <w:b/>
        </w:rPr>
        <w:t>，</w:t>
      </w:r>
      <w:r w:rsidR="001D5FFC" w:rsidRPr="00C93FB6">
        <w:rPr>
          <w:rFonts w:hAnsi="標楷體"/>
          <w:b/>
        </w:rPr>
        <w:t>新增回饋帳戶餘額等功能，</w:t>
      </w:r>
      <w:r w:rsidR="001D5FFC" w:rsidRPr="00C93FB6">
        <w:rPr>
          <w:rFonts w:hint="eastAsia"/>
          <w:b/>
        </w:rPr>
        <w:t>提升法務執行</w:t>
      </w:r>
      <w:r w:rsidR="002F25B5">
        <w:rPr>
          <w:rFonts w:hint="eastAsia"/>
          <w:b/>
        </w:rPr>
        <w:t>及</w:t>
      </w:r>
      <w:r w:rsidR="001D5FFC" w:rsidRPr="00C93FB6">
        <w:rPr>
          <w:rFonts w:hint="eastAsia"/>
          <w:b/>
        </w:rPr>
        <w:t>資通訊交換服務能力，</w:t>
      </w:r>
      <w:r w:rsidR="001D5FFC" w:rsidRPr="00C93FB6">
        <w:rPr>
          <w:rFonts w:hAnsi="標楷體" w:hint="eastAsia"/>
          <w:b/>
        </w:rPr>
        <w:t>對於</w:t>
      </w:r>
      <w:r w:rsidR="001D5FFC" w:rsidRPr="00C93FB6">
        <w:rPr>
          <w:rFonts w:hAnsi="標楷體"/>
          <w:b/>
        </w:rPr>
        <w:t>增進犯罪所得沒收執行之及時性及有效性</w:t>
      </w:r>
      <w:r w:rsidR="001D5FFC" w:rsidRPr="00C93FB6">
        <w:rPr>
          <w:rFonts w:hAnsi="標楷體" w:hint="eastAsia"/>
          <w:b/>
        </w:rPr>
        <w:t>，應有相當助益；</w:t>
      </w:r>
      <w:proofErr w:type="gramStart"/>
      <w:r w:rsidR="001D5FFC" w:rsidRPr="00C93FB6">
        <w:rPr>
          <w:rFonts w:hAnsi="標楷體" w:hint="eastAsia"/>
          <w:b/>
        </w:rPr>
        <w:t>該部</w:t>
      </w:r>
      <w:r w:rsidR="001D5FFC" w:rsidRPr="00C93FB6">
        <w:rPr>
          <w:rFonts w:hint="eastAsia"/>
          <w:b/>
        </w:rPr>
        <w:t>為落實</w:t>
      </w:r>
      <w:proofErr w:type="gramEnd"/>
      <w:r w:rsidR="001D5FFC" w:rsidRPr="00C93FB6">
        <w:rPr>
          <w:rFonts w:hint="eastAsia"/>
          <w:b/>
        </w:rPr>
        <w:t>澈底剝奪追討犯罪所得，</w:t>
      </w:r>
      <w:r w:rsidR="001D5FFC" w:rsidRPr="00C93FB6">
        <w:rPr>
          <w:b/>
        </w:rPr>
        <w:t>斷絕犯罪人之利基，杜絕犯罪誘因</w:t>
      </w:r>
      <w:r w:rsidR="001D5FFC" w:rsidRPr="00C93FB6">
        <w:rPr>
          <w:rFonts w:hint="eastAsia"/>
          <w:b/>
        </w:rPr>
        <w:t>，彰顯</w:t>
      </w:r>
      <w:r w:rsidR="001D5FFC" w:rsidRPr="00C93FB6">
        <w:rPr>
          <w:b/>
        </w:rPr>
        <w:t>公平正義</w:t>
      </w:r>
      <w:r w:rsidR="001D5FFC" w:rsidRPr="00C93FB6">
        <w:rPr>
          <w:rFonts w:hint="eastAsia"/>
          <w:b/>
        </w:rPr>
        <w:t>，並減輕人力作業負擔，</w:t>
      </w:r>
      <w:proofErr w:type="gramStart"/>
      <w:r w:rsidR="001D5FFC" w:rsidRPr="00C93FB6">
        <w:rPr>
          <w:rFonts w:hint="eastAsia"/>
          <w:b/>
        </w:rPr>
        <w:t>甚值肯認</w:t>
      </w:r>
      <w:proofErr w:type="gramEnd"/>
      <w:r w:rsidR="001D5FFC" w:rsidRPr="00C93FB6">
        <w:rPr>
          <w:rFonts w:hint="eastAsia"/>
          <w:b/>
        </w:rPr>
        <w:t>。法務部及金管會允宜持續溝通協調，</w:t>
      </w:r>
      <w:r w:rsidR="002058F9" w:rsidRPr="00C93FB6">
        <w:rPr>
          <w:rFonts w:hint="eastAsia"/>
          <w:b/>
        </w:rPr>
        <w:t>或由法務部評估整合所屬機關之需求自建系統，</w:t>
      </w:r>
      <w:r w:rsidR="001D5FFC" w:rsidRPr="00C93FB6">
        <w:rPr>
          <w:rFonts w:hint="eastAsia"/>
          <w:b/>
        </w:rPr>
        <w:t>在兼顧資料隱密性、傳送安全及</w:t>
      </w:r>
      <w:r w:rsidR="001D5FFC" w:rsidRPr="00C93FB6">
        <w:rPr>
          <w:b/>
        </w:rPr>
        <w:t>民眾隱私權</w:t>
      </w:r>
      <w:r w:rsidR="001D5FFC" w:rsidRPr="00C93FB6">
        <w:rPr>
          <w:rFonts w:hint="eastAsia"/>
          <w:b/>
        </w:rPr>
        <w:t>之情形下，</w:t>
      </w:r>
      <w:proofErr w:type="gramStart"/>
      <w:r w:rsidR="001D5FFC" w:rsidRPr="00C93FB6">
        <w:rPr>
          <w:rFonts w:hint="eastAsia"/>
          <w:b/>
        </w:rPr>
        <w:t>賡</w:t>
      </w:r>
      <w:proofErr w:type="gramEnd"/>
      <w:r w:rsidR="001D5FFC" w:rsidRPr="00C93FB6">
        <w:rPr>
          <w:rFonts w:hint="eastAsia"/>
          <w:b/>
        </w:rPr>
        <w:t>續相關方案之推動。</w:t>
      </w:r>
    </w:p>
    <w:p w:rsidR="0088296C" w:rsidRPr="00C93FB6" w:rsidRDefault="00F86AED" w:rsidP="00F86AED">
      <w:pPr>
        <w:pStyle w:val="3"/>
      </w:pPr>
      <w:r w:rsidRPr="00C93FB6">
        <w:rPr>
          <w:rFonts w:hint="eastAsia"/>
        </w:rPr>
        <w:t>按罰金、罰鍰、沒收及沒入之裁判，應依檢察官之命令執行之；前項命令與民事執行名義有同一之效力，刑事訴訟法第470條第1項前段、第2項分別定有明文。檢察官依確定判決執行追徵犯罪所得時，自得依前揭刑事訴訟法之相關規定辦理。</w:t>
      </w:r>
    </w:p>
    <w:p w:rsidR="00F86AED" w:rsidRPr="00C93FB6" w:rsidRDefault="00F86AED" w:rsidP="00F86AED">
      <w:pPr>
        <w:pStyle w:val="3"/>
      </w:pPr>
      <w:r w:rsidRPr="00C93FB6">
        <w:rPr>
          <w:rFonts w:hint="eastAsia"/>
        </w:rPr>
        <w:t>依法務部說明：</w:t>
      </w:r>
    </w:p>
    <w:p w:rsidR="00F86AED" w:rsidRPr="00C93FB6" w:rsidRDefault="00F86AED" w:rsidP="00F86AED">
      <w:pPr>
        <w:pStyle w:val="4"/>
      </w:pPr>
      <w:r w:rsidRPr="00C93FB6">
        <w:rPr>
          <w:rFonts w:hint="eastAsia"/>
        </w:rPr>
        <w:t>依確定判決</w:t>
      </w:r>
      <w:proofErr w:type="gramStart"/>
      <w:r w:rsidRPr="00C93FB6">
        <w:rPr>
          <w:rFonts w:hint="eastAsia"/>
        </w:rPr>
        <w:t>諭</w:t>
      </w:r>
      <w:proofErr w:type="gramEnd"/>
      <w:r w:rsidRPr="00C93FB6">
        <w:rPr>
          <w:rFonts w:hint="eastAsia"/>
        </w:rPr>
        <w:t>知應沒收受刑人未扣案之犯罪所</w:t>
      </w:r>
      <w:r w:rsidRPr="00C93FB6">
        <w:rPr>
          <w:rFonts w:hint="eastAsia"/>
        </w:rPr>
        <w:lastRenderedPageBreak/>
        <w:t>得，而於受刑人未繳納或未</w:t>
      </w:r>
      <w:proofErr w:type="gramStart"/>
      <w:r w:rsidRPr="00C93FB6">
        <w:rPr>
          <w:rFonts w:hint="eastAsia"/>
        </w:rPr>
        <w:t>繳足應沒收</w:t>
      </w:r>
      <w:proofErr w:type="gramEnd"/>
      <w:r w:rsidRPr="00C93FB6">
        <w:rPr>
          <w:rFonts w:hint="eastAsia"/>
        </w:rPr>
        <w:t>之犯罪所得時，受刑人名下之銀行存款，即為檢察官所得執行追徵及沒收處分抵償之標的，而有查詢受刑人銀行帳戶存款餘額，以追徵其犯罪所得之必要。</w:t>
      </w:r>
    </w:p>
    <w:p w:rsidR="00F86AED" w:rsidRPr="00C93FB6" w:rsidRDefault="00F86AED" w:rsidP="00F86AED">
      <w:pPr>
        <w:pStyle w:val="4"/>
      </w:pPr>
      <w:r w:rsidRPr="00C93FB6">
        <w:rPr>
          <w:rFonts w:hint="eastAsia"/>
        </w:rPr>
        <w:t>承辦股收到應執行沒收犯罪所得之新案時，視個案情節，先查詢受刑人名下之金融帳戶開戶資料，後續如受刑人經傳喚到案或未到案足額繳納犯罪所得時，檢察署即發文向銀行查詢受刑人名下所開立之存款帳戶餘額，並以判決宣告應沒收之犯罪所得範圍內禁止受刑人向銀行收取，或視存款餘額有結餘時，再行文銀行查扣受刑人應沒收之犯罪所得範圍內存款，向核發命令或發函之地檢署支付。</w:t>
      </w:r>
    </w:p>
    <w:p w:rsidR="00783E1D" w:rsidRPr="00C93FB6" w:rsidRDefault="00783E1D" w:rsidP="00783E1D">
      <w:pPr>
        <w:pStyle w:val="3"/>
      </w:pPr>
      <w:r w:rsidRPr="00C93FB6">
        <w:rPr>
          <w:rFonts w:hint="eastAsia"/>
        </w:rPr>
        <w:t>依金管會說明：</w:t>
      </w:r>
    </w:p>
    <w:p w:rsidR="00783E1D" w:rsidRPr="00C93FB6" w:rsidRDefault="00783E1D" w:rsidP="00783E1D">
      <w:pPr>
        <w:pStyle w:val="4"/>
      </w:pPr>
      <w:r w:rsidRPr="00C93FB6">
        <w:rPr>
          <w:rFonts w:hint="eastAsia"/>
        </w:rPr>
        <w:t>為因應全球金融科技發展趨勢，該會近年積極推動金融科技之</w:t>
      </w:r>
      <w:r w:rsidRPr="00C93FB6">
        <w:rPr>
          <w:rFonts w:hint="eastAsia"/>
          <w:szCs w:val="32"/>
        </w:rPr>
        <w:t>創新</w:t>
      </w:r>
      <w:r w:rsidRPr="00C93FB6">
        <w:rPr>
          <w:rFonts w:hint="eastAsia"/>
        </w:rPr>
        <w:t>發展，以「負責任創新」為核心原則，建構兼顧實踐創新與管理風險之監理，在考量金融科技對社會之影響及潛在衝擊下，鼓勵新科技之運用。</w:t>
      </w:r>
    </w:p>
    <w:p w:rsidR="00783E1D" w:rsidRPr="00C93FB6" w:rsidRDefault="00783E1D" w:rsidP="00783E1D">
      <w:pPr>
        <w:pStyle w:val="4"/>
      </w:pPr>
      <w:r w:rsidRPr="00C93FB6">
        <w:rPr>
          <w:rFonts w:hint="eastAsia"/>
          <w:szCs w:val="32"/>
        </w:rPr>
        <w:t>協調建置</w:t>
      </w:r>
      <w:r w:rsidRPr="00C93FB6">
        <w:rPr>
          <w:szCs w:val="32"/>
        </w:rPr>
        <w:t>「金融帳戶開戶查詢系統」</w:t>
      </w:r>
      <w:r w:rsidRPr="00C93FB6">
        <w:rPr>
          <w:rFonts w:hint="eastAsia"/>
          <w:szCs w:val="32"/>
        </w:rPr>
        <w:t>：</w:t>
      </w:r>
      <w:r w:rsidRPr="00C93FB6">
        <w:t>89年</w:t>
      </w:r>
      <w:r w:rsidRPr="00C93FB6">
        <w:rPr>
          <w:rFonts w:hint="eastAsia"/>
        </w:rPr>
        <w:t>該</w:t>
      </w:r>
      <w:r w:rsidRPr="00C93FB6">
        <w:t>會為協助法務部掃除黑金，協調財金公司</w:t>
      </w:r>
      <w:r w:rsidRPr="00C93FB6">
        <w:rPr>
          <w:rFonts w:hint="eastAsia"/>
        </w:rPr>
        <w:t>於90年</w:t>
      </w:r>
      <w:r w:rsidRPr="00C93FB6">
        <w:t>設置「金融帳戶開戶查詢系統」。目前法務部各級檢察署、調查局、行政執行署等相關單位可藉由該系統，查詢義務人存款所在金融機構</w:t>
      </w:r>
      <w:r w:rsidRPr="00C93FB6">
        <w:rPr>
          <w:rFonts w:hint="eastAsia"/>
        </w:rPr>
        <w:t>。</w:t>
      </w:r>
      <w:r w:rsidRPr="00C93FB6">
        <w:t>惟該系統查詢功能之建置</w:t>
      </w:r>
      <w:r w:rsidRPr="00C93FB6">
        <w:rPr>
          <w:rFonts w:hint="eastAsia"/>
        </w:rPr>
        <w:t>尚不得損及銀行客戶存款之金融隱私資料，</w:t>
      </w:r>
      <w:proofErr w:type="gramStart"/>
      <w:r w:rsidRPr="00C93FB6">
        <w:t>爰</w:t>
      </w:r>
      <w:proofErr w:type="gramEnd"/>
      <w:r w:rsidRPr="00C93FB6">
        <w:rPr>
          <w:rFonts w:hint="eastAsia"/>
        </w:rPr>
        <w:t>並未包括</w:t>
      </w:r>
      <w:r w:rsidRPr="00C93FB6">
        <w:t>查詢帳戶餘額之功能。</w:t>
      </w:r>
    </w:p>
    <w:p w:rsidR="00783E1D" w:rsidRPr="00C93FB6" w:rsidRDefault="00783E1D" w:rsidP="00783E1D">
      <w:pPr>
        <w:pStyle w:val="4"/>
      </w:pPr>
      <w:r w:rsidRPr="00C93FB6">
        <w:rPr>
          <w:rFonts w:hint="eastAsia"/>
        </w:rPr>
        <w:t>協調透過電子公文送達</w:t>
      </w:r>
      <w:r w:rsidRPr="00C93FB6">
        <w:t>行政執行命令</w:t>
      </w:r>
      <w:r w:rsidRPr="00C93FB6">
        <w:rPr>
          <w:rFonts w:hint="eastAsia"/>
        </w:rPr>
        <w:t>：法務部100年</w:t>
      </w:r>
      <w:r w:rsidRPr="00C93FB6">
        <w:rPr>
          <w:rFonts w:hAnsi="標楷體" w:hint="eastAsia"/>
        </w:rPr>
        <w:t>訂定「行政執行處執行命令電子公文送達</w:t>
      </w:r>
      <w:r w:rsidRPr="00C93FB6">
        <w:rPr>
          <w:rFonts w:hAnsi="標楷體" w:hint="eastAsia"/>
        </w:rPr>
        <w:lastRenderedPageBreak/>
        <w:t>收受實施要點」</w:t>
      </w:r>
      <w:r w:rsidRPr="00C93FB6">
        <w:rPr>
          <w:rStyle w:val="aff2"/>
          <w:rFonts w:hAnsi="標楷體"/>
        </w:rPr>
        <w:footnoteReference w:id="5"/>
      </w:r>
      <w:r w:rsidR="00CF59B3" w:rsidRPr="00C93FB6">
        <w:rPr>
          <w:rFonts w:hint="eastAsia"/>
        </w:rPr>
        <w:t>，透過</w:t>
      </w:r>
      <w:r w:rsidRPr="00C93FB6">
        <w:t>行政執行署與各金融機構連線，</w:t>
      </w:r>
      <w:r w:rsidRPr="00C93FB6">
        <w:rPr>
          <w:rFonts w:hint="eastAsia"/>
        </w:rPr>
        <w:t>以</w:t>
      </w:r>
      <w:r w:rsidRPr="00C93FB6">
        <w:t>電子公文送達行政執行命令，各金融機構應於收文次一上班日完成扣押作業，扣押結果並得以電子公文</w:t>
      </w:r>
      <w:r w:rsidR="00CF59B3" w:rsidRPr="00C93FB6">
        <w:rPr>
          <w:rFonts w:hint="eastAsia"/>
        </w:rPr>
        <w:t>為之</w:t>
      </w:r>
      <w:r w:rsidRPr="00C93FB6">
        <w:t>，</w:t>
      </w:r>
      <w:r w:rsidRPr="00C93FB6">
        <w:rPr>
          <w:rFonts w:hint="eastAsia"/>
        </w:rPr>
        <w:t>提高扣押之執行</w:t>
      </w:r>
      <w:r w:rsidRPr="00C93FB6">
        <w:t>效率。</w:t>
      </w:r>
      <w:r w:rsidR="00CF59B3" w:rsidRPr="00C93FB6">
        <w:rPr>
          <w:rFonts w:hint="eastAsia"/>
        </w:rPr>
        <w:t>有關存款餘額之查詢亦可透過該系統辦理，由金融機構以電子公文方式直接回報帳戶餘額予行政執行署，可達查詢之效率化目的。</w:t>
      </w:r>
    </w:p>
    <w:p w:rsidR="00783E1D" w:rsidRPr="00C93FB6" w:rsidRDefault="00783E1D" w:rsidP="00783E1D">
      <w:pPr>
        <w:pStyle w:val="3"/>
      </w:pPr>
      <w:r w:rsidRPr="00C93FB6">
        <w:rPr>
          <w:rFonts w:hint="eastAsia"/>
        </w:rPr>
        <w:t>惟依行政執行署說明</w:t>
      </w:r>
      <w:r w:rsidR="0088296C" w:rsidRPr="00C93FB6">
        <w:rPr>
          <w:rStyle w:val="aff2"/>
        </w:rPr>
        <w:footnoteReference w:id="6"/>
      </w:r>
      <w:r w:rsidRPr="00C93FB6">
        <w:rPr>
          <w:rFonts w:hint="eastAsia"/>
        </w:rPr>
        <w:t>：</w:t>
      </w:r>
    </w:p>
    <w:p w:rsidR="00783E1D" w:rsidRPr="00C93FB6" w:rsidRDefault="00783E1D" w:rsidP="00783E1D">
      <w:pPr>
        <w:pStyle w:val="4"/>
      </w:pPr>
      <w:r w:rsidRPr="00C93FB6">
        <w:rPr>
          <w:rFonts w:hAnsi="標楷體" w:hint="eastAsia"/>
        </w:rPr>
        <w:t>該系統僅能</w:t>
      </w:r>
      <w:r w:rsidRPr="00C93FB6">
        <w:t>查詢義務人存款所在金融機構</w:t>
      </w:r>
      <w:r w:rsidRPr="00C93FB6">
        <w:rPr>
          <w:rFonts w:hint="eastAsia"/>
        </w:rPr>
        <w:t>，並未包括</w:t>
      </w:r>
      <w:r w:rsidRPr="00C93FB6">
        <w:t>查詢帳戶餘額之功能</w:t>
      </w:r>
      <w:r w:rsidRPr="00C93FB6">
        <w:rPr>
          <w:rFonts w:hint="eastAsia"/>
        </w:rPr>
        <w:t>，致生超額扣押之情事，造成民怨。且因無法精</w:t>
      </w:r>
      <w:proofErr w:type="gramStart"/>
      <w:r w:rsidRPr="00C93FB6">
        <w:rPr>
          <w:rFonts w:hint="eastAsia"/>
        </w:rPr>
        <w:t>準</w:t>
      </w:r>
      <w:proofErr w:type="gramEnd"/>
      <w:r w:rsidRPr="00C93FB6">
        <w:rPr>
          <w:rFonts w:hint="eastAsia"/>
        </w:rPr>
        <w:t>扣押，而增加執行命令數量，加重金融機構處理執行命令及公文往返之文書作業負擔。</w:t>
      </w:r>
    </w:p>
    <w:p w:rsidR="00783E1D" w:rsidRPr="00C93FB6" w:rsidRDefault="00783E1D" w:rsidP="00783E1D">
      <w:pPr>
        <w:pStyle w:val="4"/>
      </w:pPr>
      <w:r w:rsidRPr="00C93FB6">
        <w:rPr>
          <w:rFonts w:hint="eastAsia"/>
          <w:szCs w:val="32"/>
        </w:rPr>
        <w:t>該署為避免超額扣押，現行分署係以檢附查詢光碟之方式函請金融機構提供義務人存款餘額資料，分署將</w:t>
      </w:r>
      <w:r w:rsidRPr="00C93FB6">
        <w:rPr>
          <w:rFonts w:hint="eastAsia"/>
          <w:shd w:val="clear" w:color="auto" w:fill="F9FBFB"/>
        </w:rPr>
        <w:t>欲查詢之義務人資料儲存於光碟中，發函請金融機構調查，金融機構收受後將查詢結果儲存於光碟中函復分署。107年</w:t>
      </w:r>
      <w:proofErr w:type="gramStart"/>
      <w:r w:rsidRPr="00C93FB6">
        <w:rPr>
          <w:rFonts w:hint="eastAsia"/>
          <w:shd w:val="clear" w:color="auto" w:fill="F9FBFB"/>
        </w:rPr>
        <w:t>該署待查詢</w:t>
      </w:r>
      <w:proofErr w:type="gramEnd"/>
      <w:r w:rsidRPr="00C93FB6">
        <w:rPr>
          <w:rFonts w:hint="eastAsia"/>
          <w:shd w:val="clear" w:color="auto" w:fill="F9FBFB"/>
        </w:rPr>
        <w:t>財產之義務人數130萬餘人，徒增公文往返之文書作業時間，耗費人力紙張甚</w:t>
      </w:r>
      <w:proofErr w:type="gramStart"/>
      <w:r w:rsidRPr="00C93FB6">
        <w:rPr>
          <w:rFonts w:hint="eastAsia"/>
          <w:shd w:val="clear" w:color="auto" w:fill="F9FBFB"/>
        </w:rPr>
        <w:t>鉅</w:t>
      </w:r>
      <w:proofErr w:type="gramEnd"/>
      <w:r w:rsidRPr="00C93FB6">
        <w:rPr>
          <w:rFonts w:hint="eastAsia"/>
          <w:shd w:val="clear" w:color="auto" w:fill="F9FBFB"/>
        </w:rPr>
        <w:t>。</w:t>
      </w:r>
    </w:p>
    <w:p w:rsidR="00783E1D" w:rsidRPr="00C93FB6" w:rsidRDefault="00783E1D" w:rsidP="00783E1D">
      <w:pPr>
        <w:pStyle w:val="4"/>
      </w:pPr>
      <w:r w:rsidRPr="00C93FB6">
        <w:rPr>
          <w:rFonts w:hint="eastAsia"/>
        </w:rPr>
        <w:t>現行</w:t>
      </w:r>
      <w:r w:rsidRPr="00C93FB6">
        <w:rPr>
          <w:szCs w:val="32"/>
        </w:rPr>
        <w:t>「金融帳戶開戶查詢系統」</w:t>
      </w:r>
      <w:r w:rsidRPr="00C93FB6">
        <w:rPr>
          <w:rFonts w:hint="eastAsia"/>
        </w:rPr>
        <w:t>係以通</w:t>
      </w:r>
      <w:proofErr w:type="gramStart"/>
      <w:r w:rsidRPr="00C93FB6">
        <w:rPr>
          <w:rFonts w:hint="eastAsia"/>
        </w:rPr>
        <w:t>匯</w:t>
      </w:r>
      <w:proofErr w:type="gramEnd"/>
      <w:r w:rsidRPr="00C93FB6">
        <w:rPr>
          <w:rFonts w:hint="eastAsia"/>
        </w:rPr>
        <w:t>系統與396家金融機構</w:t>
      </w:r>
      <w:proofErr w:type="gramStart"/>
      <w:r w:rsidRPr="00C93FB6">
        <w:rPr>
          <w:rFonts w:hint="eastAsia"/>
        </w:rPr>
        <w:t>介</w:t>
      </w:r>
      <w:proofErr w:type="gramEnd"/>
      <w:r w:rsidRPr="00C93FB6">
        <w:rPr>
          <w:rFonts w:hint="eastAsia"/>
        </w:rPr>
        <w:t>接，為避免查詢數量過多而影響通</w:t>
      </w:r>
      <w:proofErr w:type="gramStart"/>
      <w:r w:rsidRPr="00C93FB6">
        <w:rPr>
          <w:rFonts w:hint="eastAsia"/>
        </w:rPr>
        <w:t>匯</w:t>
      </w:r>
      <w:proofErr w:type="gramEnd"/>
      <w:r w:rsidRPr="00C93FB6">
        <w:rPr>
          <w:rFonts w:hint="eastAsia"/>
        </w:rPr>
        <w:t>系統之穩定，所能負荷之查詢量有限，是該署各分署(下稱分署)僅針對專案(移送金額20萬元以上未滿100萬元)、</w:t>
      </w:r>
      <w:proofErr w:type="gramStart"/>
      <w:r w:rsidRPr="00C93FB6">
        <w:rPr>
          <w:rFonts w:hint="eastAsia"/>
        </w:rPr>
        <w:t>特</w:t>
      </w:r>
      <w:proofErr w:type="gramEnd"/>
      <w:r w:rsidRPr="00C93FB6">
        <w:rPr>
          <w:rFonts w:hint="eastAsia"/>
        </w:rPr>
        <w:t>專案(移送金額100萬元以上)或特殊個案方利用該系統</w:t>
      </w:r>
      <w:r w:rsidRPr="00C93FB6">
        <w:t>查詢義務人存</w:t>
      </w:r>
      <w:r w:rsidRPr="00C93FB6">
        <w:lastRenderedPageBreak/>
        <w:t>款所在金融機構</w:t>
      </w:r>
      <w:r w:rsidRPr="00C93FB6">
        <w:rPr>
          <w:rFonts w:hint="eastAsia"/>
        </w:rPr>
        <w:t>。107年該署各分署受理之義務人數合計187萬餘人，其中專案及</w:t>
      </w:r>
      <w:proofErr w:type="gramStart"/>
      <w:r w:rsidRPr="00C93FB6">
        <w:rPr>
          <w:rFonts w:hint="eastAsia"/>
        </w:rPr>
        <w:t>特</w:t>
      </w:r>
      <w:proofErr w:type="gramEnd"/>
      <w:r w:rsidRPr="00C93FB6">
        <w:rPr>
          <w:rFonts w:hint="eastAsia"/>
        </w:rPr>
        <w:t>專案之義務人數為7</w:t>
      </w:r>
      <w:r w:rsidRPr="00C93FB6">
        <w:t>,</w:t>
      </w:r>
      <w:r w:rsidRPr="00C93FB6">
        <w:rPr>
          <w:rFonts w:hint="eastAsia"/>
        </w:rPr>
        <w:t>908人；另有經分署</w:t>
      </w:r>
      <w:proofErr w:type="gramStart"/>
      <w:r w:rsidRPr="00C93FB6">
        <w:rPr>
          <w:rFonts w:hint="eastAsia"/>
        </w:rPr>
        <w:t>核發傳繳通知</w:t>
      </w:r>
      <w:proofErr w:type="gramEnd"/>
      <w:r w:rsidRPr="00C93FB6">
        <w:rPr>
          <w:rFonts w:hint="eastAsia"/>
        </w:rPr>
        <w:t>後逾期仍不履行之義務人數為129萬餘人，</w:t>
      </w:r>
      <w:proofErr w:type="gramStart"/>
      <w:r w:rsidRPr="00C93FB6">
        <w:rPr>
          <w:rFonts w:hint="eastAsia"/>
        </w:rPr>
        <w:t>均須經</w:t>
      </w:r>
      <w:proofErr w:type="gramEnd"/>
      <w:r w:rsidRPr="00C93FB6">
        <w:rPr>
          <w:rFonts w:hint="eastAsia"/>
        </w:rPr>
        <w:t>分署調查財產並據以執行後始能實現公法債權，惟107年分署利用該系統進行查詢之筆數僅為1萬3,837筆(人)，占應調查義務人財產案件總數之1.06%，</w:t>
      </w:r>
      <w:r w:rsidRPr="00C93FB6">
        <w:rPr>
          <w:rFonts w:hint="eastAsia"/>
          <w:szCs w:val="32"/>
        </w:rPr>
        <w:t>不足因應所需</w:t>
      </w:r>
      <w:r w:rsidRPr="00C93FB6">
        <w:rPr>
          <w:rStyle w:val="aff2"/>
          <w:szCs w:val="32"/>
        </w:rPr>
        <w:footnoteReference w:id="7"/>
      </w:r>
      <w:r w:rsidRPr="00C93FB6">
        <w:rPr>
          <w:rFonts w:hint="eastAsia"/>
          <w:szCs w:val="32"/>
        </w:rPr>
        <w:t>。</w:t>
      </w:r>
    </w:p>
    <w:p w:rsidR="00783E1D" w:rsidRPr="00C93FB6" w:rsidRDefault="00783E1D" w:rsidP="00783E1D">
      <w:pPr>
        <w:pStyle w:val="4"/>
      </w:pPr>
      <w:r w:rsidRPr="00C93FB6">
        <w:rPr>
          <w:rFonts w:hint="eastAsia"/>
        </w:rPr>
        <w:t>又現行</w:t>
      </w:r>
      <w:r w:rsidRPr="00C93FB6">
        <w:t>「金融帳戶開戶查詢系統」</w:t>
      </w:r>
      <w:r w:rsidRPr="00C93FB6">
        <w:rPr>
          <w:rFonts w:hint="eastAsia"/>
        </w:rPr>
        <w:t>雖已有批次查詢功能，惟使用該系統仍需人工逐</w:t>
      </w:r>
      <w:proofErr w:type="gramStart"/>
      <w:r w:rsidRPr="00C93FB6">
        <w:rPr>
          <w:rFonts w:hint="eastAsia"/>
        </w:rPr>
        <w:t>筆登打案</w:t>
      </w:r>
      <w:proofErr w:type="gramEnd"/>
      <w:r w:rsidRPr="00C93FB6">
        <w:rPr>
          <w:rFonts w:hint="eastAsia"/>
        </w:rPr>
        <w:t>號等資料，而未能</w:t>
      </w:r>
      <w:proofErr w:type="gramStart"/>
      <w:r w:rsidRPr="00C93FB6">
        <w:rPr>
          <w:rFonts w:hint="eastAsia"/>
        </w:rPr>
        <w:t>介</w:t>
      </w:r>
      <w:proofErr w:type="gramEnd"/>
      <w:r w:rsidRPr="00C93FB6">
        <w:rPr>
          <w:rFonts w:hint="eastAsia"/>
        </w:rPr>
        <w:t>接該</w:t>
      </w:r>
      <w:proofErr w:type="gramStart"/>
      <w:r w:rsidRPr="00C93FB6">
        <w:rPr>
          <w:rFonts w:hint="eastAsia"/>
        </w:rPr>
        <w:t>署案管</w:t>
      </w:r>
      <w:proofErr w:type="gramEnd"/>
      <w:r w:rsidRPr="00C93FB6">
        <w:rPr>
          <w:rFonts w:hint="eastAsia"/>
        </w:rPr>
        <w:t>系統直接匯出查詢資料，187萬筆</w:t>
      </w:r>
      <w:proofErr w:type="gramStart"/>
      <w:r w:rsidRPr="00C93FB6">
        <w:rPr>
          <w:rFonts w:hint="eastAsia"/>
        </w:rPr>
        <w:t>資料登打作業</w:t>
      </w:r>
      <w:proofErr w:type="gramEnd"/>
      <w:r w:rsidRPr="00C93FB6">
        <w:rPr>
          <w:rFonts w:hint="eastAsia"/>
        </w:rPr>
        <w:t>之人力負擔甚大。</w:t>
      </w:r>
    </w:p>
    <w:p w:rsidR="001A10DE" w:rsidRPr="00C93FB6" w:rsidRDefault="00CF59B3" w:rsidP="009F50F4">
      <w:pPr>
        <w:pStyle w:val="3"/>
      </w:pPr>
      <w:r w:rsidRPr="00C93FB6">
        <w:rPr>
          <w:rFonts w:hint="eastAsia"/>
        </w:rPr>
        <w:t>因現行系統仍有上開不足之處，</w:t>
      </w:r>
      <w:r w:rsidRPr="00C93FB6">
        <w:t>行政執行署</w:t>
      </w:r>
      <w:r w:rsidR="002D22B5" w:rsidRPr="00C93FB6">
        <w:rPr>
          <w:rFonts w:hint="eastAsia"/>
        </w:rPr>
        <w:t>前於102年4月29日國發會</w:t>
      </w:r>
      <w:r w:rsidR="002D22B5" w:rsidRPr="00C93FB6">
        <w:rPr>
          <w:rFonts w:hAnsi="標楷體" w:hint="eastAsia"/>
        </w:rPr>
        <w:t>「e化服務宅配到家」工作圈</w:t>
      </w:r>
      <w:r w:rsidR="00412E92" w:rsidRPr="00C93FB6">
        <w:rPr>
          <w:rFonts w:hAnsi="標楷體" w:hint="eastAsia"/>
        </w:rPr>
        <w:t>提案，建議</w:t>
      </w:r>
      <w:r w:rsidR="00412E92" w:rsidRPr="00C93FB6">
        <w:rPr>
          <w:szCs w:val="32"/>
        </w:rPr>
        <w:t>「金融帳戶開戶查詢系統」</w:t>
      </w:r>
      <w:r w:rsidR="00412E92" w:rsidRPr="00C93FB6">
        <w:rPr>
          <w:rFonts w:hint="eastAsia"/>
          <w:szCs w:val="32"/>
        </w:rPr>
        <w:t>增加查詢餘額功能。又因協商</w:t>
      </w:r>
      <w:proofErr w:type="gramStart"/>
      <w:r w:rsidR="00412E92" w:rsidRPr="00C93FB6">
        <w:rPr>
          <w:rFonts w:hint="eastAsia"/>
          <w:szCs w:val="32"/>
        </w:rPr>
        <w:t>期間，</w:t>
      </w:r>
      <w:proofErr w:type="gramEnd"/>
      <w:r w:rsidR="00412E92" w:rsidRPr="00C93FB6">
        <w:rPr>
          <w:rFonts w:hint="eastAsia"/>
          <w:szCs w:val="32"/>
        </w:rPr>
        <w:t>行政執行案件之移送件數大幅成長，該署考量逐筆查詢義務人之開戶資料不符執行作業所需，再於105年12月21日</w:t>
      </w:r>
      <w:r w:rsidR="00412E92" w:rsidRPr="00C93FB6">
        <w:rPr>
          <w:rFonts w:hAnsi="標楷體" w:hint="eastAsia"/>
        </w:rPr>
        <w:t>「e化服務宅配到家」工作圈工作小組第11次會議，建議上開系統增加批次方式查詢功能，並經決議請法務部及金管會另行召開協商會議。</w:t>
      </w:r>
      <w:r w:rsidR="00296072" w:rsidRPr="00C93FB6">
        <w:rPr>
          <w:rStyle w:val="aff2"/>
          <w:rFonts w:hAnsi="標楷體"/>
        </w:rPr>
        <w:footnoteReference w:id="8"/>
      </w:r>
      <w:r w:rsidR="001A10DE" w:rsidRPr="00C93FB6">
        <w:rPr>
          <w:rFonts w:hAnsi="標楷體" w:hint="eastAsia"/>
        </w:rPr>
        <w:t>依法務部函復：</w:t>
      </w:r>
    </w:p>
    <w:p w:rsidR="001A10DE" w:rsidRPr="00C93FB6" w:rsidRDefault="001A10DE" w:rsidP="001A10DE">
      <w:pPr>
        <w:pStyle w:val="4"/>
      </w:pPr>
      <w:proofErr w:type="gramStart"/>
      <w:r w:rsidRPr="00C93FB6">
        <w:rPr>
          <w:rFonts w:hint="eastAsia"/>
        </w:rPr>
        <w:t>該</w:t>
      </w:r>
      <w:r w:rsidR="00F42540" w:rsidRPr="00C93FB6">
        <w:rPr>
          <w:rFonts w:hint="eastAsia"/>
        </w:rPr>
        <w:t>部原規劃</w:t>
      </w:r>
      <w:proofErr w:type="gramEnd"/>
      <w:r w:rsidR="00F42540" w:rsidRPr="00C93FB6">
        <w:rPr>
          <w:rFonts w:hint="eastAsia"/>
        </w:rPr>
        <w:t>於現行「金融帳戶開戶查詢系統」新增存款餘額查詢功能，因金管會表示該系統係利用通</w:t>
      </w:r>
      <w:proofErr w:type="gramStart"/>
      <w:r w:rsidR="00F42540" w:rsidRPr="00C93FB6">
        <w:rPr>
          <w:rFonts w:hint="eastAsia"/>
        </w:rPr>
        <w:t>匯</w:t>
      </w:r>
      <w:proofErr w:type="gramEnd"/>
      <w:r w:rsidR="00F42540" w:rsidRPr="00C93FB6">
        <w:rPr>
          <w:rFonts w:hint="eastAsia"/>
        </w:rPr>
        <w:t>系統與金融機構</w:t>
      </w:r>
      <w:proofErr w:type="gramStart"/>
      <w:r w:rsidR="00F42540" w:rsidRPr="00C93FB6">
        <w:rPr>
          <w:rFonts w:hint="eastAsia"/>
        </w:rPr>
        <w:t>介</w:t>
      </w:r>
      <w:proofErr w:type="gramEnd"/>
      <w:r w:rsidR="00F42540" w:rsidRPr="00C93FB6">
        <w:rPr>
          <w:rFonts w:hint="eastAsia"/>
        </w:rPr>
        <w:t>接，如擴增功能，恐影響通</w:t>
      </w:r>
      <w:proofErr w:type="gramStart"/>
      <w:r w:rsidR="00F42540" w:rsidRPr="00C93FB6">
        <w:rPr>
          <w:rFonts w:hint="eastAsia"/>
        </w:rPr>
        <w:t>匯</w:t>
      </w:r>
      <w:proofErr w:type="gramEnd"/>
      <w:r w:rsidR="00F42540" w:rsidRPr="00C93FB6">
        <w:rPr>
          <w:rFonts w:hint="eastAsia"/>
        </w:rPr>
        <w:t>系統之穩定性，故行政執行署另提案建置</w:t>
      </w:r>
      <w:r w:rsidR="00F42540" w:rsidRPr="00C93FB6">
        <w:rPr>
          <w:rFonts w:hint="eastAsia"/>
        </w:rPr>
        <w:lastRenderedPageBreak/>
        <w:t>獨立查詢系統之建議（下稱該案）。</w:t>
      </w:r>
    </w:p>
    <w:p w:rsidR="00F42540" w:rsidRPr="00C93FB6" w:rsidRDefault="001A10DE" w:rsidP="001A10DE">
      <w:pPr>
        <w:pStyle w:val="4"/>
      </w:pPr>
      <w:proofErr w:type="gramStart"/>
      <w:r w:rsidRPr="00C93FB6">
        <w:rPr>
          <w:rFonts w:hint="eastAsia"/>
        </w:rPr>
        <w:t>該部</w:t>
      </w:r>
      <w:r w:rsidR="00F42540" w:rsidRPr="00C93FB6">
        <w:rPr>
          <w:rFonts w:hint="eastAsia"/>
        </w:rPr>
        <w:t>於108年12月</w:t>
      </w:r>
      <w:proofErr w:type="gramEnd"/>
      <w:r w:rsidR="00F42540" w:rsidRPr="00C93FB6">
        <w:rPr>
          <w:rFonts w:hint="eastAsia"/>
        </w:rPr>
        <w:t>函請金管會協助推動該案，金管會函請國發會就該案是否符合個人資料保護法（下稱個資法）表示意見，行政執行署亦提供補充意見，並由該署副署長至國發會說明該案之規劃及相關運作模式，惟國發會函復金管會，認該案財金公司仍涉及蒐集、處理及利用義務人之個人資料，目前尚無明文規定財金公司得辦理此項業務。嗣後金管會則函</w:t>
      </w:r>
      <w:proofErr w:type="gramStart"/>
      <w:r w:rsidR="00F42540" w:rsidRPr="00C93FB6">
        <w:rPr>
          <w:rFonts w:hint="eastAsia"/>
        </w:rPr>
        <w:t>復該部</w:t>
      </w:r>
      <w:proofErr w:type="gramEnd"/>
      <w:r w:rsidR="00F42540" w:rsidRPr="00C93FB6">
        <w:rPr>
          <w:rFonts w:hint="eastAsia"/>
        </w:rPr>
        <w:t>，該</w:t>
      </w:r>
      <w:r w:rsidR="002058F9" w:rsidRPr="00C93FB6">
        <w:rPr>
          <w:rFonts w:hint="eastAsia"/>
        </w:rPr>
        <w:t>案仍有違反個資法及銀行法之虞。是該案前經多次協調，惟金管會及</w:t>
      </w:r>
      <w:proofErr w:type="gramStart"/>
      <w:r w:rsidR="002058F9" w:rsidRPr="00C93FB6">
        <w:rPr>
          <w:rFonts w:hint="eastAsia"/>
        </w:rPr>
        <w:t>國發會均認有</w:t>
      </w:r>
      <w:proofErr w:type="gramEnd"/>
      <w:r w:rsidR="002058F9" w:rsidRPr="00C93FB6">
        <w:rPr>
          <w:rFonts w:hint="eastAsia"/>
        </w:rPr>
        <w:t>適法性疑義，</w:t>
      </w:r>
      <w:r w:rsidR="00F42540" w:rsidRPr="00C93FB6">
        <w:rPr>
          <w:rFonts w:hint="eastAsia"/>
        </w:rPr>
        <w:t>該案原規劃目前面臨困難</w:t>
      </w:r>
      <w:r w:rsidR="002058F9" w:rsidRPr="00C93FB6">
        <w:rPr>
          <w:rFonts w:hint="eastAsia"/>
        </w:rPr>
        <w:t>，目前尚難進行後續推動事宜</w:t>
      </w:r>
      <w:r w:rsidR="00F42540" w:rsidRPr="00C93FB6">
        <w:rPr>
          <w:rFonts w:hint="eastAsia"/>
        </w:rPr>
        <w:t>。</w:t>
      </w:r>
    </w:p>
    <w:p w:rsidR="00C913E1" w:rsidRPr="00C93FB6" w:rsidRDefault="001A10DE" w:rsidP="00422B73">
      <w:pPr>
        <w:pStyle w:val="4"/>
      </w:pPr>
      <w:r w:rsidRPr="00C93FB6">
        <w:rPr>
          <w:rFonts w:hint="eastAsia"/>
        </w:rPr>
        <w:t>為精進各分署調查義務人金融帳戶資料之查詢方式，行政執行署及臺灣高等檢察署刻正評估整合所屬機關之需求自建系統，與各金融機構建立資料傳輸管道之可行性。</w:t>
      </w:r>
    </w:p>
    <w:p w:rsidR="001A10DE" w:rsidRPr="00C93FB6" w:rsidRDefault="002058F9" w:rsidP="00422B73">
      <w:pPr>
        <w:pStyle w:val="4"/>
      </w:pPr>
      <w:r w:rsidRPr="00C93FB6">
        <w:rPr>
          <w:rFonts w:hint="eastAsia"/>
        </w:rPr>
        <w:t>法務部與行政執行署會商，</w:t>
      </w:r>
      <w:proofErr w:type="gramStart"/>
      <w:r w:rsidRPr="00C93FB6">
        <w:rPr>
          <w:rFonts w:hint="eastAsia"/>
        </w:rPr>
        <w:t>研</w:t>
      </w:r>
      <w:proofErr w:type="gramEnd"/>
      <w:r w:rsidRPr="00C93FB6">
        <w:rPr>
          <w:rFonts w:hint="eastAsia"/>
        </w:rPr>
        <w:t>擬共同由</w:t>
      </w:r>
      <w:proofErr w:type="gramStart"/>
      <w:r w:rsidRPr="00C93FB6">
        <w:rPr>
          <w:rFonts w:hint="eastAsia"/>
        </w:rPr>
        <w:t>該部與各</w:t>
      </w:r>
      <w:proofErr w:type="gramEnd"/>
      <w:r w:rsidRPr="00C93FB6">
        <w:rPr>
          <w:rFonts w:hint="eastAsia"/>
        </w:rPr>
        <w:t>銀行</w:t>
      </w:r>
      <w:proofErr w:type="gramStart"/>
      <w:r w:rsidRPr="00C93FB6">
        <w:rPr>
          <w:rFonts w:hint="eastAsia"/>
        </w:rPr>
        <w:t>建立線上投</w:t>
      </w:r>
      <w:proofErr w:type="gramEnd"/>
      <w:r w:rsidRPr="00C93FB6">
        <w:rPr>
          <w:rFonts w:hint="eastAsia"/>
        </w:rPr>
        <w:t>單及檔案傳輸機制之可行性，期能以同一連線設備、花費同一建置成本之前提，同時供行政執行署查詢餘額及檢察機關查調開戶資料、交易明細等，以達加速金流追查之成效。</w:t>
      </w:r>
    </w:p>
    <w:p w:rsidR="002058F9" w:rsidRPr="00C93FB6" w:rsidRDefault="002058F9" w:rsidP="00422B73">
      <w:pPr>
        <w:pStyle w:val="4"/>
      </w:pPr>
      <w:r w:rsidRPr="00C93FB6">
        <w:rPr>
          <w:rFonts w:hint="eastAsia"/>
        </w:rPr>
        <w:t>為使檢察機關向國內各銀行取得之開戶資料、交易明細電子檔案格式能夠統一，</w:t>
      </w:r>
      <w:proofErr w:type="gramStart"/>
      <w:r w:rsidRPr="00C93FB6">
        <w:rPr>
          <w:rFonts w:hint="eastAsia"/>
        </w:rPr>
        <w:t>俾</w:t>
      </w:r>
      <w:proofErr w:type="gramEnd"/>
      <w:r w:rsidRPr="00C93FB6">
        <w:rPr>
          <w:rFonts w:hint="eastAsia"/>
        </w:rPr>
        <w:t>使檢察機關能彙整被告或第三人於各銀行所開立帳戶之基本資料，及便利分析相關資金於各銀行帳戶間流動之情形，以利判斷犯罪所得流向及</w:t>
      </w:r>
      <w:proofErr w:type="gramStart"/>
      <w:r w:rsidRPr="00C93FB6">
        <w:rPr>
          <w:rFonts w:hint="eastAsia"/>
        </w:rPr>
        <w:t>查扣標的</w:t>
      </w:r>
      <w:proofErr w:type="gramEnd"/>
      <w:r w:rsidRPr="00C93FB6">
        <w:rPr>
          <w:rFonts w:hint="eastAsia"/>
        </w:rPr>
        <w:t>所在，</w:t>
      </w:r>
      <w:proofErr w:type="gramStart"/>
      <w:r w:rsidRPr="00C93FB6">
        <w:rPr>
          <w:rFonts w:hint="eastAsia"/>
        </w:rPr>
        <w:t>該部已推行</w:t>
      </w:r>
      <w:proofErr w:type="gramEnd"/>
      <w:r w:rsidRPr="00C93FB6">
        <w:rPr>
          <w:rFonts w:hint="eastAsia"/>
        </w:rPr>
        <w:t>檢察機關以電子公文調取金融資料機制，</w:t>
      </w:r>
      <w:r w:rsidR="00422B73" w:rsidRPr="00C93FB6">
        <w:rPr>
          <w:rFonts w:hint="eastAsia"/>
        </w:rPr>
        <w:t>並進行檢討，刻</w:t>
      </w:r>
      <w:r w:rsidRPr="00C93FB6">
        <w:rPr>
          <w:rFonts w:hint="eastAsia"/>
        </w:rPr>
        <w:t>正由</w:t>
      </w:r>
      <w:proofErr w:type="gramStart"/>
      <w:r w:rsidRPr="00C93FB6">
        <w:rPr>
          <w:rFonts w:hint="eastAsia"/>
        </w:rPr>
        <w:t>臺</w:t>
      </w:r>
      <w:proofErr w:type="gramEnd"/>
      <w:r w:rsidRPr="00C93FB6">
        <w:rPr>
          <w:rFonts w:hint="eastAsia"/>
        </w:rPr>
        <w:t>高檢擬定格式中。</w:t>
      </w:r>
    </w:p>
    <w:p w:rsidR="00F86AED" w:rsidRPr="00C93FB6" w:rsidRDefault="0050483E" w:rsidP="00783E1D">
      <w:pPr>
        <w:pStyle w:val="3"/>
      </w:pPr>
      <w:r w:rsidRPr="00C93FB6">
        <w:rPr>
          <w:rFonts w:hint="eastAsia"/>
        </w:rPr>
        <w:t>本院</w:t>
      </w:r>
      <w:proofErr w:type="gramStart"/>
      <w:r w:rsidR="00CF59B3" w:rsidRPr="00C93FB6">
        <w:rPr>
          <w:rFonts w:hint="eastAsia"/>
        </w:rPr>
        <w:t>詢</w:t>
      </w:r>
      <w:proofErr w:type="gramEnd"/>
      <w:r w:rsidR="00CF59B3" w:rsidRPr="00C93FB6">
        <w:rPr>
          <w:rFonts w:hint="eastAsia"/>
        </w:rPr>
        <w:t>據金管會</w:t>
      </w:r>
      <w:r w:rsidR="00783E1D" w:rsidRPr="00C93FB6">
        <w:rPr>
          <w:rFonts w:hint="eastAsia"/>
        </w:rPr>
        <w:t>表示：</w:t>
      </w:r>
    </w:p>
    <w:p w:rsidR="00783E1D" w:rsidRPr="00C93FB6" w:rsidRDefault="00783E1D" w:rsidP="00783E1D">
      <w:pPr>
        <w:pStyle w:val="4"/>
      </w:pPr>
      <w:r w:rsidRPr="00C93FB6">
        <w:t>行政執行署公權力之範圍，係以有具體執行事件</w:t>
      </w:r>
      <w:r w:rsidRPr="00C93FB6">
        <w:lastRenderedPageBreak/>
        <w:t>為前提；</w:t>
      </w:r>
      <w:r w:rsidRPr="00C93FB6">
        <w:rPr>
          <w:rFonts w:hint="eastAsia"/>
        </w:rPr>
        <w:t>該案賦予使用者</w:t>
      </w:r>
      <w:r w:rsidRPr="00C93FB6">
        <w:t>將公眾存款資料以連線方式隨時索取，相當於建立存款總歸戶制度，恐有侵害民眾隱私權之虞。</w:t>
      </w:r>
      <w:proofErr w:type="gramStart"/>
      <w:r w:rsidRPr="00C93FB6">
        <w:t>爰</w:t>
      </w:r>
      <w:proofErr w:type="gramEnd"/>
      <w:r w:rsidRPr="00C93FB6">
        <w:t>與行政執行署依法就個案有調查權限似有不同，</w:t>
      </w:r>
      <w:r w:rsidRPr="00C93FB6">
        <w:rPr>
          <w:rFonts w:hint="eastAsia"/>
        </w:rPr>
        <w:t>且該系統之建置有逾銀行法第48條立法意旨之虞，</w:t>
      </w:r>
      <w:proofErr w:type="gramStart"/>
      <w:r w:rsidRPr="00C93FB6">
        <w:rPr>
          <w:rFonts w:hint="eastAsia"/>
        </w:rPr>
        <w:t>爰</w:t>
      </w:r>
      <w:proofErr w:type="gramEnd"/>
      <w:r w:rsidRPr="00C93FB6">
        <w:rPr>
          <w:rFonts w:hint="eastAsia"/>
        </w:rPr>
        <w:t>尚不宜透過修法方式處理。</w:t>
      </w:r>
    </w:p>
    <w:p w:rsidR="00783E1D" w:rsidRPr="00C93FB6" w:rsidRDefault="00783E1D" w:rsidP="00783E1D">
      <w:pPr>
        <w:pStyle w:val="4"/>
      </w:pPr>
      <w:r w:rsidRPr="00C93FB6">
        <w:rPr>
          <w:rFonts w:hint="eastAsia"/>
        </w:rPr>
        <w:t>目前財金公司「</w:t>
      </w:r>
      <w:r w:rsidRPr="00C93FB6">
        <w:t>金融區</w:t>
      </w:r>
      <w:proofErr w:type="gramStart"/>
      <w:r w:rsidRPr="00C93FB6">
        <w:t>塊鏈函</w:t>
      </w:r>
      <w:proofErr w:type="gramEnd"/>
      <w:r w:rsidRPr="00C93FB6">
        <w:t>證服務</w:t>
      </w:r>
      <w:r w:rsidRPr="00C93FB6">
        <w:rPr>
          <w:rFonts w:hint="eastAsia"/>
        </w:rPr>
        <w:t>」可</w:t>
      </w:r>
      <w:r w:rsidRPr="00C93FB6">
        <w:t>提供會計師事務所於查核企業財務報表時，直接向金融機構發</w:t>
      </w:r>
      <w:proofErr w:type="gramStart"/>
      <w:r w:rsidRPr="00C93FB6">
        <w:t>詢</w:t>
      </w:r>
      <w:proofErr w:type="gramEnd"/>
      <w:r w:rsidRPr="00C93FB6">
        <w:t>證函，以獲取並評估查核證據</w:t>
      </w:r>
      <w:r w:rsidRPr="00C93FB6">
        <w:rPr>
          <w:rFonts w:hint="eastAsia"/>
        </w:rPr>
        <w:t>。該系統之運作，需由受查企業填具授權書，同意會計師事務所及其會計師透過財金公司之系統向銀行辦理函證作業，因此相關資料之傳遞已事先取得受查企業之同意方進行查詢，尚無違反個資法及銀行法規定。</w:t>
      </w:r>
    </w:p>
    <w:p w:rsidR="00C00E6A" w:rsidRPr="00C93FB6" w:rsidRDefault="00C00E6A" w:rsidP="00C00E6A">
      <w:pPr>
        <w:pStyle w:val="4"/>
      </w:pPr>
      <w:r w:rsidRPr="00C93FB6">
        <w:t>財金公司辦理「</w:t>
      </w:r>
      <w:proofErr w:type="gramStart"/>
      <w:r w:rsidRPr="00C93FB6">
        <w:t>金融機構間跨行</w:t>
      </w:r>
      <w:proofErr w:type="gramEnd"/>
      <w:r w:rsidRPr="00C93FB6">
        <w:t>業務之帳</w:t>
      </w:r>
      <w:proofErr w:type="gramStart"/>
      <w:r w:rsidRPr="00C93FB6">
        <w:t>務</w:t>
      </w:r>
      <w:proofErr w:type="gramEnd"/>
      <w:r w:rsidRPr="00C93FB6">
        <w:t>清算、各類資訊傳輸與交換及金融機構資訊系統災變備援之服務等業務」</w:t>
      </w:r>
      <w:r w:rsidRPr="00C93FB6">
        <w:rPr>
          <w:rFonts w:hint="eastAsia"/>
        </w:rPr>
        <w:t>，雖亦可能涉及個人資料之蒐集、處理及利用，惟該等業務</w:t>
      </w:r>
      <w:r w:rsidRPr="00C93FB6">
        <w:t>係銀行法第47條之3及</w:t>
      </w:r>
      <w:r w:rsidRPr="00C93FB6">
        <w:rPr>
          <w:rFonts w:hint="eastAsia"/>
        </w:rPr>
        <w:t>其</w:t>
      </w:r>
      <w:r w:rsidRPr="00C93FB6">
        <w:t>授權子法</w:t>
      </w:r>
      <w:r w:rsidRPr="00C93FB6">
        <w:rPr>
          <w:rFonts w:hint="eastAsia"/>
        </w:rPr>
        <w:t>所明定</w:t>
      </w:r>
      <w:r w:rsidRPr="00C93FB6">
        <w:t>，符合個資法第19條</w:t>
      </w:r>
      <w:r w:rsidRPr="00C93FB6">
        <w:rPr>
          <w:rFonts w:hint="eastAsia"/>
        </w:rPr>
        <w:t>及第20條</w:t>
      </w:r>
      <w:r w:rsidRPr="00C93FB6">
        <w:t>關於非公務機關對個人資料蒐集、處理及利用之規定。</w:t>
      </w:r>
    </w:p>
    <w:p w:rsidR="00836185" w:rsidRDefault="00422B73" w:rsidP="004057F1">
      <w:pPr>
        <w:pStyle w:val="3"/>
      </w:pPr>
      <w:r w:rsidRPr="00C93FB6">
        <w:rPr>
          <w:rFonts w:hint="eastAsia"/>
        </w:rPr>
        <w:t>按</w:t>
      </w:r>
      <w:r w:rsidR="00836185" w:rsidRPr="00C93FB6">
        <w:rPr>
          <w:rFonts w:hint="eastAsia"/>
        </w:rPr>
        <w:t>各地檢</w:t>
      </w:r>
      <w:r w:rsidR="00D43A3C">
        <w:rPr>
          <w:rFonts w:hint="eastAsia"/>
        </w:rPr>
        <w:t>署</w:t>
      </w:r>
      <w:r w:rsidR="00836185" w:rsidRPr="00C93FB6">
        <w:rPr>
          <w:rFonts w:hint="eastAsia"/>
        </w:rPr>
        <w:t>人力原已不足，</w:t>
      </w:r>
      <w:r w:rsidR="00CA7461" w:rsidRPr="00C93FB6">
        <w:rPr>
          <w:rFonts w:hint="eastAsia"/>
        </w:rPr>
        <w:t>而</w:t>
      </w:r>
      <w:r w:rsidR="00836185" w:rsidRPr="00C93FB6">
        <w:rPr>
          <w:rFonts w:hint="eastAsia"/>
        </w:rPr>
        <w:t>執行案件逐年增加，</w:t>
      </w:r>
      <w:r w:rsidR="004057F1" w:rsidRPr="00C93FB6">
        <w:rPr>
          <w:rFonts w:hint="eastAsia"/>
        </w:rPr>
        <w:t>以</w:t>
      </w:r>
      <w:proofErr w:type="gramStart"/>
      <w:r w:rsidR="004057F1" w:rsidRPr="00C93FB6">
        <w:rPr>
          <w:rFonts w:hint="eastAsia"/>
        </w:rPr>
        <w:t>臺</w:t>
      </w:r>
      <w:proofErr w:type="gramEnd"/>
      <w:r w:rsidR="004057F1" w:rsidRPr="00C93FB6">
        <w:rPr>
          <w:rFonts w:hint="eastAsia"/>
        </w:rPr>
        <w:t>北地檢署為例，自105年7月1日刑法沒收新制施行後，截止109年3月底止，該署犯罪所得自97年至104年未結之件數共89件，105年至109年3月底止</w:t>
      </w:r>
      <w:proofErr w:type="gramStart"/>
      <w:r w:rsidR="004057F1" w:rsidRPr="00C93FB6">
        <w:rPr>
          <w:rFonts w:hint="eastAsia"/>
        </w:rPr>
        <w:t>未結件數</w:t>
      </w:r>
      <w:proofErr w:type="gramEnd"/>
      <w:r w:rsidR="004057F1" w:rsidRPr="00C93FB6">
        <w:rPr>
          <w:rFonts w:hint="eastAsia"/>
        </w:rPr>
        <w:t>共2</w:t>
      </w:r>
      <w:r w:rsidR="004057F1" w:rsidRPr="00C93FB6">
        <w:t>,</w:t>
      </w:r>
      <w:r w:rsidR="004057F1" w:rsidRPr="00C93FB6">
        <w:rPr>
          <w:rFonts w:hint="eastAsia"/>
        </w:rPr>
        <w:t>307件，合計共2</w:t>
      </w:r>
      <w:r w:rsidR="004057F1" w:rsidRPr="00C93FB6">
        <w:t>,</w:t>
      </w:r>
      <w:r w:rsidR="004057F1" w:rsidRPr="00C93FB6">
        <w:rPr>
          <w:rFonts w:hint="eastAsia"/>
        </w:rPr>
        <w:t>396件，每股平均</w:t>
      </w:r>
      <w:proofErr w:type="gramStart"/>
      <w:r w:rsidR="004057F1" w:rsidRPr="00C93FB6">
        <w:rPr>
          <w:rFonts w:hint="eastAsia"/>
        </w:rPr>
        <w:t>未結約為</w:t>
      </w:r>
      <w:proofErr w:type="gramEnd"/>
      <w:r w:rsidR="004057F1" w:rsidRPr="00C93FB6">
        <w:rPr>
          <w:rFonts w:hint="eastAsia"/>
        </w:rPr>
        <w:t>126件，且須就未結案件定期清查，對執行人力負擔甚重。</w:t>
      </w:r>
      <w:r w:rsidR="004057F1" w:rsidRPr="00C93FB6">
        <w:rPr>
          <w:rFonts w:hAnsi="標楷體"/>
        </w:rPr>
        <w:t>法務部與</w:t>
      </w:r>
      <w:r w:rsidR="004057F1" w:rsidRPr="00C93FB6">
        <w:rPr>
          <w:rFonts w:hAnsi="標楷體" w:hint="eastAsia"/>
        </w:rPr>
        <w:t>金管會</w:t>
      </w:r>
      <w:r w:rsidR="004057F1" w:rsidRPr="00C93FB6">
        <w:rPr>
          <w:rFonts w:hAnsi="標楷體"/>
        </w:rPr>
        <w:t>溝通協調</w:t>
      </w:r>
      <w:r w:rsidR="004057F1" w:rsidRPr="00C93FB6">
        <w:rPr>
          <w:rFonts w:hAnsi="標楷體" w:hint="eastAsia"/>
        </w:rPr>
        <w:t>，建</w:t>
      </w:r>
      <w:r w:rsidR="001476B2" w:rsidRPr="00C93FB6">
        <w:rPr>
          <w:rFonts w:hAnsi="標楷體" w:hint="eastAsia"/>
        </w:rPr>
        <w:t>置</w:t>
      </w:r>
      <w:r w:rsidR="004057F1" w:rsidRPr="00C93FB6">
        <w:t>「金融</w:t>
      </w:r>
      <w:proofErr w:type="gramStart"/>
      <w:r w:rsidR="004057F1" w:rsidRPr="00C93FB6">
        <w:t>區塊鏈帳戶</w:t>
      </w:r>
      <w:proofErr w:type="gramEnd"/>
      <w:r w:rsidR="004057F1" w:rsidRPr="00C93FB6">
        <w:t>餘額查詢系統」</w:t>
      </w:r>
      <w:r w:rsidR="006673F9" w:rsidRPr="00C93FB6">
        <w:rPr>
          <w:rFonts w:hint="eastAsia"/>
        </w:rPr>
        <w:t>，</w:t>
      </w:r>
      <w:r w:rsidR="004057F1" w:rsidRPr="00C93FB6">
        <w:rPr>
          <w:rFonts w:hAnsi="標楷體"/>
        </w:rPr>
        <w:t>新增回饋帳戶餘</w:t>
      </w:r>
      <w:r w:rsidR="001476B2" w:rsidRPr="00C93FB6">
        <w:rPr>
          <w:rFonts w:hAnsi="標楷體"/>
        </w:rPr>
        <w:t>額等功能，</w:t>
      </w:r>
      <w:r w:rsidR="00F42540" w:rsidRPr="00C93FB6">
        <w:rPr>
          <w:rFonts w:hint="eastAsia"/>
        </w:rPr>
        <w:t>提升法務執行及</w:t>
      </w:r>
      <w:r w:rsidR="006673F9" w:rsidRPr="00C93FB6">
        <w:rPr>
          <w:rFonts w:hint="eastAsia"/>
        </w:rPr>
        <w:t>資通訊交換服務能力，</w:t>
      </w:r>
      <w:r w:rsidR="001476B2" w:rsidRPr="00C93FB6">
        <w:rPr>
          <w:rFonts w:hAnsi="標楷體" w:hint="eastAsia"/>
        </w:rPr>
        <w:t>對</w:t>
      </w:r>
      <w:r w:rsidR="001476B2" w:rsidRPr="00C93FB6">
        <w:rPr>
          <w:rFonts w:hAnsi="標楷體" w:hint="eastAsia"/>
        </w:rPr>
        <w:lastRenderedPageBreak/>
        <w:t>於</w:t>
      </w:r>
      <w:r w:rsidR="004057F1" w:rsidRPr="00C93FB6">
        <w:rPr>
          <w:rFonts w:hAnsi="標楷體"/>
        </w:rPr>
        <w:t>增進犯罪所得沒收執行之及時性及有效性</w:t>
      </w:r>
      <w:r w:rsidR="00F42540" w:rsidRPr="00C93FB6">
        <w:rPr>
          <w:rFonts w:hAnsi="標楷體" w:hint="eastAsia"/>
        </w:rPr>
        <w:t>，及提升犯罪所得沒收追繳之執行率</w:t>
      </w:r>
      <w:r w:rsidR="001476B2" w:rsidRPr="00C93FB6">
        <w:rPr>
          <w:rFonts w:hAnsi="標楷體" w:hint="eastAsia"/>
        </w:rPr>
        <w:t>，應有相當助益</w:t>
      </w:r>
      <w:r w:rsidR="004A13C1" w:rsidRPr="00C93FB6">
        <w:rPr>
          <w:rFonts w:hAnsi="標楷體" w:hint="eastAsia"/>
        </w:rPr>
        <w:t>；</w:t>
      </w:r>
      <w:proofErr w:type="gramStart"/>
      <w:r w:rsidR="004A13C1" w:rsidRPr="00C93FB6">
        <w:rPr>
          <w:rFonts w:hAnsi="標楷體" w:hint="eastAsia"/>
        </w:rPr>
        <w:t>該</w:t>
      </w:r>
      <w:r w:rsidR="001476B2" w:rsidRPr="00C93FB6">
        <w:rPr>
          <w:rFonts w:hAnsi="標楷體" w:hint="eastAsia"/>
        </w:rPr>
        <w:t>部</w:t>
      </w:r>
      <w:r w:rsidR="001476B2" w:rsidRPr="00C93FB6">
        <w:rPr>
          <w:rFonts w:hint="eastAsia"/>
        </w:rPr>
        <w:t>為落實</w:t>
      </w:r>
      <w:proofErr w:type="gramEnd"/>
      <w:r w:rsidR="001476B2" w:rsidRPr="00C93FB6">
        <w:rPr>
          <w:rFonts w:hint="eastAsia"/>
        </w:rPr>
        <w:t>「澈底剝奪追討犯罪所得」，</w:t>
      </w:r>
      <w:r w:rsidR="001476B2" w:rsidRPr="00C93FB6">
        <w:t>斷絕犯罪人之利基，杜絕犯罪誘因</w:t>
      </w:r>
      <w:r w:rsidR="001476B2" w:rsidRPr="00C93FB6">
        <w:rPr>
          <w:rFonts w:hint="eastAsia"/>
        </w:rPr>
        <w:t>，彰顯</w:t>
      </w:r>
      <w:r w:rsidR="001476B2" w:rsidRPr="00C93FB6">
        <w:t>公平正義</w:t>
      </w:r>
      <w:r w:rsidR="001476B2" w:rsidRPr="00C93FB6">
        <w:rPr>
          <w:rFonts w:hint="eastAsia"/>
        </w:rPr>
        <w:t>，</w:t>
      </w:r>
      <w:r w:rsidR="004A13C1" w:rsidRPr="00C93FB6">
        <w:rPr>
          <w:rFonts w:hint="eastAsia"/>
        </w:rPr>
        <w:t>並減輕</w:t>
      </w:r>
      <w:r w:rsidR="001476B2" w:rsidRPr="00C93FB6">
        <w:rPr>
          <w:rFonts w:hint="eastAsia"/>
        </w:rPr>
        <w:t>人力作業負擔</w:t>
      </w:r>
      <w:r w:rsidR="002D22B5" w:rsidRPr="00C93FB6">
        <w:rPr>
          <w:rFonts w:hint="eastAsia"/>
        </w:rPr>
        <w:t>，</w:t>
      </w:r>
      <w:proofErr w:type="gramStart"/>
      <w:r w:rsidR="004A13C1" w:rsidRPr="00C93FB6">
        <w:rPr>
          <w:rFonts w:hint="eastAsia"/>
        </w:rPr>
        <w:t>甚值</w:t>
      </w:r>
      <w:r w:rsidR="001476B2" w:rsidRPr="00C93FB6">
        <w:rPr>
          <w:rFonts w:hint="eastAsia"/>
        </w:rPr>
        <w:t>肯認</w:t>
      </w:r>
      <w:proofErr w:type="gramEnd"/>
      <w:r w:rsidR="004A13C1" w:rsidRPr="00C93FB6">
        <w:rPr>
          <w:rFonts w:hint="eastAsia"/>
        </w:rPr>
        <w:t>。法務部及金管會允宜持續溝通協調</w:t>
      </w:r>
      <w:r w:rsidR="002058F9" w:rsidRPr="00C93FB6">
        <w:rPr>
          <w:rFonts w:hint="eastAsia"/>
        </w:rPr>
        <w:t>，或由法務部評估整合所屬機關之需求自建系統</w:t>
      </w:r>
      <w:r w:rsidR="004A13C1" w:rsidRPr="00C93FB6">
        <w:rPr>
          <w:rFonts w:hint="eastAsia"/>
        </w:rPr>
        <w:t>，在兼顧資料隱密性、傳送安全及</w:t>
      </w:r>
      <w:r w:rsidR="004A13C1" w:rsidRPr="00C93FB6">
        <w:t>民眾隱私權</w:t>
      </w:r>
      <w:r w:rsidR="004A13C1" w:rsidRPr="00C93FB6">
        <w:rPr>
          <w:rFonts w:hint="eastAsia"/>
        </w:rPr>
        <w:t>之情形下，</w:t>
      </w:r>
      <w:proofErr w:type="gramStart"/>
      <w:r w:rsidR="004A13C1" w:rsidRPr="00C93FB6">
        <w:rPr>
          <w:rFonts w:hint="eastAsia"/>
        </w:rPr>
        <w:t>賡</w:t>
      </w:r>
      <w:proofErr w:type="gramEnd"/>
      <w:r w:rsidR="004A13C1" w:rsidRPr="00C93FB6">
        <w:rPr>
          <w:rFonts w:hint="eastAsia"/>
        </w:rPr>
        <w:t>續相關方案之推動</w:t>
      </w:r>
      <w:r w:rsidR="001D5FFC" w:rsidRPr="00C93FB6">
        <w:rPr>
          <w:rFonts w:hint="eastAsia"/>
        </w:rPr>
        <w:t>。</w:t>
      </w:r>
    </w:p>
    <w:p w:rsidR="00F40E30" w:rsidRPr="00C93FB6" w:rsidRDefault="00F40E30" w:rsidP="00F40E30">
      <w:pPr>
        <w:pStyle w:val="1"/>
        <w:ind w:left="2380" w:hanging="2380"/>
      </w:pP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C93FB6">
        <w:rPr>
          <w:rFonts w:hint="eastAsia"/>
        </w:rPr>
        <w:t>處理辦法：</w:t>
      </w:r>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F40E30" w:rsidRPr="00C93FB6" w:rsidRDefault="00F40E30" w:rsidP="00F40E30">
      <w:pPr>
        <w:pStyle w:val="2"/>
      </w:pPr>
      <w:bookmarkStart w:id="75" w:name="_Toc524895649"/>
      <w:bookmarkStart w:id="76" w:name="_Toc524896195"/>
      <w:bookmarkStart w:id="77" w:name="_Toc524896225"/>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421794877"/>
      <w:bookmarkStart w:id="87" w:name="_Toc421795443"/>
      <w:bookmarkStart w:id="88" w:name="_Toc421796024"/>
      <w:bookmarkStart w:id="89" w:name="_Toc422728959"/>
      <w:bookmarkStart w:id="90" w:name="_Toc422834162"/>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5"/>
      <w:bookmarkEnd w:id="76"/>
      <w:bookmarkEnd w:id="77"/>
      <w:r w:rsidRPr="00C93FB6">
        <w:rPr>
          <w:rFonts w:hint="eastAsia"/>
        </w:rPr>
        <w:t>調查意見</w:t>
      </w:r>
      <w:proofErr w:type="gramStart"/>
      <w:r w:rsidR="00B82A59" w:rsidRPr="00C93FB6">
        <w:rPr>
          <w:rFonts w:hint="eastAsia"/>
        </w:rPr>
        <w:t>一</w:t>
      </w:r>
      <w:proofErr w:type="gramEnd"/>
      <w:r w:rsidR="00B82A59" w:rsidRPr="00C93FB6">
        <w:rPr>
          <w:rFonts w:hint="eastAsia"/>
        </w:rPr>
        <w:t>及二</w:t>
      </w:r>
      <w:r w:rsidRPr="00C93FB6">
        <w:rPr>
          <w:rFonts w:hint="eastAsia"/>
        </w:rPr>
        <w:t>，函請</w:t>
      </w:r>
      <w:r w:rsidR="00B82A59" w:rsidRPr="00C93FB6">
        <w:rPr>
          <w:rFonts w:hint="eastAsia"/>
        </w:rPr>
        <w:t>法務部</w:t>
      </w:r>
      <w:r w:rsidRPr="00C93FB6">
        <w:rPr>
          <w:rFonts w:hint="eastAsia"/>
        </w:rPr>
        <w:t>確實檢討改進</w:t>
      </w:r>
      <w:proofErr w:type="gramStart"/>
      <w:r w:rsidRPr="00C93FB6">
        <w:rPr>
          <w:rFonts w:hint="eastAsia"/>
        </w:rPr>
        <w:t>見復。</w:t>
      </w:r>
      <w:bookmarkEnd w:id="78"/>
      <w:bookmarkEnd w:id="79"/>
      <w:bookmarkEnd w:id="80"/>
      <w:bookmarkEnd w:id="81"/>
      <w:bookmarkEnd w:id="82"/>
      <w:bookmarkEnd w:id="83"/>
      <w:bookmarkEnd w:id="84"/>
      <w:bookmarkEnd w:id="85"/>
      <w:bookmarkEnd w:id="86"/>
      <w:bookmarkEnd w:id="87"/>
      <w:bookmarkEnd w:id="88"/>
      <w:bookmarkEnd w:id="89"/>
      <w:bookmarkEnd w:id="90"/>
      <w:proofErr w:type="gramEnd"/>
    </w:p>
    <w:p w:rsidR="00B82A59" w:rsidRPr="00C93FB6" w:rsidRDefault="00B82A59" w:rsidP="00F40E30">
      <w:pPr>
        <w:pStyle w:val="2"/>
      </w:pPr>
      <w:bookmarkStart w:id="102" w:name="_Toc70241819"/>
      <w:bookmarkStart w:id="103" w:name="_Toc70242208"/>
      <w:bookmarkStart w:id="104" w:name="_Toc421794878"/>
      <w:bookmarkStart w:id="105" w:name="_Toc421795444"/>
      <w:bookmarkStart w:id="106" w:name="_Toc421796025"/>
      <w:bookmarkStart w:id="107" w:name="_Toc422728960"/>
      <w:bookmarkStart w:id="108" w:name="_Toc422834163"/>
      <w:bookmarkStart w:id="109" w:name="_Toc70241818"/>
      <w:bookmarkStart w:id="110" w:name="_Toc70242207"/>
      <w:r w:rsidRPr="00C93FB6">
        <w:rPr>
          <w:rFonts w:hint="eastAsia"/>
        </w:rPr>
        <w:t>調查意見</w:t>
      </w:r>
      <w:proofErr w:type="gramStart"/>
      <w:r w:rsidRPr="00C93FB6">
        <w:rPr>
          <w:rFonts w:hint="eastAsia"/>
        </w:rPr>
        <w:t>三</w:t>
      </w:r>
      <w:proofErr w:type="gramEnd"/>
      <w:r w:rsidRPr="00C93FB6">
        <w:rPr>
          <w:rFonts w:hint="eastAsia"/>
        </w:rPr>
        <w:t>，函請法務部</w:t>
      </w:r>
      <w:r w:rsidR="00FC0D80" w:rsidRPr="00C93FB6">
        <w:rPr>
          <w:rFonts w:hint="eastAsia"/>
        </w:rPr>
        <w:t>及金融監督管理委員會</w:t>
      </w:r>
      <w:r w:rsidRPr="00C93FB6">
        <w:rPr>
          <w:rFonts w:hint="eastAsia"/>
        </w:rPr>
        <w:t>確實檢討改進</w:t>
      </w:r>
      <w:proofErr w:type="gramStart"/>
      <w:r w:rsidRPr="00C93FB6">
        <w:rPr>
          <w:rFonts w:hint="eastAsia"/>
        </w:rPr>
        <w:t>見復。</w:t>
      </w:r>
      <w:proofErr w:type="gramEnd"/>
    </w:p>
    <w:p w:rsidR="00F40E30" w:rsidRPr="00C93FB6" w:rsidRDefault="00FC0D80" w:rsidP="00FC0D80">
      <w:pPr>
        <w:pStyle w:val="2"/>
      </w:pPr>
      <w:r w:rsidRPr="00C93FB6">
        <w:rPr>
          <w:rFonts w:hint="eastAsia"/>
        </w:rPr>
        <w:t>調查意見</w:t>
      </w:r>
      <w:r w:rsidR="00AC083B" w:rsidRPr="00C93FB6">
        <w:rPr>
          <w:rFonts w:hint="eastAsia"/>
        </w:rPr>
        <w:t>，函請</w:t>
      </w:r>
      <w:r w:rsidR="00F40E30" w:rsidRPr="00C93FB6">
        <w:rPr>
          <w:rFonts w:hint="eastAsia"/>
        </w:rPr>
        <w:t>審計部</w:t>
      </w:r>
      <w:r w:rsidR="00AC083B" w:rsidRPr="00C93FB6">
        <w:rPr>
          <w:rFonts w:hint="eastAsia"/>
        </w:rPr>
        <w:t>參考</w:t>
      </w:r>
      <w:r w:rsidR="00F40E30" w:rsidRPr="00C93FB6">
        <w:rPr>
          <w:rFonts w:hint="eastAsia"/>
        </w:rPr>
        <w:t>。</w:t>
      </w:r>
      <w:bookmarkEnd w:id="102"/>
      <w:bookmarkEnd w:id="103"/>
      <w:bookmarkEnd w:id="104"/>
      <w:bookmarkEnd w:id="105"/>
      <w:bookmarkEnd w:id="106"/>
      <w:bookmarkEnd w:id="107"/>
      <w:bookmarkEnd w:id="108"/>
    </w:p>
    <w:p w:rsidR="00F40E30" w:rsidRPr="00C93FB6" w:rsidRDefault="00FC0D80" w:rsidP="002663E7">
      <w:pPr>
        <w:pStyle w:val="2"/>
        <w:rPr>
          <w:b/>
          <w:bCs w:val="0"/>
          <w:spacing w:val="12"/>
          <w:kern w:val="0"/>
          <w:sz w:val="40"/>
        </w:rPr>
      </w:pPr>
      <w:bookmarkStart w:id="111" w:name="_Toc2400397"/>
      <w:bookmarkStart w:id="112" w:name="_Toc4316191"/>
      <w:bookmarkStart w:id="113" w:name="_Toc4473332"/>
      <w:bookmarkStart w:id="114" w:name="_Toc69556901"/>
      <w:bookmarkStart w:id="115" w:name="_Toc69556950"/>
      <w:bookmarkStart w:id="116" w:name="_Toc69609824"/>
      <w:bookmarkStart w:id="117" w:name="_Toc70241822"/>
      <w:bookmarkStart w:id="118" w:name="_Toc70242211"/>
      <w:bookmarkStart w:id="119" w:name="_Toc421794881"/>
      <w:bookmarkStart w:id="120" w:name="_Toc421795447"/>
      <w:bookmarkStart w:id="121" w:name="_Toc421796028"/>
      <w:bookmarkStart w:id="122" w:name="_Toc422728963"/>
      <w:bookmarkStart w:id="123" w:name="_Toc422834166"/>
      <w:bookmarkEnd w:id="91"/>
      <w:bookmarkEnd w:id="92"/>
      <w:bookmarkEnd w:id="93"/>
      <w:bookmarkEnd w:id="94"/>
      <w:bookmarkEnd w:id="95"/>
      <w:bookmarkEnd w:id="96"/>
      <w:bookmarkEnd w:id="97"/>
      <w:bookmarkEnd w:id="98"/>
      <w:bookmarkEnd w:id="99"/>
      <w:bookmarkEnd w:id="100"/>
      <w:bookmarkEnd w:id="101"/>
      <w:bookmarkEnd w:id="109"/>
      <w:bookmarkEnd w:id="110"/>
      <w:r w:rsidRPr="00C93FB6">
        <w:rPr>
          <w:rFonts w:hint="eastAsia"/>
        </w:rPr>
        <w:t>調查意見(含前言)及處理辦法，經委員會討論通過後公布。</w:t>
      </w:r>
      <w:bookmarkEnd w:id="111"/>
      <w:bookmarkEnd w:id="112"/>
      <w:bookmarkEnd w:id="113"/>
      <w:bookmarkEnd w:id="114"/>
      <w:bookmarkEnd w:id="115"/>
      <w:bookmarkEnd w:id="116"/>
      <w:bookmarkEnd w:id="117"/>
      <w:bookmarkEnd w:id="118"/>
      <w:bookmarkEnd w:id="119"/>
      <w:bookmarkEnd w:id="120"/>
      <w:bookmarkEnd w:id="121"/>
      <w:bookmarkEnd w:id="122"/>
      <w:bookmarkEnd w:id="123"/>
    </w:p>
    <w:p w:rsidR="00F40E30" w:rsidRPr="00C93FB6" w:rsidRDefault="00F40E30" w:rsidP="00F40E30">
      <w:pPr>
        <w:pStyle w:val="ab"/>
        <w:spacing w:beforeLines="50" w:before="228" w:afterLines="100" w:after="457"/>
        <w:ind w:leftChars="1100" w:left="3742"/>
        <w:rPr>
          <w:b w:val="0"/>
          <w:bCs/>
          <w:snapToGrid/>
          <w:spacing w:val="12"/>
          <w:kern w:val="0"/>
          <w:sz w:val="40"/>
        </w:rPr>
      </w:pPr>
      <w:r w:rsidRPr="00C93FB6">
        <w:rPr>
          <w:rFonts w:hint="eastAsia"/>
          <w:b w:val="0"/>
          <w:bCs/>
          <w:snapToGrid/>
          <w:spacing w:val="12"/>
          <w:kern w:val="0"/>
          <w:sz w:val="40"/>
        </w:rPr>
        <w:t>調查委員：</w:t>
      </w:r>
      <w:r w:rsidR="002663E7">
        <w:rPr>
          <w:rFonts w:hint="eastAsia"/>
          <w:b w:val="0"/>
          <w:bCs/>
          <w:snapToGrid/>
          <w:spacing w:val="12"/>
          <w:kern w:val="0"/>
          <w:sz w:val="40"/>
        </w:rPr>
        <w:t>方萬富</w:t>
      </w:r>
      <w:r w:rsidR="002663E7">
        <w:rPr>
          <w:rFonts w:hAnsi="標楷體" w:hint="eastAsia"/>
          <w:b w:val="0"/>
          <w:bCs/>
          <w:snapToGrid/>
          <w:spacing w:val="12"/>
          <w:kern w:val="0"/>
          <w:sz w:val="40"/>
        </w:rPr>
        <w:t>、</w:t>
      </w:r>
      <w:r w:rsidR="002663E7">
        <w:rPr>
          <w:rFonts w:hint="eastAsia"/>
          <w:b w:val="0"/>
          <w:bCs/>
          <w:snapToGrid/>
          <w:spacing w:val="12"/>
          <w:kern w:val="0"/>
          <w:sz w:val="40"/>
        </w:rPr>
        <w:t>江明蒼</w:t>
      </w:r>
      <w:bookmarkStart w:id="124" w:name="_GoBack"/>
      <w:bookmarkEnd w:id="60"/>
      <w:bookmarkEnd w:id="124"/>
    </w:p>
    <w:sectPr w:rsidR="00F40E30" w:rsidRPr="00C93FB6" w:rsidSect="0050483E">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C2C" w:rsidRDefault="00A75C2C">
      <w:r>
        <w:separator/>
      </w:r>
    </w:p>
  </w:endnote>
  <w:endnote w:type="continuationSeparator" w:id="0">
    <w:p w:rsidR="00A75C2C" w:rsidRDefault="00A75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D59" w:rsidRDefault="00B64D59">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574DAE">
      <w:rPr>
        <w:rStyle w:val="ad"/>
        <w:noProof/>
        <w:sz w:val="24"/>
      </w:rPr>
      <w:t>17</w:t>
    </w:r>
    <w:r>
      <w:rPr>
        <w:rStyle w:val="ad"/>
        <w:sz w:val="24"/>
      </w:rPr>
      <w:fldChar w:fldCharType="end"/>
    </w:r>
  </w:p>
  <w:p w:rsidR="00B64D59" w:rsidRDefault="00B64D5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C2C" w:rsidRDefault="00A75C2C">
      <w:r>
        <w:separator/>
      </w:r>
    </w:p>
  </w:footnote>
  <w:footnote w:type="continuationSeparator" w:id="0">
    <w:p w:rsidR="00A75C2C" w:rsidRDefault="00A75C2C">
      <w:r>
        <w:continuationSeparator/>
      </w:r>
    </w:p>
  </w:footnote>
  <w:footnote w:id="1">
    <w:p w:rsidR="00B64D59" w:rsidRPr="00C23246" w:rsidRDefault="00B64D59" w:rsidP="00E52FA5">
      <w:pPr>
        <w:pStyle w:val="aff0"/>
        <w:jc w:val="both"/>
      </w:pPr>
      <w:r>
        <w:rPr>
          <w:rStyle w:val="aff2"/>
        </w:rPr>
        <w:footnoteRef/>
      </w:r>
      <w:r>
        <w:t xml:space="preserve"> </w:t>
      </w:r>
      <w:r>
        <w:rPr>
          <w:rFonts w:hint="eastAsia"/>
        </w:rPr>
        <w:t>行政執行署108年12月27日行執法字第10831002420號、財金公司108年12月31日金</w:t>
      </w:r>
      <w:proofErr w:type="gramStart"/>
      <w:r>
        <w:rPr>
          <w:rFonts w:hint="eastAsia"/>
        </w:rPr>
        <w:t>訊企字</w:t>
      </w:r>
      <w:proofErr w:type="gramEnd"/>
      <w:r>
        <w:rPr>
          <w:rFonts w:hint="eastAsia"/>
        </w:rPr>
        <w:t>第1080004538號、法務部109年3月17日法檢字第10904502490號、金管會109年4月28日金</w:t>
      </w:r>
      <w:proofErr w:type="gramStart"/>
      <w:r>
        <w:rPr>
          <w:rFonts w:hint="eastAsia"/>
        </w:rPr>
        <w:t>管銀法字</w:t>
      </w:r>
      <w:proofErr w:type="gramEnd"/>
      <w:r>
        <w:rPr>
          <w:rFonts w:hint="eastAsia"/>
        </w:rPr>
        <w:t>第1090135587號、國發會109年4月30日</w:t>
      </w:r>
      <w:proofErr w:type="gramStart"/>
      <w:r>
        <w:rPr>
          <w:rFonts w:hint="eastAsia"/>
        </w:rPr>
        <w:t>發法字</w:t>
      </w:r>
      <w:proofErr w:type="gramEnd"/>
      <w:r>
        <w:rPr>
          <w:rFonts w:hint="eastAsia"/>
        </w:rPr>
        <w:t>第1090008652號、法務部109年6月19日法檢字第10904518680號。</w:t>
      </w:r>
    </w:p>
  </w:footnote>
  <w:footnote w:id="2">
    <w:p w:rsidR="00B64D59" w:rsidRDefault="00B64D59">
      <w:pPr>
        <w:pStyle w:val="aff0"/>
      </w:pPr>
      <w:r>
        <w:rPr>
          <w:rStyle w:val="aff2"/>
        </w:rPr>
        <w:footnoteRef/>
      </w:r>
      <w:r>
        <w:t xml:space="preserve"> </w:t>
      </w:r>
      <w:r>
        <w:rPr>
          <w:rFonts w:hint="eastAsia"/>
        </w:rPr>
        <w:t>法務部104</w:t>
      </w:r>
      <w:r>
        <w:rPr>
          <w:rFonts w:hint="eastAsia"/>
        </w:rPr>
        <w:t>年12月17日新聞稿</w:t>
      </w:r>
      <w:hyperlink r:id="rId1" w:history="1">
        <w:r>
          <w:rPr>
            <w:rStyle w:val="af"/>
          </w:rPr>
          <w:t>https://www.moj.gov.tw/fp-21-50860-b4280-001.html</w:t>
        </w:r>
      </w:hyperlink>
      <w:r>
        <w:rPr>
          <w:rFonts w:hint="eastAsia"/>
        </w:rPr>
        <w:t>。</w:t>
      </w:r>
    </w:p>
  </w:footnote>
  <w:footnote w:id="3">
    <w:p w:rsidR="00B64D59" w:rsidRDefault="00B64D59">
      <w:pPr>
        <w:pStyle w:val="aff0"/>
      </w:pPr>
      <w:r>
        <w:rPr>
          <w:rStyle w:val="aff2"/>
        </w:rPr>
        <w:footnoteRef/>
      </w:r>
      <w:r>
        <w:t xml:space="preserve"> </w:t>
      </w:r>
      <w:r>
        <w:rPr>
          <w:rFonts w:hint="eastAsia"/>
        </w:rPr>
        <w:t>法務部106</w:t>
      </w:r>
      <w:r>
        <w:rPr>
          <w:rFonts w:hint="eastAsia"/>
        </w:rPr>
        <w:t>年7月21日新聞稿</w:t>
      </w:r>
      <w:hyperlink r:id="rId2" w:history="1">
        <w:r w:rsidRPr="008854C0">
          <w:rPr>
            <w:rStyle w:val="af"/>
          </w:rPr>
          <w:t>https://www.moj.gov.tw/cp-791-50474-f1f15-001.html</w:t>
        </w:r>
      </w:hyperlink>
    </w:p>
  </w:footnote>
  <w:footnote w:id="4">
    <w:p w:rsidR="00B64D59" w:rsidRDefault="00B64D59" w:rsidP="00B766F2">
      <w:pPr>
        <w:pStyle w:val="aff0"/>
        <w:jc w:val="both"/>
      </w:pPr>
      <w:r>
        <w:rPr>
          <w:rStyle w:val="aff2"/>
        </w:rPr>
        <w:footnoteRef/>
      </w:r>
      <w:r>
        <w:t xml:space="preserve"> </w:t>
      </w:r>
      <w:r>
        <w:rPr>
          <w:rFonts w:hint="eastAsia"/>
        </w:rPr>
        <w:t>審計部</w:t>
      </w:r>
      <w:r>
        <w:rPr>
          <w:rFonts w:hAnsi="標楷體" w:hint="eastAsia"/>
        </w:rPr>
        <w:t>審核抽查法務</w:t>
      </w:r>
      <w:r w:rsidRPr="006D6F6E">
        <w:rPr>
          <w:rFonts w:hAnsi="標楷體"/>
        </w:rPr>
        <w:t>部及所屬檢察機關</w:t>
      </w:r>
      <w:r>
        <w:rPr>
          <w:rFonts w:hAnsi="標楷體" w:hint="eastAsia"/>
        </w:rPr>
        <w:t>105及</w:t>
      </w:r>
      <w:proofErr w:type="gramStart"/>
      <w:r>
        <w:rPr>
          <w:rFonts w:hAnsi="標楷體" w:hint="eastAsia"/>
        </w:rPr>
        <w:t>106</w:t>
      </w:r>
      <w:proofErr w:type="gramEnd"/>
      <w:r w:rsidRPr="006D6F6E">
        <w:rPr>
          <w:rFonts w:hAnsi="標楷體"/>
        </w:rPr>
        <w:t>年度財務收支及決算</w:t>
      </w:r>
      <w:r>
        <w:rPr>
          <w:rFonts w:hAnsi="標楷體" w:hint="eastAsia"/>
        </w:rPr>
        <w:t>，及審計部108年11月21日</w:t>
      </w:r>
      <w:proofErr w:type="gramStart"/>
      <w:r>
        <w:rPr>
          <w:rFonts w:hAnsi="標楷體" w:hint="eastAsia"/>
        </w:rPr>
        <w:t>台審部</w:t>
      </w:r>
      <w:proofErr w:type="gramEnd"/>
      <w:r>
        <w:rPr>
          <w:rFonts w:hAnsi="標楷體" w:hint="eastAsia"/>
        </w:rPr>
        <w:t>一字第1080013607號</w:t>
      </w:r>
      <w:proofErr w:type="gramStart"/>
      <w:r>
        <w:rPr>
          <w:rFonts w:hAnsi="標楷體" w:hint="eastAsia"/>
        </w:rPr>
        <w:t>函復本院</w:t>
      </w:r>
      <w:proofErr w:type="gramEnd"/>
      <w:r>
        <w:rPr>
          <w:rFonts w:hAnsi="標楷體" w:hint="eastAsia"/>
        </w:rPr>
        <w:t>。</w:t>
      </w:r>
    </w:p>
  </w:footnote>
  <w:footnote w:id="5">
    <w:p w:rsidR="00B64D59" w:rsidRPr="00783E1D" w:rsidRDefault="00B64D59" w:rsidP="00783E1D">
      <w:pPr>
        <w:pStyle w:val="aff0"/>
        <w:jc w:val="both"/>
      </w:pPr>
      <w:r>
        <w:rPr>
          <w:rStyle w:val="aff2"/>
        </w:rPr>
        <w:footnoteRef/>
      </w:r>
      <w:r>
        <w:t xml:space="preserve"> </w:t>
      </w:r>
      <w:r w:rsidRPr="00D6656E">
        <w:rPr>
          <w:rFonts w:hAnsi="標楷體" w:hint="eastAsia"/>
        </w:rPr>
        <w:t>目前已更名為「法務部行政執行署各分署執行命令電子公文送達收受實施要點」</w:t>
      </w:r>
      <w:r>
        <w:rPr>
          <w:rFonts w:hAnsi="標楷體" w:hint="eastAsia"/>
        </w:rPr>
        <w:t>。</w:t>
      </w:r>
    </w:p>
  </w:footnote>
  <w:footnote w:id="6">
    <w:p w:rsidR="00B64D59" w:rsidRPr="0088296C" w:rsidRDefault="00B64D59" w:rsidP="00B67C99">
      <w:pPr>
        <w:pStyle w:val="aff0"/>
        <w:jc w:val="both"/>
      </w:pPr>
      <w:r>
        <w:rPr>
          <w:rStyle w:val="aff2"/>
        </w:rPr>
        <w:footnoteRef/>
      </w:r>
      <w:r>
        <w:t xml:space="preserve"> </w:t>
      </w:r>
      <w:r>
        <w:rPr>
          <w:rFonts w:hint="eastAsia"/>
        </w:rPr>
        <w:t>行政執行署108年12月18日行執法字第10800569010號函法務部、行政執行署107年9月4日行執法字第10731001770號函法務部、行政執行署107年12月3日行執法字第10731002210號函法務部。</w:t>
      </w:r>
    </w:p>
  </w:footnote>
  <w:footnote w:id="7">
    <w:p w:rsidR="00B64D59" w:rsidRDefault="00B64D59" w:rsidP="00783E1D">
      <w:pPr>
        <w:pStyle w:val="aff0"/>
        <w:jc w:val="both"/>
      </w:pPr>
      <w:r>
        <w:rPr>
          <w:rStyle w:val="aff2"/>
        </w:rPr>
        <w:footnoteRef/>
      </w:r>
      <w:r>
        <w:t xml:space="preserve"> </w:t>
      </w:r>
      <w:r>
        <w:rPr>
          <w:rFonts w:hint="eastAsia"/>
          <w:color w:val="000000"/>
          <w:szCs w:val="32"/>
        </w:rPr>
        <w:t>該系統係利用通</w:t>
      </w:r>
      <w:proofErr w:type="gramStart"/>
      <w:r>
        <w:rPr>
          <w:rFonts w:hint="eastAsia"/>
          <w:color w:val="000000"/>
          <w:szCs w:val="32"/>
        </w:rPr>
        <w:t>匯</w:t>
      </w:r>
      <w:proofErr w:type="gramEnd"/>
      <w:r>
        <w:rPr>
          <w:rFonts w:hint="eastAsia"/>
          <w:color w:val="000000"/>
          <w:szCs w:val="32"/>
        </w:rPr>
        <w:t>系統辦理查詢作業，為穩定通</w:t>
      </w:r>
      <w:proofErr w:type="gramStart"/>
      <w:r>
        <w:rPr>
          <w:rFonts w:hint="eastAsia"/>
          <w:color w:val="000000"/>
          <w:szCs w:val="32"/>
        </w:rPr>
        <w:t>匯</w:t>
      </w:r>
      <w:proofErr w:type="gramEnd"/>
      <w:r>
        <w:rPr>
          <w:rFonts w:hint="eastAsia"/>
          <w:color w:val="000000"/>
          <w:szCs w:val="32"/>
        </w:rPr>
        <w:t>系統，其所能負荷之批次</w:t>
      </w:r>
      <w:proofErr w:type="gramStart"/>
      <w:r>
        <w:rPr>
          <w:rFonts w:hint="eastAsia"/>
          <w:color w:val="000000"/>
          <w:szCs w:val="32"/>
        </w:rPr>
        <w:t>查詢量依財</w:t>
      </w:r>
      <w:proofErr w:type="gramEnd"/>
      <w:r>
        <w:rPr>
          <w:rFonts w:hint="eastAsia"/>
          <w:color w:val="000000"/>
          <w:szCs w:val="32"/>
        </w:rPr>
        <w:t>金公司評估上限為每日1,400</w:t>
      </w:r>
      <w:r>
        <w:rPr>
          <w:rFonts w:hint="eastAsia"/>
          <w:color w:val="000000"/>
          <w:szCs w:val="32"/>
        </w:rPr>
        <w:t>筆，扣除全年放假日數115日，能辦理查詢之天數為250日，亦即全年查詢量上限為35萬筆，惟以該署106、107年受理之義務人數分為183萬人、187萬人，其中約130萬人之案件(大額案件及</w:t>
      </w:r>
      <w:proofErr w:type="gramStart"/>
      <w:r>
        <w:rPr>
          <w:rFonts w:hint="eastAsia"/>
          <w:color w:val="000000"/>
          <w:szCs w:val="32"/>
        </w:rPr>
        <w:t>傳繳後</w:t>
      </w:r>
      <w:proofErr w:type="gramEnd"/>
      <w:r>
        <w:rPr>
          <w:rFonts w:hint="eastAsia"/>
          <w:color w:val="000000"/>
          <w:szCs w:val="32"/>
        </w:rPr>
        <w:t>逾期仍不履行之案件)，須經該署各分署調查財產並據以執行後始能實現公法債權，原有之查詢系統所能提供之查詢量，不足因應分署所需。</w:t>
      </w:r>
    </w:p>
  </w:footnote>
  <w:footnote w:id="8">
    <w:p w:rsidR="00B64D59" w:rsidRDefault="00B64D59" w:rsidP="001A10DE">
      <w:pPr>
        <w:pStyle w:val="aff0"/>
        <w:jc w:val="both"/>
      </w:pPr>
      <w:r>
        <w:rPr>
          <w:rStyle w:val="aff2"/>
        </w:rPr>
        <w:footnoteRef/>
      </w:r>
      <w:r>
        <w:t xml:space="preserve"> </w:t>
      </w:r>
      <w:r>
        <w:rPr>
          <w:rFonts w:hint="eastAsia"/>
        </w:rPr>
        <w:t>行政執行署107</w:t>
      </w:r>
      <w:r>
        <w:rPr>
          <w:rFonts w:hint="eastAsia"/>
        </w:rPr>
        <w:t>年9月7日行執法字第10700555540號函法務部。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7E819F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07C0914"/>
    <w:multiLevelType w:val="hybridMultilevel"/>
    <w:tmpl w:val="4ACCDD7A"/>
    <w:lvl w:ilvl="0" w:tplc="AB6CB7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E238298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C215E21"/>
    <w:multiLevelType w:val="hybridMultilevel"/>
    <w:tmpl w:val="D0F280BA"/>
    <w:lvl w:ilvl="0" w:tplc="E6F24DE0">
      <w:start w:val="1"/>
      <w:numFmt w:val="taiwaneseCountingThousand"/>
      <w:suff w:val="nothing"/>
      <w:lvlText w:val="(%1)"/>
      <w:lvlJc w:val="left"/>
      <w:pPr>
        <w:ind w:left="473" w:hanging="360"/>
      </w:pPr>
      <w:rPr>
        <w:rFonts w:hint="default"/>
        <w:b/>
        <w:sz w:val="24"/>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6"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65FCF768"/>
    <w:lvl w:ilvl="0" w:tplc="B48CF62A">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3537B15"/>
    <w:multiLevelType w:val="hybridMultilevel"/>
    <w:tmpl w:val="55EE1A52"/>
    <w:lvl w:ilvl="0" w:tplc="223CE3A0">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B9A164E"/>
    <w:multiLevelType w:val="hybridMultilevel"/>
    <w:tmpl w:val="4ACCDD7A"/>
    <w:lvl w:ilvl="0" w:tplc="AB6CB7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FBC2A41"/>
    <w:multiLevelType w:val="hybridMultilevel"/>
    <w:tmpl w:val="4ACCDD7A"/>
    <w:lvl w:ilvl="0" w:tplc="AB6CB7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4"/>
    <w:lvlOverride w:ilvl="0">
      <w:startOverride w:val="1"/>
    </w:lvlOverride>
  </w:num>
  <w:num w:numId="4">
    <w:abstractNumId w:val="8"/>
  </w:num>
  <w:num w:numId="5">
    <w:abstractNumId w:val="6"/>
  </w:num>
  <w:num w:numId="6">
    <w:abstractNumId w:val="9"/>
  </w:num>
  <w:num w:numId="7">
    <w:abstractNumId w:val="3"/>
  </w:num>
  <w:num w:numId="8">
    <w:abstractNumId w:val="10"/>
  </w:num>
  <w:num w:numId="9">
    <w:abstractNumId w:val="7"/>
  </w:num>
  <w:num w:numId="10">
    <w:abstractNumId w:val="5"/>
  </w:num>
  <w:num w:numId="11">
    <w:abstractNumId w:val="0"/>
  </w:num>
  <w:num w:numId="12">
    <w:abstractNumId w:val="12"/>
  </w:num>
  <w:num w:numId="13">
    <w:abstractNumId w:val="2"/>
  </w:num>
  <w:num w:numId="14">
    <w:abstractNumId w:val="3"/>
  </w:num>
  <w:num w:numId="15">
    <w:abstractNumId w:val="3"/>
  </w:num>
  <w:num w:numId="16">
    <w:abstractNumId w:val="13"/>
  </w:num>
  <w:num w:numId="17">
    <w:abstractNumId w:val="3"/>
  </w:num>
  <w:num w:numId="18">
    <w:abstractNumId w:val="3"/>
  </w:num>
  <w:num w:numId="19">
    <w:abstractNumId w:val="11"/>
  </w:num>
  <w:num w:numId="20">
    <w:abstractNumId w:val="8"/>
    <w:lvlOverride w:ilvl="0">
      <w:startOverride w:val="1"/>
    </w:lvlOverride>
  </w:num>
  <w:num w:numId="21">
    <w:abstractNumId w:val="3"/>
  </w:num>
  <w:num w:numId="22">
    <w:abstractNumId w:val="8"/>
  </w:num>
  <w:num w:numId="23">
    <w:abstractNumId w:val="8"/>
    <w:lvlOverride w:ilvl="0">
      <w:startOverride w:val="1"/>
    </w:lvlOverride>
  </w:num>
  <w:num w:numId="24">
    <w:abstractNumId w:val="3"/>
  </w:num>
  <w:num w:numId="25">
    <w:abstractNumId w:val="3"/>
  </w:num>
  <w:num w:numId="26">
    <w:abstractNumId w:val="3"/>
  </w:num>
  <w:num w:numId="27">
    <w:abstractNumId w:val="3"/>
  </w:num>
  <w:num w:numId="2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F6F"/>
    <w:rsid w:val="000010C7"/>
    <w:rsid w:val="00005CB3"/>
    <w:rsid w:val="00006961"/>
    <w:rsid w:val="000112BF"/>
    <w:rsid w:val="00012167"/>
    <w:rsid w:val="00012233"/>
    <w:rsid w:val="00017318"/>
    <w:rsid w:val="000229AD"/>
    <w:rsid w:val="000232B3"/>
    <w:rsid w:val="000246F7"/>
    <w:rsid w:val="0002505B"/>
    <w:rsid w:val="00026472"/>
    <w:rsid w:val="00026653"/>
    <w:rsid w:val="00026AEE"/>
    <w:rsid w:val="0003114D"/>
    <w:rsid w:val="0003360E"/>
    <w:rsid w:val="00034543"/>
    <w:rsid w:val="00036D76"/>
    <w:rsid w:val="00043990"/>
    <w:rsid w:val="000509C3"/>
    <w:rsid w:val="00053468"/>
    <w:rsid w:val="00053B12"/>
    <w:rsid w:val="00057F32"/>
    <w:rsid w:val="00061023"/>
    <w:rsid w:val="00062A25"/>
    <w:rsid w:val="00066BA9"/>
    <w:rsid w:val="00071C25"/>
    <w:rsid w:val="00073638"/>
    <w:rsid w:val="00073C2F"/>
    <w:rsid w:val="00073CB5"/>
    <w:rsid w:val="0007425C"/>
    <w:rsid w:val="0007452D"/>
    <w:rsid w:val="00077553"/>
    <w:rsid w:val="000806FE"/>
    <w:rsid w:val="0008156E"/>
    <w:rsid w:val="000816D7"/>
    <w:rsid w:val="000851A2"/>
    <w:rsid w:val="0008714F"/>
    <w:rsid w:val="00090877"/>
    <w:rsid w:val="000914D8"/>
    <w:rsid w:val="0009352E"/>
    <w:rsid w:val="000935DA"/>
    <w:rsid w:val="000937A7"/>
    <w:rsid w:val="000949E0"/>
    <w:rsid w:val="00096861"/>
    <w:rsid w:val="00096B96"/>
    <w:rsid w:val="000A2F3F"/>
    <w:rsid w:val="000B0B4A"/>
    <w:rsid w:val="000B279A"/>
    <w:rsid w:val="000B2BBD"/>
    <w:rsid w:val="000B43E7"/>
    <w:rsid w:val="000B61D2"/>
    <w:rsid w:val="000B70A7"/>
    <w:rsid w:val="000B73DD"/>
    <w:rsid w:val="000C086A"/>
    <w:rsid w:val="000C2699"/>
    <w:rsid w:val="000C495F"/>
    <w:rsid w:val="000C5A2B"/>
    <w:rsid w:val="000C703F"/>
    <w:rsid w:val="000D66D9"/>
    <w:rsid w:val="000D7D0E"/>
    <w:rsid w:val="000E6431"/>
    <w:rsid w:val="000E65AF"/>
    <w:rsid w:val="000E7475"/>
    <w:rsid w:val="000E7584"/>
    <w:rsid w:val="000E7D7B"/>
    <w:rsid w:val="000F21A5"/>
    <w:rsid w:val="000F3577"/>
    <w:rsid w:val="00100856"/>
    <w:rsid w:val="0010100F"/>
    <w:rsid w:val="00102B9F"/>
    <w:rsid w:val="00102F63"/>
    <w:rsid w:val="00103B6B"/>
    <w:rsid w:val="00104B2F"/>
    <w:rsid w:val="00110F2B"/>
    <w:rsid w:val="00112637"/>
    <w:rsid w:val="00112ABC"/>
    <w:rsid w:val="0011322A"/>
    <w:rsid w:val="0012001E"/>
    <w:rsid w:val="00122CAC"/>
    <w:rsid w:val="00125176"/>
    <w:rsid w:val="0012621E"/>
    <w:rsid w:val="00126A55"/>
    <w:rsid w:val="00127384"/>
    <w:rsid w:val="00127BC5"/>
    <w:rsid w:val="00131234"/>
    <w:rsid w:val="00132ABF"/>
    <w:rsid w:val="00132F69"/>
    <w:rsid w:val="00133F08"/>
    <w:rsid w:val="001345E6"/>
    <w:rsid w:val="001378B0"/>
    <w:rsid w:val="00142E00"/>
    <w:rsid w:val="0014633D"/>
    <w:rsid w:val="001476B2"/>
    <w:rsid w:val="00150099"/>
    <w:rsid w:val="00151449"/>
    <w:rsid w:val="00152793"/>
    <w:rsid w:val="00153B7E"/>
    <w:rsid w:val="001545A9"/>
    <w:rsid w:val="001637C7"/>
    <w:rsid w:val="00163E38"/>
    <w:rsid w:val="0016480E"/>
    <w:rsid w:val="00174297"/>
    <w:rsid w:val="00174468"/>
    <w:rsid w:val="00180323"/>
    <w:rsid w:val="00180E06"/>
    <w:rsid w:val="001817B3"/>
    <w:rsid w:val="00182302"/>
    <w:rsid w:val="00182C9D"/>
    <w:rsid w:val="00183014"/>
    <w:rsid w:val="00185E72"/>
    <w:rsid w:val="00186440"/>
    <w:rsid w:val="0019104B"/>
    <w:rsid w:val="001924CA"/>
    <w:rsid w:val="00194367"/>
    <w:rsid w:val="0019489B"/>
    <w:rsid w:val="001959C2"/>
    <w:rsid w:val="00196F87"/>
    <w:rsid w:val="00197430"/>
    <w:rsid w:val="001A10DE"/>
    <w:rsid w:val="001A1C5A"/>
    <w:rsid w:val="001A51E3"/>
    <w:rsid w:val="001A7968"/>
    <w:rsid w:val="001B0816"/>
    <w:rsid w:val="001B2E98"/>
    <w:rsid w:val="001B30EE"/>
    <w:rsid w:val="001B3483"/>
    <w:rsid w:val="001B3C1E"/>
    <w:rsid w:val="001B4494"/>
    <w:rsid w:val="001B547B"/>
    <w:rsid w:val="001B70FE"/>
    <w:rsid w:val="001B7C89"/>
    <w:rsid w:val="001C0D3C"/>
    <w:rsid w:val="001C0D8B"/>
    <w:rsid w:val="001C0DA8"/>
    <w:rsid w:val="001C69E1"/>
    <w:rsid w:val="001C70EA"/>
    <w:rsid w:val="001D0EA6"/>
    <w:rsid w:val="001D4AD7"/>
    <w:rsid w:val="001D5FFC"/>
    <w:rsid w:val="001D7710"/>
    <w:rsid w:val="001E0D8A"/>
    <w:rsid w:val="001E3832"/>
    <w:rsid w:val="001E4B19"/>
    <w:rsid w:val="001E5056"/>
    <w:rsid w:val="001E67BA"/>
    <w:rsid w:val="001E74C2"/>
    <w:rsid w:val="001F4794"/>
    <w:rsid w:val="001F4F82"/>
    <w:rsid w:val="001F59A2"/>
    <w:rsid w:val="001F5A48"/>
    <w:rsid w:val="001F6260"/>
    <w:rsid w:val="001F7075"/>
    <w:rsid w:val="00200007"/>
    <w:rsid w:val="002019FE"/>
    <w:rsid w:val="002024A1"/>
    <w:rsid w:val="002030A5"/>
    <w:rsid w:val="00203131"/>
    <w:rsid w:val="002058F9"/>
    <w:rsid w:val="00211AB2"/>
    <w:rsid w:val="00212E88"/>
    <w:rsid w:val="00213C9C"/>
    <w:rsid w:val="002143F4"/>
    <w:rsid w:val="0021486E"/>
    <w:rsid w:val="0022009E"/>
    <w:rsid w:val="0022145C"/>
    <w:rsid w:val="00223241"/>
    <w:rsid w:val="0022425C"/>
    <w:rsid w:val="002246DE"/>
    <w:rsid w:val="002279FE"/>
    <w:rsid w:val="00237A83"/>
    <w:rsid w:val="00240622"/>
    <w:rsid w:val="00241CD8"/>
    <w:rsid w:val="00242183"/>
    <w:rsid w:val="002429E2"/>
    <w:rsid w:val="00244B91"/>
    <w:rsid w:val="00245554"/>
    <w:rsid w:val="00252BC4"/>
    <w:rsid w:val="00254014"/>
    <w:rsid w:val="00254B39"/>
    <w:rsid w:val="00255C5D"/>
    <w:rsid w:val="002600A2"/>
    <w:rsid w:val="00261D6B"/>
    <w:rsid w:val="0026463B"/>
    <w:rsid w:val="0026504D"/>
    <w:rsid w:val="002663E7"/>
    <w:rsid w:val="00273621"/>
    <w:rsid w:val="00273A2F"/>
    <w:rsid w:val="00276065"/>
    <w:rsid w:val="0027674F"/>
    <w:rsid w:val="00280986"/>
    <w:rsid w:val="00281ECE"/>
    <w:rsid w:val="002831C7"/>
    <w:rsid w:val="002840C6"/>
    <w:rsid w:val="00285224"/>
    <w:rsid w:val="00291379"/>
    <w:rsid w:val="002949C8"/>
    <w:rsid w:val="00295174"/>
    <w:rsid w:val="00295ADC"/>
    <w:rsid w:val="00296072"/>
    <w:rsid w:val="00296172"/>
    <w:rsid w:val="00296B92"/>
    <w:rsid w:val="0029791C"/>
    <w:rsid w:val="00297994"/>
    <w:rsid w:val="002A2C22"/>
    <w:rsid w:val="002A36EE"/>
    <w:rsid w:val="002A5181"/>
    <w:rsid w:val="002A59A7"/>
    <w:rsid w:val="002B02EB"/>
    <w:rsid w:val="002B0DF5"/>
    <w:rsid w:val="002B1B7C"/>
    <w:rsid w:val="002B4057"/>
    <w:rsid w:val="002C0602"/>
    <w:rsid w:val="002C7545"/>
    <w:rsid w:val="002D128B"/>
    <w:rsid w:val="002D22B5"/>
    <w:rsid w:val="002D5C16"/>
    <w:rsid w:val="002D7611"/>
    <w:rsid w:val="002F2476"/>
    <w:rsid w:val="002F25B5"/>
    <w:rsid w:val="002F35B1"/>
    <w:rsid w:val="002F3DFF"/>
    <w:rsid w:val="002F3FBB"/>
    <w:rsid w:val="002F5497"/>
    <w:rsid w:val="002F5E05"/>
    <w:rsid w:val="002F75C8"/>
    <w:rsid w:val="00300578"/>
    <w:rsid w:val="003050ED"/>
    <w:rsid w:val="00307A76"/>
    <w:rsid w:val="00307B52"/>
    <w:rsid w:val="00307C0E"/>
    <w:rsid w:val="00314014"/>
    <w:rsid w:val="0031455E"/>
    <w:rsid w:val="00315A16"/>
    <w:rsid w:val="00317053"/>
    <w:rsid w:val="00317067"/>
    <w:rsid w:val="00317717"/>
    <w:rsid w:val="0032109C"/>
    <w:rsid w:val="00322AEC"/>
    <w:rsid w:val="00322B45"/>
    <w:rsid w:val="003235D0"/>
    <w:rsid w:val="00323809"/>
    <w:rsid w:val="00323D41"/>
    <w:rsid w:val="00324D67"/>
    <w:rsid w:val="00325414"/>
    <w:rsid w:val="003302F1"/>
    <w:rsid w:val="00330A92"/>
    <w:rsid w:val="00340B7A"/>
    <w:rsid w:val="0034470E"/>
    <w:rsid w:val="00344937"/>
    <w:rsid w:val="00350A0F"/>
    <w:rsid w:val="00352A7E"/>
    <w:rsid w:val="00352DB0"/>
    <w:rsid w:val="003538F0"/>
    <w:rsid w:val="00354C26"/>
    <w:rsid w:val="00355E9B"/>
    <w:rsid w:val="00361063"/>
    <w:rsid w:val="0037094A"/>
    <w:rsid w:val="00370D9D"/>
    <w:rsid w:val="00371347"/>
    <w:rsid w:val="00371825"/>
    <w:rsid w:val="00371B14"/>
    <w:rsid w:val="00371ED3"/>
    <w:rsid w:val="00372659"/>
    <w:rsid w:val="00372FFC"/>
    <w:rsid w:val="0037728A"/>
    <w:rsid w:val="00380B7D"/>
    <w:rsid w:val="00381721"/>
    <w:rsid w:val="00381A99"/>
    <w:rsid w:val="003829C2"/>
    <w:rsid w:val="003830B2"/>
    <w:rsid w:val="00384724"/>
    <w:rsid w:val="00391539"/>
    <w:rsid w:val="003919B7"/>
    <w:rsid w:val="00391D57"/>
    <w:rsid w:val="00392292"/>
    <w:rsid w:val="00392655"/>
    <w:rsid w:val="00394925"/>
    <w:rsid w:val="00394F45"/>
    <w:rsid w:val="003A1DB3"/>
    <w:rsid w:val="003A2EDE"/>
    <w:rsid w:val="003A5927"/>
    <w:rsid w:val="003B004A"/>
    <w:rsid w:val="003B1017"/>
    <w:rsid w:val="003B1EA9"/>
    <w:rsid w:val="003B3C07"/>
    <w:rsid w:val="003B6081"/>
    <w:rsid w:val="003B61E0"/>
    <w:rsid w:val="003B6775"/>
    <w:rsid w:val="003C2463"/>
    <w:rsid w:val="003C4718"/>
    <w:rsid w:val="003C574B"/>
    <w:rsid w:val="003C5FE2"/>
    <w:rsid w:val="003D05FB"/>
    <w:rsid w:val="003D1B16"/>
    <w:rsid w:val="003D45BF"/>
    <w:rsid w:val="003D508A"/>
    <w:rsid w:val="003D537F"/>
    <w:rsid w:val="003D5A1C"/>
    <w:rsid w:val="003D7957"/>
    <w:rsid w:val="003D7B75"/>
    <w:rsid w:val="003E0208"/>
    <w:rsid w:val="003E4B57"/>
    <w:rsid w:val="003E66FA"/>
    <w:rsid w:val="003F1323"/>
    <w:rsid w:val="003F27E1"/>
    <w:rsid w:val="003F437A"/>
    <w:rsid w:val="003F5166"/>
    <w:rsid w:val="003F5C2B"/>
    <w:rsid w:val="00402240"/>
    <w:rsid w:val="004023E9"/>
    <w:rsid w:val="0040454A"/>
    <w:rsid w:val="004057F1"/>
    <w:rsid w:val="00405E24"/>
    <w:rsid w:val="00412E92"/>
    <w:rsid w:val="00413F83"/>
    <w:rsid w:val="004146B0"/>
    <w:rsid w:val="0041490C"/>
    <w:rsid w:val="00416191"/>
    <w:rsid w:val="00416721"/>
    <w:rsid w:val="00421EF0"/>
    <w:rsid w:val="004224FA"/>
    <w:rsid w:val="00422B73"/>
    <w:rsid w:val="00423D07"/>
    <w:rsid w:val="00426DB5"/>
    <w:rsid w:val="00427936"/>
    <w:rsid w:val="0044346F"/>
    <w:rsid w:val="0044504F"/>
    <w:rsid w:val="00450A87"/>
    <w:rsid w:val="00452449"/>
    <w:rsid w:val="00453FF6"/>
    <w:rsid w:val="004575BA"/>
    <w:rsid w:val="004621EC"/>
    <w:rsid w:val="0046378B"/>
    <w:rsid w:val="00463DFC"/>
    <w:rsid w:val="0046520A"/>
    <w:rsid w:val="004672AB"/>
    <w:rsid w:val="004714FE"/>
    <w:rsid w:val="0047467E"/>
    <w:rsid w:val="00475ADB"/>
    <w:rsid w:val="00477BAA"/>
    <w:rsid w:val="00480ACB"/>
    <w:rsid w:val="0048218A"/>
    <w:rsid w:val="004854AE"/>
    <w:rsid w:val="0048798B"/>
    <w:rsid w:val="0049019E"/>
    <w:rsid w:val="00495053"/>
    <w:rsid w:val="00495870"/>
    <w:rsid w:val="004A13C1"/>
    <w:rsid w:val="004A1F59"/>
    <w:rsid w:val="004A29BE"/>
    <w:rsid w:val="004A3225"/>
    <w:rsid w:val="004A33EE"/>
    <w:rsid w:val="004A3AA8"/>
    <w:rsid w:val="004A3D3D"/>
    <w:rsid w:val="004B13C7"/>
    <w:rsid w:val="004B1EFB"/>
    <w:rsid w:val="004B2CB2"/>
    <w:rsid w:val="004B778F"/>
    <w:rsid w:val="004B77B8"/>
    <w:rsid w:val="004C0609"/>
    <w:rsid w:val="004C18A5"/>
    <w:rsid w:val="004C4716"/>
    <w:rsid w:val="004C5E06"/>
    <w:rsid w:val="004C639F"/>
    <w:rsid w:val="004C67E1"/>
    <w:rsid w:val="004D141F"/>
    <w:rsid w:val="004D2742"/>
    <w:rsid w:val="004D6310"/>
    <w:rsid w:val="004D7FEE"/>
    <w:rsid w:val="004E0062"/>
    <w:rsid w:val="004E05A1"/>
    <w:rsid w:val="004E349F"/>
    <w:rsid w:val="004E3AE2"/>
    <w:rsid w:val="004E7F9F"/>
    <w:rsid w:val="004F1D09"/>
    <w:rsid w:val="004F472A"/>
    <w:rsid w:val="004F5E57"/>
    <w:rsid w:val="004F6710"/>
    <w:rsid w:val="00500C3E"/>
    <w:rsid w:val="00500FA1"/>
    <w:rsid w:val="00502849"/>
    <w:rsid w:val="00504334"/>
    <w:rsid w:val="0050483E"/>
    <w:rsid w:val="0050498D"/>
    <w:rsid w:val="00507D1A"/>
    <w:rsid w:val="005104D7"/>
    <w:rsid w:val="00510B9E"/>
    <w:rsid w:val="0051512F"/>
    <w:rsid w:val="005171AA"/>
    <w:rsid w:val="00524146"/>
    <w:rsid w:val="0053192D"/>
    <w:rsid w:val="00531C87"/>
    <w:rsid w:val="00535CF8"/>
    <w:rsid w:val="00536129"/>
    <w:rsid w:val="00536BC2"/>
    <w:rsid w:val="005425E1"/>
    <w:rsid w:val="005427C5"/>
    <w:rsid w:val="00542CF6"/>
    <w:rsid w:val="005450B8"/>
    <w:rsid w:val="005476C6"/>
    <w:rsid w:val="00547CC1"/>
    <w:rsid w:val="00551A59"/>
    <w:rsid w:val="00553C03"/>
    <w:rsid w:val="005560FB"/>
    <w:rsid w:val="00560DDA"/>
    <w:rsid w:val="00562A00"/>
    <w:rsid w:val="00562AF1"/>
    <w:rsid w:val="00563692"/>
    <w:rsid w:val="00566489"/>
    <w:rsid w:val="00570394"/>
    <w:rsid w:val="00571055"/>
    <w:rsid w:val="00571679"/>
    <w:rsid w:val="0057171D"/>
    <w:rsid w:val="00573B64"/>
    <w:rsid w:val="00574216"/>
    <w:rsid w:val="00574C92"/>
    <w:rsid w:val="00574DAE"/>
    <w:rsid w:val="00584235"/>
    <w:rsid w:val="005844E7"/>
    <w:rsid w:val="005908B8"/>
    <w:rsid w:val="00590B85"/>
    <w:rsid w:val="0059512E"/>
    <w:rsid w:val="005975B8"/>
    <w:rsid w:val="005A1CD6"/>
    <w:rsid w:val="005A4E38"/>
    <w:rsid w:val="005A6DD2"/>
    <w:rsid w:val="005A75AC"/>
    <w:rsid w:val="005B07EF"/>
    <w:rsid w:val="005B35EF"/>
    <w:rsid w:val="005B5647"/>
    <w:rsid w:val="005B5DFD"/>
    <w:rsid w:val="005B6D9D"/>
    <w:rsid w:val="005B777F"/>
    <w:rsid w:val="005C385D"/>
    <w:rsid w:val="005C6097"/>
    <w:rsid w:val="005D1A95"/>
    <w:rsid w:val="005D1DC1"/>
    <w:rsid w:val="005D3168"/>
    <w:rsid w:val="005D3B20"/>
    <w:rsid w:val="005D5582"/>
    <w:rsid w:val="005D6D7A"/>
    <w:rsid w:val="005D71B7"/>
    <w:rsid w:val="005D75F1"/>
    <w:rsid w:val="005D7C0D"/>
    <w:rsid w:val="005E212E"/>
    <w:rsid w:val="005E2E60"/>
    <w:rsid w:val="005E4759"/>
    <w:rsid w:val="005E5C22"/>
    <w:rsid w:val="005E5C68"/>
    <w:rsid w:val="005E626C"/>
    <w:rsid w:val="005E65C0"/>
    <w:rsid w:val="005E6624"/>
    <w:rsid w:val="005F0390"/>
    <w:rsid w:val="005F32C8"/>
    <w:rsid w:val="005F6436"/>
    <w:rsid w:val="00603173"/>
    <w:rsid w:val="0060532E"/>
    <w:rsid w:val="006072CD"/>
    <w:rsid w:val="006078D7"/>
    <w:rsid w:val="006106F6"/>
    <w:rsid w:val="00611A7A"/>
    <w:rsid w:val="00612023"/>
    <w:rsid w:val="00612F58"/>
    <w:rsid w:val="00614190"/>
    <w:rsid w:val="00614D78"/>
    <w:rsid w:val="00622A99"/>
    <w:rsid w:val="00622E67"/>
    <w:rsid w:val="00622EA8"/>
    <w:rsid w:val="00623013"/>
    <w:rsid w:val="00623B3C"/>
    <w:rsid w:val="006268D9"/>
    <w:rsid w:val="00626B57"/>
    <w:rsid w:val="00626EDC"/>
    <w:rsid w:val="006331FC"/>
    <w:rsid w:val="006379F5"/>
    <w:rsid w:val="006404E9"/>
    <w:rsid w:val="0064082D"/>
    <w:rsid w:val="00642560"/>
    <w:rsid w:val="0064444D"/>
    <w:rsid w:val="00644B3F"/>
    <w:rsid w:val="00644D7C"/>
    <w:rsid w:val="006452D3"/>
    <w:rsid w:val="006454BA"/>
    <w:rsid w:val="006470EC"/>
    <w:rsid w:val="006542D6"/>
    <w:rsid w:val="00654581"/>
    <w:rsid w:val="0065598E"/>
    <w:rsid w:val="00655AF2"/>
    <w:rsid w:val="00655BC5"/>
    <w:rsid w:val="00655E59"/>
    <w:rsid w:val="006568BE"/>
    <w:rsid w:val="006569BD"/>
    <w:rsid w:val="0066025D"/>
    <w:rsid w:val="0066091A"/>
    <w:rsid w:val="0066245A"/>
    <w:rsid w:val="00665BA9"/>
    <w:rsid w:val="006673F9"/>
    <w:rsid w:val="006773EC"/>
    <w:rsid w:val="00680504"/>
    <w:rsid w:val="00681CD9"/>
    <w:rsid w:val="00683E30"/>
    <w:rsid w:val="00687024"/>
    <w:rsid w:val="00691A8C"/>
    <w:rsid w:val="006935B2"/>
    <w:rsid w:val="00694FA7"/>
    <w:rsid w:val="00695910"/>
    <w:rsid w:val="006959BC"/>
    <w:rsid w:val="00695E22"/>
    <w:rsid w:val="00696429"/>
    <w:rsid w:val="00696484"/>
    <w:rsid w:val="006A09B9"/>
    <w:rsid w:val="006A77F0"/>
    <w:rsid w:val="006B1ADF"/>
    <w:rsid w:val="006B6DBF"/>
    <w:rsid w:val="006B7093"/>
    <w:rsid w:val="006B7417"/>
    <w:rsid w:val="006C3DB3"/>
    <w:rsid w:val="006C5476"/>
    <w:rsid w:val="006D2DDA"/>
    <w:rsid w:val="006D31F9"/>
    <w:rsid w:val="006D3691"/>
    <w:rsid w:val="006E5EF0"/>
    <w:rsid w:val="006E75B1"/>
    <w:rsid w:val="006F3563"/>
    <w:rsid w:val="006F42B9"/>
    <w:rsid w:val="006F6103"/>
    <w:rsid w:val="00704AE8"/>
    <w:rsid w:val="00704E00"/>
    <w:rsid w:val="007067C2"/>
    <w:rsid w:val="00714656"/>
    <w:rsid w:val="0071592F"/>
    <w:rsid w:val="00717CE1"/>
    <w:rsid w:val="007209E7"/>
    <w:rsid w:val="00722073"/>
    <w:rsid w:val="00725E4F"/>
    <w:rsid w:val="00726182"/>
    <w:rsid w:val="00727635"/>
    <w:rsid w:val="00730861"/>
    <w:rsid w:val="00732329"/>
    <w:rsid w:val="007337CA"/>
    <w:rsid w:val="00734CE4"/>
    <w:rsid w:val="00735123"/>
    <w:rsid w:val="00735C2A"/>
    <w:rsid w:val="00741837"/>
    <w:rsid w:val="00744D51"/>
    <w:rsid w:val="007453E6"/>
    <w:rsid w:val="00745FB4"/>
    <w:rsid w:val="00746B1D"/>
    <w:rsid w:val="00751DDE"/>
    <w:rsid w:val="007524F1"/>
    <w:rsid w:val="00754E04"/>
    <w:rsid w:val="0075748E"/>
    <w:rsid w:val="007605BD"/>
    <w:rsid w:val="00765B7C"/>
    <w:rsid w:val="00770453"/>
    <w:rsid w:val="00771D85"/>
    <w:rsid w:val="00772F81"/>
    <w:rsid w:val="0077309D"/>
    <w:rsid w:val="007731F4"/>
    <w:rsid w:val="007774EE"/>
    <w:rsid w:val="00781822"/>
    <w:rsid w:val="007820FA"/>
    <w:rsid w:val="0078277D"/>
    <w:rsid w:val="00783E1D"/>
    <w:rsid w:val="00783F21"/>
    <w:rsid w:val="0078424C"/>
    <w:rsid w:val="00786F4D"/>
    <w:rsid w:val="00787159"/>
    <w:rsid w:val="0079043A"/>
    <w:rsid w:val="00791668"/>
    <w:rsid w:val="00791AA1"/>
    <w:rsid w:val="007941AC"/>
    <w:rsid w:val="007A0F05"/>
    <w:rsid w:val="007A3793"/>
    <w:rsid w:val="007A5784"/>
    <w:rsid w:val="007B0C93"/>
    <w:rsid w:val="007B2D53"/>
    <w:rsid w:val="007B6BC2"/>
    <w:rsid w:val="007C1BA2"/>
    <w:rsid w:val="007C201F"/>
    <w:rsid w:val="007C2B48"/>
    <w:rsid w:val="007C4769"/>
    <w:rsid w:val="007D20E9"/>
    <w:rsid w:val="007D4219"/>
    <w:rsid w:val="007D52A1"/>
    <w:rsid w:val="007D7881"/>
    <w:rsid w:val="007D7E3A"/>
    <w:rsid w:val="007E02D5"/>
    <w:rsid w:val="007E0E10"/>
    <w:rsid w:val="007E2588"/>
    <w:rsid w:val="007E2781"/>
    <w:rsid w:val="007E4768"/>
    <w:rsid w:val="007E6A0A"/>
    <w:rsid w:val="007E777B"/>
    <w:rsid w:val="007F2070"/>
    <w:rsid w:val="007F520B"/>
    <w:rsid w:val="007F63C1"/>
    <w:rsid w:val="007F73D2"/>
    <w:rsid w:val="008053F5"/>
    <w:rsid w:val="00807163"/>
    <w:rsid w:val="00807AF7"/>
    <w:rsid w:val="00807F21"/>
    <w:rsid w:val="00810198"/>
    <w:rsid w:val="00811736"/>
    <w:rsid w:val="00812E9E"/>
    <w:rsid w:val="0081449B"/>
    <w:rsid w:val="00815DA8"/>
    <w:rsid w:val="0082194D"/>
    <w:rsid w:val="008221F9"/>
    <w:rsid w:val="00823925"/>
    <w:rsid w:val="0082499C"/>
    <w:rsid w:val="00826EF5"/>
    <w:rsid w:val="00827B21"/>
    <w:rsid w:val="00830F92"/>
    <w:rsid w:val="00831693"/>
    <w:rsid w:val="008322C5"/>
    <w:rsid w:val="00832916"/>
    <w:rsid w:val="00833643"/>
    <w:rsid w:val="00836185"/>
    <w:rsid w:val="00840104"/>
    <w:rsid w:val="00840C1F"/>
    <w:rsid w:val="008411C9"/>
    <w:rsid w:val="00841FC5"/>
    <w:rsid w:val="008428B8"/>
    <w:rsid w:val="00843D0F"/>
    <w:rsid w:val="00845709"/>
    <w:rsid w:val="008509B7"/>
    <w:rsid w:val="00852A3B"/>
    <w:rsid w:val="00852DB7"/>
    <w:rsid w:val="008551FA"/>
    <w:rsid w:val="008576BD"/>
    <w:rsid w:val="00860463"/>
    <w:rsid w:val="00860B4C"/>
    <w:rsid w:val="008617BE"/>
    <w:rsid w:val="00865522"/>
    <w:rsid w:val="008731F8"/>
    <w:rsid w:val="008733DA"/>
    <w:rsid w:val="0087484B"/>
    <w:rsid w:val="00874DFD"/>
    <w:rsid w:val="00877348"/>
    <w:rsid w:val="00880847"/>
    <w:rsid w:val="00880F40"/>
    <w:rsid w:val="0088296C"/>
    <w:rsid w:val="00883E17"/>
    <w:rsid w:val="008850E4"/>
    <w:rsid w:val="00891296"/>
    <w:rsid w:val="00892BCA"/>
    <w:rsid w:val="008939AB"/>
    <w:rsid w:val="008A12F5"/>
    <w:rsid w:val="008A2142"/>
    <w:rsid w:val="008B1587"/>
    <w:rsid w:val="008B1B01"/>
    <w:rsid w:val="008B3247"/>
    <w:rsid w:val="008B3279"/>
    <w:rsid w:val="008B3BCD"/>
    <w:rsid w:val="008B6AEF"/>
    <w:rsid w:val="008B6DF8"/>
    <w:rsid w:val="008C106C"/>
    <w:rsid w:val="008C10F1"/>
    <w:rsid w:val="008C1926"/>
    <w:rsid w:val="008C1E99"/>
    <w:rsid w:val="008C1FB7"/>
    <w:rsid w:val="008C7F05"/>
    <w:rsid w:val="008D196C"/>
    <w:rsid w:val="008D5847"/>
    <w:rsid w:val="008D6228"/>
    <w:rsid w:val="008D7E0F"/>
    <w:rsid w:val="008E0085"/>
    <w:rsid w:val="008E1B66"/>
    <w:rsid w:val="008E2AA6"/>
    <w:rsid w:val="008E311B"/>
    <w:rsid w:val="008E5D36"/>
    <w:rsid w:val="008F46E7"/>
    <w:rsid w:val="008F5736"/>
    <w:rsid w:val="008F5AB4"/>
    <w:rsid w:val="008F64CA"/>
    <w:rsid w:val="008F6F0B"/>
    <w:rsid w:val="008F7E4B"/>
    <w:rsid w:val="00900398"/>
    <w:rsid w:val="009019B3"/>
    <w:rsid w:val="00903F92"/>
    <w:rsid w:val="00907BA7"/>
    <w:rsid w:val="0091064E"/>
    <w:rsid w:val="0091081C"/>
    <w:rsid w:val="00911FC5"/>
    <w:rsid w:val="00913FF0"/>
    <w:rsid w:val="0091573D"/>
    <w:rsid w:val="00920CF7"/>
    <w:rsid w:val="009217C2"/>
    <w:rsid w:val="00923E10"/>
    <w:rsid w:val="0092516E"/>
    <w:rsid w:val="00927881"/>
    <w:rsid w:val="00931A10"/>
    <w:rsid w:val="0093284E"/>
    <w:rsid w:val="0093466B"/>
    <w:rsid w:val="00940A4D"/>
    <w:rsid w:val="009434D0"/>
    <w:rsid w:val="00947967"/>
    <w:rsid w:val="00951BCF"/>
    <w:rsid w:val="00951F76"/>
    <w:rsid w:val="009550BB"/>
    <w:rsid w:val="00955201"/>
    <w:rsid w:val="00957A75"/>
    <w:rsid w:val="00960241"/>
    <w:rsid w:val="009611D8"/>
    <w:rsid w:val="00965200"/>
    <w:rsid w:val="009668B3"/>
    <w:rsid w:val="00971471"/>
    <w:rsid w:val="00973D21"/>
    <w:rsid w:val="00977D79"/>
    <w:rsid w:val="00982080"/>
    <w:rsid w:val="0098435C"/>
    <w:rsid w:val="0098487F"/>
    <w:rsid w:val="009849C2"/>
    <w:rsid w:val="00984D24"/>
    <w:rsid w:val="009858EB"/>
    <w:rsid w:val="009864AE"/>
    <w:rsid w:val="00987050"/>
    <w:rsid w:val="009A29DB"/>
    <w:rsid w:val="009A3F47"/>
    <w:rsid w:val="009B0046"/>
    <w:rsid w:val="009B6FD7"/>
    <w:rsid w:val="009B7D2F"/>
    <w:rsid w:val="009C1440"/>
    <w:rsid w:val="009C2107"/>
    <w:rsid w:val="009C29CD"/>
    <w:rsid w:val="009C2B17"/>
    <w:rsid w:val="009C41BE"/>
    <w:rsid w:val="009C5D9E"/>
    <w:rsid w:val="009D2C3E"/>
    <w:rsid w:val="009D314C"/>
    <w:rsid w:val="009D5D79"/>
    <w:rsid w:val="009E0625"/>
    <w:rsid w:val="009E3034"/>
    <w:rsid w:val="009E549F"/>
    <w:rsid w:val="009E7387"/>
    <w:rsid w:val="009F28A8"/>
    <w:rsid w:val="009F473E"/>
    <w:rsid w:val="009F4C51"/>
    <w:rsid w:val="009F50F4"/>
    <w:rsid w:val="009F5247"/>
    <w:rsid w:val="009F682A"/>
    <w:rsid w:val="00A011A5"/>
    <w:rsid w:val="00A022BE"/>
    <w:rsid w:val="00A0644D"/>
    <w:rsid w:val="00A07B4B"/>
    <w:rsid w:val="00A11B75"/>
    <w:rsid w:val="00A16D26"/>
    <w:rsid w:val="00A24C95"/>
    <w:rsid w:val="00A2599A"/>
    <w:rsid w:val="00A26094"/>
    <w:rsid w:val="00A26388"/>
    <w:rsid w:val="00A2678D"/>
    <w:rsid w:val="00A301BF"/>
    <w:rsid w:val="00A302B2"/>
    <w:rsid w:val="00A331B4"/>
    <w:rsid w:val="00A3484E"/>
    <w:rsid w:val="00A356D3"/>
    <w:rsid w:val="00A35F21"/>
    <w:rsid w:val="00A36ADA"/>
    <w:rsid w:val="00A37504"/>
    <w:rsid w:val="00A37C4D"/>
    <w:rsid w:val="00A37C78"/>
    <w:rsid w:val="00A407D0"/>
    <w:rsid w:val="00A438D8"/>
    <w:rsid w:val="00A473F5"/>
    <w:rsid w:val="00A47A89"/>
    <w:rsid w:val="00A512B0"/>
    <w:rsid w:val="00A51F9D"/>
    <w:rsid w:val="00A52975"/>
    <w:rsid w:val="00A5416A"/>
    <w:rsid w:val="00A54C96"/>
    <w:rsid w:val="00A55FAB"/>
    <w:rsid w:val="00A569ED"/>
    <w:rsid w:val="00A6302A"/>
    <w:rsid w:val="00A639F4"/>
    <w:rsid w:val="00A64246"/>
    <w:rsid w:val="00A65864"/>
    <w:rsid w:val="00A65FAE"/>
    <w:rsid w:val="00A67C67"/>
    <w:rsid w:val="00A709B5"/>
    <w:rsid w:val="00A70EBE"/>
    <w:rsid w:val="00A75C2C"/>
    <w:rsid w:val="00A81A32"/>
    <w:rsid w:val="00A835BD"/>
    <w:rsid w:val="00A843A5"/>
    <w:rsid w:val="00A92297"/>
    <w:rsid w:val="00A92CE8"/>
    <w:rsid w:val="00A9371A"/>
    <w:rsid w:val="00A96945"/>
    <w:rsid w:val="00A9780B"/>
    <w:rsid w:val="00A97B15"/>
    <w:rsid w:val="00AA3C4F"/>
    <w:rsid w:val="00AA3F63"/>
    <w:rsid w:val="00AA42D5"/>
    <w:rsid w:val="00AA54E6"/>
    <w:rsid w:val="00AB2FAB"/>
    <w:rsid w:val="00AB3876"/>
    <w:rsid w:val="00AB3FEB"/>
    <w:rsid w:val="00AB5C14"/>
    <w:rsid w:val="00AB681D"/>
    <w:rsid w:val="00AC083B"/>
    <w:rsid w:val="00AC1EE7"/>
    <w:rsid w:val="00AC333F"/>
    <w:rsid w:val="00AC47B8"/>
    <w:rsid w:val="00AC585C"/>
    <w:rsid w:val="00AD1925"/>
    <w:rsid w:val="00AD2243"/>
    <w:rsid w:val="00AD7935"/>
    <w:rsid w:val="00AE067D"/>
    <w:rsid w:val="00AE09C7"/>
    <w:rsid w:val="00AE28D3"/>
    <w:rsid w:val="00AE2BEE"/>
    <w:rsid w:val="00AF0845"/>
    <w:rsid w:val="00AF1181"/>
    <w:rsid w:val="00AF2F79"/>
    <w:rsid w:val="00AF3763"/>
    <w:rsid w:val="00AF4653"/>
    <w:rsid w:val="00AF7DB7"/>
    <w:rsid w:val="00B01446"/>
    <w:rsid w:val="00B02C8A"/>
    <w:rsid w:val="00B03AC8"/>
    <w:rsid w:val="00B045E5"/>
    <w:rsid w:val="00B058B7"/>
    <w:rsid w:val="00B059F6"/>
    <w:rsid w:val="00B06EBE"/>
    <w:rsid w:val="00B10D02"/>
    <w:rsid w:val="00B12122"/>
    <w:rsid w:val="00B12FBF"/>
    <w:rsid w:val="00B201E2"/>
    <w:rsid w:val="00B3425D"/>
    <w:rsid w:val="00B42F97"/>
    <w:rsid w:val="00B443E4"/>
    <w:rsid w:val="00B4449B"/>
    <w:rsid w:val="00B50CF5"/>
    <w:rsid w:val="00B5484D"/>
    <w:rsid w:val="00B55BED"/>
    <w:rsid w:val="00B563EA"/>
    <w:rsid w:val="00B56CDF"/>
    <w:rsid w:val="00B60E0D"/>
    <w:rsid w:val="00B60E51"/>
    <w:rsid w:val="00B63A54"/>
    <w:rsid w:val="00B64D59"/>
    <w:rsid w:val="00B67C99"/>
    <w:rsid w:val="00B7084E"/>
    <w:rsid w:val="00B71315"/>
    <w:rsid w:val="00B75E1E"/>
    <w:rsid w:val="00B766F2"/>
    <w:rsid w:val="00B77D18"/>
    <w:rsid w:val="00B815E7"/>
    <w:rsid w:val="00B82A59"/>
    <w:rsid w:val="00B8313A"/>
    <w:rsid w:val="00B86003"/>
    <w:rsid w:val="00B8665E"/>
    <w:rsid w:val="00B931C8"/>
    <w:rsid w:val="00B93503"/>
    <w:rsid w:val="00B94202"/>
    <w:rsid w:val="00B95B75"/>
    <w:rsid w:val="00B97DA1"/>
    <w:rsid w:val="00B97DDA"/>
    <w:rsid w:val="00BA00F4"/>
    <w:rsid w:val="00BA190A"/>
    <w:rsid w:val="00BA31E8"/>
    <w:rsid w:val="00BA55E0"/>
    <w:rsid w:val="00BA6BD4"/>
    <w:rsid w:val="00BA6C7A"/>
    <w:rsid w:val="00BA7403"/>
    <w:rsid w:val="00BB17D1"/>
    <w:rsid w:val="00BB1D0A"/>
    <w:rsid w:val="00BB3752"/>
    <w:rsid w:val="00BB5242"/>
    <w:rsid w:val="00BB5EF8"/>
    <w:rsid w:val="00BB6688"/>
    <w:rsid w:val="00BC26D4"/>
    <w:rsid w:val="00BC3B74"/>
    <w:rsid w:val="00BC55B9"/>
    <w:rsid w:val="00BD1456"/>
    <w:rsid w:val="00BD16AD"/>
    <w:rsid w:val="00BD2992"/>
    <w:rsid w:val="00BD4108"/>
    <w:rsid w:val="00BD66C6"/>
    <w:rsid w:val="00BD6FA9"/>
    <w:rsid w:val="00BE0C80"/>
    <w:rsid w:val="00BE11E9"/>
    <w:rsid w:val="00BE3606"/>
    <w:rsid w:val="00BE4621"/>
    <w:rsid w:val="00BE756E"/>
    <w:rsid w:val="00BF2A42"/>
    <w:rsid w:val="00BF5484"/>
    <w:rsid w:val="00C00E6A"/>
    <w:rsid w:val="00C00E87"/>
    <w:rsid w:val="00C01FFD"/>
    <w:rsid w:val="00C03D8C"/>
    <w:rsid w:val="00C052BB"/>
    <w:rsid w:val="00C055EC"/>
    <w:rsid w:val="00C0683C"/>
    <w:rsid w:val="00C10DC9"/>
    <w:rsid w:val="00C12FB3"/>
    <w:rsid w:val="00C17138"/>
    <w:rsid w:val="00C17341"/>
    <w:rsid w:val="00C22500"/>
    <w:rsid w:val="00C23246"/>
    <w:rsid w:val="00C240AD"/>
    <w:rsid w:val="00C246C5"/>
    <w:rsid w:val="00C24EEF"/>
    <w:rsid w:val="00C25CF6"/>
    <w:rsid w:val="00C26C36"/>
    <w:rsid w:val="00C26E7C"/>
    <w:rsid w:val="00C32768"/>
    <w:rsid w:val="00C3539D"/>
    <w:rsid w:val="00C41E79"/>
    <w:rsid w:val="00C431DF"/>
    <w:rsid w:val="00C456BD"/>
    <w:rsid w:val="00C460B3"/>
    <w:rsid w:val="00C51D06"/>
    <w:rsid w:val="00C530DC"/>
    <w:rsid w:val="00C5350D"/>
    <w:rsid w:val="00C541FB"/>
    <w:rsid w:val="00C6123C"/>
    <w:rsid w:val="00C61F28"/>
    <w:rsid w:val="00C620D8"/>
    <w:rsid w:val="00C6311A"/>
    <w:rsid w:val="00C655F9"/>
    <w:rsid w:val="00C66A9B"/>
    <w:rsid w:val="00C7084D"/>
    <w:rsid w:val="00C70E6D"/>
    <w:rsid w:val="00C7315E"/>
    <w:rsid w:val="00C75895"/>
    <w:rsid w:val="00C77F53"/>
    <w:rsid w:val="00C800BE"/>
    <w:rsid w:val="00C81A33"/>
    <w:rsid w:val="00C83C9F"/>
    <w:rsid w:val="00C87F2E"/>
    <w:rsid w:val="00C913E1"/>
    <w:rsid w:val="00C93FB6"/>
    <w:rsid w:val="00C94840"/>
    <w:rsid w:val="00C95017"/>
    <w:rsid w:val="00C96ADE"/>
    <w:rsid w:val="00CA155B"/>
    <w:rsid w:val="00CA36E5"/>
    <w:rsid w:val="00CA4A7F"/>
    <w:rsid w:val="00CA4EE3"/>
    <w:rsid w:val="00CA6B60"/>
    <w:rsid w:val="00CA7461"/>
    <w:rsid w:val="00CB027F"/>
    <w:rsid w:val="00CB269B"/>
    <w:rsid w:val="00CB49B9"/>
    <w:rsid w:val="00CB5398"/>
    <w:rsid w:val="00CC0EBB"/>
    <w:rsid w:val="00CC3783"/>
    <w:rsid w:val="00CC6297"/>
    <w:rsid w:val="00CC71AF"/>
    <w:rsid w:val="00CC733F"/>
    <w:rsid w:val="00CC7690"/>
    <w:rsid w:val="00CD041B"/>
    <w:rsid w:val="00CD1986"/>
    <w:rsid w:val="00CD2AA5"/>
    <w:rsid w:val="00CD3231"/>
    <w:rsid w:val="00CD54BF"/>
    <w:rsid w:val="00CD66DF"/>
    <w:rsid w:val="00CE0D37"/>
    <w:rsid w:val="00CE2AE0"/>
    <w:rsid w:val="00CE4D5C"/>
    <w:rsid w:val="00CF05DA"/>
    <w:rsid w:val="00CF0847"/>
    <w:rsid w:val="00CF1D77"/>
    <w:rsid w:val="00CF439E"/>
    <w:rsid w:val="00CF58EB"/>
    <w:rsid w:val="00CF59B3"/>
    <w:rsid w:val="00CF6FEC"/>
    <w:rsid w:val="00D00A30"/>
    <w:rsid w:val="00D0106E"/>
    <w:rsid w:val="00D034B3"/>
    <w:rsid w:val="00D053E5"/>
    <w:rsid w:val="00D06383"/>
    <w:rsid w:val="00D0748E"/>
    <w:rsid w:val="00D1147D"/>
    <w:rsid w:val="00D11FD7"/>
    <w:rsid w:val="00D126FE"/>
    <w:rsid w:val="00D12DC3"/>
    <w:rsid w:val="00D14463"/>
    <w:rsid w:val="00D14ED6"/>
    <w:rsid w:val="00D1712B"/>
    <w:rsid w:val="00D20E85"/>
    <w:rsid w:val="00D22F0B"/>
    <w:rsid w:val="00D24615"/>
    <w:rsid w:val="00D25FE6"/>
    <w:rsid w:val="00D2790E"/>
    <w:rsid w:val="00D30B3C"/>
    <w:rsid w:val="00D33D48"/>
    <w:rsid w:val="00D35093"/>
    <w:rsid w:val="00D35A1C"/>
    <w:rsid w:val="00D37842"/>
    <w:rsid w:val="00D42DC2"/>
    <w:rsid w:val="00D4302B"/>
    <w:rsid w:val="00D43A3C"/>
    <w:rsid w:val="00D43E0F"/>
    <w:rsid w:val="00D4613E"/>
    <w:rsid w:val="00D525A4"/>
    <w:rsid w:val="00D537E1"/>
    <w:rsid w:val="00D55BB2"/>
    <w:rsid w:val="00D57B44"/>
    <w:rsid w:val="00D6091A"/>
    <w:rsid w:val="00D609F5"/>
    <w:rsid w:val="00D64774"/>
    <w:rsid w:val="00D64B7B"/>
    <w:rsid w:val="00D658B3"/>
    <w:rsid w:val="00D6605A"/>
    <w:rsid w:val="00D6695F"/>
    <w:rsid w:val="00D73B2C"/>
    <w:rsid w:val="00D75644"/>
    <w:rsid w:val="00D7614F"/>
    <w:rsid w:val="00D81656"/>
    <w:rsid w:val="00D834B2"/>
    <w:rsid w:val="00D83D87"/>
    <w:rsid w:val="00D8455B"/>
    <w:rsid w:val="00D84A6D"/>
    <w:rsid w:val="00D86A30"/>
    <w:rsid w:val="00D87B99"/>
    <w:rsid w:val="00D93E6A"/>
    <w:rsid w:val="00D96A23"/>
    <w:rsid w:val="00D97CB4"/>
    <w:rsid w:val="00D97DD4"/>
    <w:rsid w:val="00DA2C94"/>
    <w:rsid w:val="00DA5A8A"/>
    <w:rsid w:val="00DA6A1C"/>
    <w:rsid w:val="00DB1170"/>
    <w:rsid w:val="00DB2664"/>
    <w:rsid w:val="00DB26CD"/>
    <w:rsid w:val="00DB441C"/>
    <w:rsid w:val="00DB44AF"/>
    <w:rsid w:val="00DC1F58"/>
    <w:rsid w:val="00DC339B"/>
    <w:rsid w:val="00DC4172"/>
    <w:rsid w:val="00DC439A"/>
    <w:rsid w:val="00DC43EB"/>
    <w:rsid w:val="00DC5D40"/>
    <w:rsid w:val="00DC69A7"/>
    <w:rsid w:val="00DC7718"/>
    <w:rsid w:val="00DD2048"/>
    <w:rsid w:val="00DD30E9"/>
    <w:rsid w:val="00DD4F47"/>
    <w:rsid w:val="00DD7FBB"/>
    <w:rsid w:val="00DE0881"/>
    <w:rsid w:val="00DE0B9F"/>
    <w:rsid w:val="00DE2A9E"/>
    <w:rsid w:val="00DE4238"/>
    <w:rsid w:val="00DE657F"/>
    <w:rsid w:val="00DF111D"/>
    <w:rsid w:val="00DF1218"/>
    <w:rsid w:val="00DF1E2D"/>
    <w:rsid w:val="00DF4D28"/>
    <w:rsid w:val="00DF6462"/>
    <w:rsid w:val="00DF74E2"/>
    <w:rsid w:val="00E00CE7"/>
    <w:rsid w:val="00E02FA0"/>
    <w:rsid w:val="00E036DC"/>
    <w:rsid w:val="00E10454"/>
    <w:rsid w:val="00E112E5"/>
    <w:rsid w:val="00E122D8"/>
    <w:rsid w:val="00E12CC8"/>
    <w:rsid w:val="00E13FC0"/>
    <w:rsid w:val="00E15352"/>
    <w:rsid w:val="00E17813"/>
    <w:rsid w:val="00E21CC7"/>
    <w:rsid w:val="00E23353"/>
    <w:rsid w:val="00E24D9E"/>
    <w:rsid w:val="00E25621"/>
    <w:rsid w:val="00E25849"/>
    <w:rsid w:val="00E27DAF"/>
    <w:rsid w:val="00E27FE5"/>
    <w:rsid w:val="00E31303"/>
    <w:rsid w:val="00E3197E"/>
    <w:rsid w:val="00E342F8"/>
    <w:rsid w:val="00E351ED"/>
    <w:rsid w:val="00E369FA"/>
    <w:rsid w:val="00E4292C"/>
    <w:rsid w:val="00E42B19"/>
    <w:rsid w:val="00E42C89"/>
    <w:rsid w:val="00E436A9"/>
    <w:rsid w:val="00E45EB3"/>
    <w:rsid w:val="00E5134A"/>
    <w:rsid w:val="00E52FA5"/>
    <w:rsid w:val="00E57885"/>
    <w:rsid w:val="00E6034B"/>
    <w:rsid w:val="00E62643"/>
    <w:rsid w:val="00E626D4"/>
    <w:rsid w:val="00E63E06"/>
    <w:rsid w:val="00E6549E"/>
    <w:rsid w:val="00E65980"/>
    <w:rsid w:val="00E65EDE"/>
    <w:rsid w:val="00E70F81"/>
    <w:rsid w:val="00E74DFA"/>
    <w:rsid w:val="00E76CB5"/>
    <w:rsid w:val="00E77055"/>
    <w:rsid w:val="00E77460"/>
    <w:rsid w:val="00E8031B"/>
    <w:rsid w:val="00E80DED"/>
    <w:rsid w:val="00E83ABC"/>
    <w:rsid w:val="00E83AC7"/>
    <w:rsid w:val="00E844F2"/>
    <w:rsid w:val="00E852E7"/>
    <w:rsid w:val="00E853CA"/>
    <w:rsid w:val="00E90AD0"/>
    <w:rsid w:val="00E92FCB"/>
    <w:rsid w:val="00E95447"/>
    <w:rsid w:val="00E95B87"/>
    <w:rsid w:val="00EA147F"/>
    <w:rsid w:val="00EA366A"/>
    <w:rsid w:val="00EA36E0"/>
    <w:rsid w:val="00EA4A27"/>
    <w:rsid w:val="00EA4FA6"/>
    <w:rsid w:val="00EB1330"/>
    <w:rsid w:val="00EB1A25"/>
    <w:rsid w:val="00EB7014"/>
    <w:rsid w:val="00EC1E70"/>
    <w:rsid w:val="00EC4481"/>
    <w:rsid w:val="00EC5E2D"/>
    <w:rsid w:val="00EC7363"/>
    <w:rsid w:val="00EC7A48"/>
    <w:rsid w:val="00ED03AB"/>
    <w:rsid w:val="00ED1963"/>
    <w:rsid w:val="00ED1CD4"/>
    <w:rsid w:val="00ED1D2B"/>
    <w:rsid w:val="00ED610D"/>
    <w:rsid w:val="00ED64B5"/>
    <w:rsid w:val="00EE109C"/>
    <w:rsid w:val="00EE36F4"/>
    <w:rsid w:val="00EE48BC"/>
    <w:rsid w:val="00EE4B0B"/>
    <w:rsid w:val="00EE72A3"/>
    <w:rsid w:val="00EE7CCA"/>
    <w:rsid w:val="00EF092A"/>
    <w:rsid w:val="00EF1AE2"/>
    <w:rsid w:val="00EF26B3"/>
    <w:rsid w:val="00EF67D1"/>
    <w:rsid w:val="00F03E8C"/>
    <w:rsid w:val="00F054B7"/>
    <w:rsid w:val="00F06E53"/>
    <w:rsid w:val="00F11468"/>
    <w:rsid w:val="00F15EA0"/>
    <w:rsid w:val="00F16A14"/>
    <w:rsid w:val="00F17F4D"/>
    <w:rsid w:val="00F201AC"/>
    <w:rsid w:val="00F25401"/>
    <w:rsid w:val="00F25629"/>
    <w:rsid w:val="00F258D8"/>
    <w:rsid w:val="00F362D7"/>
    <w:rsid w:val="00F37D7B"/>
    <w:rsid w:val="00F40E30"/>
    <w:rsid w:val="00F42540"/>
    <w:rsid w:val="00F45150"/>
    <w:rsid w:val="00F457BA"/>
    <w:rsid w:val="00F508CE"/>
    <w:rsid w:val="00F5224E"/>
    <w:rsid w:val="00F5314C"/>
    <w:rsid w:val="00F5451E"/>
    <w:rsid w:val="00F5688C"/>
    <w:rsid w:val="00F60048"/>
    <w:rsid w:val="00F635DD"/>
    <w:rsid w:val="00F6627B"/>
    <w:rsid w:val="00F7336E"/>
    <w:rsid w:val="00F734F2"/>
    <w:rsid w:val="00F75052"/>
    <w:rsid w:val="00F804D3"/>
    <w:rsid w:val="00F816CB"/>
    <w:rsid w:val="00F81CD2"/>
    <w:rsid w:val="00F82641"/>
    <w:rsid w:val="00F85690"/>
    <w:rsid w:val="00F86AED"/>
    <w:rsid w:val="00F902CD"/>
    <w:rsid w:val="00F90CD8"/>
    <w:rsid w:val="00F90E83"/>
    <w:rsid w:val="00F90F18"/>
    <w:rsid w:val="00F937E4"/>
    <w:rsid w:val="00F9440E"/>
    <w:rsid w:val="00F95EC6"/>
    <w:rsid w:val="00F95EE7"/>
    <w:rsid w:val="00FA0C0D"/>
    <w:rsid w:val="00FA20EB"/>
    <w:rsid w:val="00FA2DAC"/>
    <w:rsid w:val="00FA382C"/>
    <w:rsid w:val="00FA39E6"/>
    <w:rsid w:val="00FA7BC9"/>
    <w:rsid w:val="00FB378E"/>
    <w:rsid w:val="00FB37F1"/>
    <w:rsid w:val="00FB47C0"/>
    <w:rsid w:val="00FB501B"/>
    <w:rsid w:val="00FB6E5D"/>
    <w:rsid w:val="00FB719A"/>
    <w:rsid w:val="00FB7770"/>
    <w:rsid w:val="00FC0D80"/>
    <w:rsid w:val="00FC658E"/>
    <w:rsid w:val="00FD3B91"/>
    <w:rsid w:val="00FD477D"/>
    <w:rsid w:val="00FD576B"/>
    <w:rsid w:val="00FD579E"/>
    <w:rsid w:val="00FD6845"/>
    <w:rsid w:val="00FE2AF8"/>
    <w:rsid w:val="00FE4516"/>
    <w:rsid w:val="00FE64C8"/>
    <w:rsid w:val="00FE7971"/>
    <w:rsid w:val="00FF0326"/>
    <w:rsid w:val="00FF20A2"/>
    <w:rsid w:val="00FF2424"/>
    <w:rsid w:val="00FF45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372875-5B83-4B57-9A9A-2DB229F5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4F5E57"/>
    <w:pPr>
      <w:numPr>
        <w:numId w:val="7"/>
      </w:numPr>
      <w:outlineLvl w:val="0"/>
    </w:pPr>
    <w:rPr>
      <w:rFonts w:hAnsi="Arial"/>
      <w:bCs/>
      <w:kern w:val="32"/>
      <w:szCs w:val="52"/>
    </w:rPr>
  </w:style>
  <w:style w:type="paragraph" w:styleId="2">
    <w:name w:val="heading 2"/>
    <w:aliases w:val="標題110/111"/>
    <w:basedOn w:val="a7"/>
    <w:link w:val="20"/>
    <w:qFormat/>
    <w:rsid w:val="004F5E57"/>
    <w:pPr>
      <w:numPr>
        <w:ilvl w:val="1"/>
        <w:numId w:val="7"/>
      </w:numPr>
      <w:outlineLvl w:val="1"/>
    </w:pPr>
    <w:rPr>
      <w:rFonts w:hAnsi="Arial"/>
      <w:bCs/>
      <w:kern w:val="32"/>
      <w:szCs w:val="48"/>
    </w:rPr>
  </w:style>
  <w:style w:type="paragraph" w:styleId="3">
    <w:name w:val="heading 3"/>
    <w:basedOn w:val="a7"/>
    <w:qFormat/>
    <w:rsid w:val="004F5E57"/>
    <w:pPr>
      <w:numPr>
        <w:ilvl w:val="2"/>
        <w:numId w:val="7"/>
      </w:numPr>
      <w:outlineLvl w:val="2"/>
    </w:pPr>
    <w:rPr>
      <w:rFonts w:hAnsi="Arial"/>
      <w:bCs/>
      <w:kern w:val="32"/>
      <w:szCs w:val="36"/>
    </w:rPr>
  </w:style>
  <w:style w:type="paragraph" w:styleId="4">
    <w:name w:val="heading 4"/>
    <w:aliases w:val="表格"/>
    <w:basedOn w:val="a7"/>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
    <w:basedOn w:val="a8"/>
    <w:link w:val="2"/>
    <w:rsid w:val="0031455E"/>
    <w:rPr>
      <w:rFonts w:ascii="標楷體" w:eastAsia="標楷體" w:hAnsi="Arial"/>
      <w:bCs/>
      <w:kern w:val="32"/>
      <w:sz w:val="32"/>
      <w:szCs w:val="48"/>
    </w:rPr>
  </w:style>
  <w:style w:type="paragraph" w:customStyle="1" w:styleId="afd">
    <w:name w:val="字元"/>
    <w:basedOn w:val="a7"/>
    <w:semiHidden/>
    <w:rsid w:val="003D7957"/>
    <w:pPr>
      <w:widowControl/>
      <w:overflowPunct/>
      <w:autoSpaceDE/>
      <w:autoSpaceDN/>
      <w:spacing w:after="160" w:line="240" w:lineRule="exact"/>
      <w:jc w:val="left"/>
    </w:pPr>
    <w:rPr>
      <w:rFonts w:ascii="Verdana" w:eastAsia="Times New Roman" w:hAnsi="Verdana"/>
      <w:kern w:val="0"/>
      <w:sz w:val="20"/>
      <w:lang w:eastAsia="en-US"/>
    </w:rPr>
  </w:style>
  <w:style w:type="paragraph" w:customStyle="1" w:styleId="afe">
    <w:name w:val="一"/>
    <w:link w:val="aff"/>
    <w:rsid w:val="003B61E0"/>
    <w:pPr>
      <w:widowControl w:val="0"/>
      <w:kinsoku w:val="0"/>
      <w:overflowPunct w:val="0"/>
      <w:autoSpaceDE w:val="0"/>
      <w:autoSpaceDN w:val="0"/>
      <w:adjustRightInd w:val="0"/>
      <w:snapToGrid w:val="0"/>
      <w:spacing w:line="560" w:lineRule="exact"/>
      <w:ind w:leftChars="400" w:left="500" w:hangingChars="100" w:hanging="100"/>
      <w:jc w:val="both"/>
    </w:pPr>
    <w:rPr>
      <w:rFonts w:ascii="標楷體" w:eastAsia="標楷體"/>
      <w:snapToGrid w:val="0"/>
      <w:sz w:val="32"/>
    </w:rPr>
  </w:style>
  <w:style w:type="character" w:customStyle="1" w:styleId="aff">
    <w:name w:val="一 字元"/>
    <w:link w:val="afe"/>
    <w:rsid w:val="003B61E0"/>
    <w:rPr>
      <w:rFonts w:ascii="標楷體" w:eastAsia="標楷體"/>
      <w:snapToGrid w:val="0"/>
      <w:sz w:val="32"/>
    </w:rPr>
  </w:style>
  <w:style w:type="paragraph" w:customStyle="1" w:styleId="13">
    <w:name w:val="新數字1"/>
    <w:basedOn w:val="a7"/>
    <w:qFormat/>
    <w:rsid w:val="003B61E0"/>
    <w:pPr>
      <w:autoSpaceDE/>
      <w:autoSpaceDN/>
      <w:adjustRightInd w:val="0"/>
      <w:snapToGrid w:val="0"/>
      <w:spacing w:line="240" w:lineRule="atLeast"/>
    </w:pPr>
    <w:rPr>
      <w:rFonts w:hAnsi="標楷體"/>
      <w:sz w:val="24"/>
      <w:szCs w:val="24"/>
    </w:rPr>
  </w:style>
  <w:style w:type="paragraph" w:styleId="a">
    <w:name w:val="List Bullet"/>
    <w:basedOn w:val="a7"/>
    <w:uiPriority w:val="99"/>
    <w:unhideWhenUsed/>
    <w:rsid w:val="00A70EBE"/>
    <w:pPr>
      <w:numPr>
        <w:numId w:val="11"/>
      </w:numPr>
      <w:contextualSpacing/>
    </w:pPr>
  </w:style>
  <w:style w:type="paragraph" w:styleId="aff0">
    <w:name w:val="footnote text"/>
    <w:basedOn w:val="a7"/>
    <w:link w:val="aff1"/>
    <w:uiPriority w:val="99"/>
    <w:semiHidden/>
    <w:unhideWhenUsed/>
    <w:rsid w:val="00244B91"/>
    <w:pPr>
      <w:snapToGrid w:val="0"/>
      <w:jc w:val="left"/>
    </w:pPr>
    <w:rPr>
      <w:sz w:val="20"/>
    </w:rPr>
  </w:style>
  <w:style w:type="character" w:customStyle="1" w:styleId="aff1">
    <w:name w:val="註腳文字 字元"/>
    <w:basedOn w:val="a8"/>
    <w:link w:val="aff0"/>
    <w:uiPriority w:val="99"/>
    <w:semiHidden/>
    <w:rsid w:val="00244B91"/>
    <w:rPr>
      <w:rFonts w:ascii="標楷體" w:eastAsia="標楷體"/>
      <w:kern w:val="2"/>
    </w:rPr>
  </w:style>
  <w:style w:type="character" w:styleId="aff2">
    <w:name w:val="footnote reference"/>
    <w:basedOn w:val="a8"/>
    <w:uiPriority w:val="99"/>
    <w:semiHidden/>
    <w:unhideWhenUsed/>
    <w:rsid w:val="00244B91"/>
    <w:rPr>
      <w:vertAlign w:val="superscript"/>
    </w:rPr>
  </w:style>
  <w:style w:type="paragraph" w:customStyle="1" w:styleId="Default">
    <w:name w:val="Default"/>
    <w:rsid w:val="00807F21"/>
    <w:pPr>
      <w:widowControl w:val="0"/>
      <w:autoSpaceDE w:val="0"/>
      <w:autoSpaceDN w:val="0"/>
      <w:adjustRightInd w:val="0"/>
    </w:pPr>
    <w:rPr>
      <w:rFonts w:ascii="標楷體" w:eastAsia="標楷體" w:cs="標楷體"/>
      <w:color w:val="000000"/>
      <w:sz w:val="24"/>
      <w:szCs w:val="24"/>
    </w:rPr>
  </w:style>
  <w:style w:type="table" w:styleId="32">
    <w:name w:val="Plain Table 3"/>
    <w:basedOn w:val="a9"/>
    <w:uiPriority w:val="43"/>
    <w:rsid w:val="00F5451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10">
    <w:name w:val="標題 1 字元"/>
    <w:link w:val="1"/>
    <w:rsid w:val="006935B2"/>
    <w:rPr>
      <w:rFonts w:ascii="標楷體" w:eastAsia="標楷體" w:hAnsi="Arial"/>
      <w:bCs/>
      <w:kern w:val="32"/>
      <w:sz w:val="32"/>
      <w:szCs w:val="52"/>
    </w:rPr>
  </w:style>
  <w:style w:type="paragraph" w:customStyle="1" w:styleId="aff3">
    <w:name w:val="字元"/>
    <w:basedOn w:val="a7"/>
    <w:semiHidden/>
    <w:rsid w:val="00371825"/>
    <w:pPr>
      <w:widowControl/>
      <w:overflowPunct/>
      <w:autoSpaceDE/>
      <w:autoSpaceDN/>
      <w:spacing w:after="160" w:line="240" w:lineRule="exact"/>
      <w:jc w:val="left"/>
    </w:pPr>
    <w:rPr>
      <w:rFonts w:ascii="Verdana" w:eastAsia="Times New Roman" w:hAnsi="Verdana"/>
      <w:kern w:val="0"/>
      <w:sz w:val="20"/>
      <w:lang w:eastAsia="en-US"/>
    </w:rPr>
  </w:style>
  <w:style w:type="character" w:styleId="aff4">
    <w:name w:val="Placeholder Text"/>
    <w:basedOn w:val="a8"/>
    <w:uiPriority w:val="99"/>
    <w:semiHidden/>
    <w:rsid w:val="00012167"/>
    <w:rPr>
      <w:color w:val="808080"/>
    </w:rPr>
  </w:style>
  <w:style w:type="paragraph" w:customStyle="1" w:styleId="aff5">
    <w:name w:val="字元"/>
    <w:basedOn w:val="a7"/>
    <w:semiHidden/>
    <w:rsid w:val="008D7E0F"/>
    <w:pPr>
      <w:widowControl/>
      <w:overflowPunct/>
      <w:autoSpaceDE/>
      <w:autoSpaceDN/>
      <w:spacing w:after="160" w:line="240" w:lineRule="exact"/>
      <w:jc w:val="left"/>
    </w:pPr>
    <w:rPr>
      <w:rFonts w:ascii="Verdana" w:eastAsia="Times New Roman" w:hAnsi="Verdan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71866">
      <w:bodyDiv w:val="1"/>
      <w:marLeft w:val="0"/>
      <w:marRight w:val="0"/>
      <w:marTop w:val="0"/>
      <w:marBottom w:val="0"/>
      <w:divBdr>
        <w:top w:val="none" w:sz="0" w:space="0" w:color="auto"/>
        <w:left w:val="none" w:sz="0" w:space="0" w:color="auto"/>
        <w:bottom w:val="none" w:sz="0" w:space="0" w:color="auto"/>
        <w:right w:val="none" w:sz="0" w:space="0" w:color="auto"/>
      </w:divBdr>
    </w:div>
    <w:div w:id="130098406">
      <w:bodyDiv w:val="1"/>
      <w:marLeft w:val="0"/>
      <w:marRight w:val="0"/>
      <w:marTop w:val="0"/>
      <w:marBottom w:val="0"/>
      <w:divBdr>
        <w:top w:val="none" w:sz="0" w:space="0" w:color="auto"/>
        <w:left w:val="none" w:sz="0" w:space="0" w:color="auto"/>
        <w:bottom w:val="none" w:sz="0" w:space="0" w:color="auto"/>
        <w:right w:val="none" w:sz="0" w:space="0" w:color="auto"/>
      </w:divBdr>
    </w:div>
    <w:div w:id="388652281">
      <w:bodyDiv w:val="1"/>
      <w:marLeft w:val="0"/>
      <w:marRight w:val="0"/>
      <w:marTop w:val="0"/>
      <w:marBottom w:val="0"/>
      <w:divBdr>
        <w:top w:val="none" w:sz="0" w:space="0" w:color="auto"/>
        <w:left w:val="none" w:sz="0" w:space="0" w:color="auto"/>
        <w:bottom w:val="none" w:sz="0" w:space="0" w:color="auto"/>
        <w:right w:val="none" w:sz="0" w:space="0" w:color="auto"/>
      </w:divBdr>
    </w:div>
    <w:div w:id="558589890">
      <w:bodyDiv w:val="1"/>
      <w:marLeft w:val="0"/>
      <w:marRight w:val="0"/>
      <w:marTop w:val="0"/>
      <w:marBottom w:val="0"/>
      <w:divBdr>
        <w:top w:val="none" w:sz="0" w:space="0" w:color="auto"/>
        <w:left w:val="none" w:sz="0" w:space="0" w:color="auto"/>
        <w:bottom w:val="none" w:sz="0" w:space="0" w:color="auto"/>
        <w:right w:val="none" w:sz="0" w:space="0" w:color="auto"/>
      </w:divBdr>
    </w:div>
    <w:div w:id="83060636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68510716">
      <w:bodyDiv w:val="1"/>
      <w:marLeft w:val="0"/>
      <w:marRight w:val="0"/>
      <w:marTop w:val="0"/>
      <w:marBottom w:val="0"/>
      <w:divBdr>
        <w:top w:val="none" w:sz="0" w:space="0" w:color="auto"/>
        <w:left w:val="none" w:sz="0" w:space="0" w:color="auto"/>
        <w:bottom w:val="none" w:sz="0" w:space="0" w:color="auto"/>
        <w:right w:val="none" w:sz="0" w:space="0" w:color="auto"/>
      </w:divBdr>
    </w:div>
    <w:div w:id="1643535190">
      <w:bodyDiv w:val="1"/>
      <w:marLeft w:val="0"/>
      <w:marRight w:val="0"/>
      <w:marTop w:val="0"/>
      <w:marBottom w:val="0"/>
      <w:divBdr>
        <w:top w:val="none" w:sz="0" w:space="0" w:color="auto"/>
        <w:left w:val="none" w:sz="0" w:space="0" w:color="auto"/>
        <w:bottom w:val="none" w:sz="0" w:space="0" w:color="auto"/>
        <w:right w:val="none" w:sz="0" w:space="0" w:color="auto"/>
      </w:divBdr>
    </w:div>
    <w:div w:id="198353586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moj.gov.tw/cp-791-50474-f1f15-001.html" TargetMode="External"/><Relationship Id="rId1" Type="http://schemas.openxmlformats.org/officeDocument/2006/relationships/hyperlink" Target="https://www.moj.gov.tw/fp-21-50860-b4280-00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9C82E-E58D-4067-A83B-2AC6EC9EB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18</Pages>
  <Words>1739</Words>
  <Characters>9913</Characters>
  <Application>Microsoft Office Word</Application>
  <DocSecurity>0</DocSecurity>
  <Lines>82</Lines>
  <Paragraphs>23</Paragraphs>
  <ScaleCrop>false</ScaleCrop>
  <Company>cy</Company>
  <LinksUpToDate>false</LinksUpToDate>
  <CharactersWithSpaces>11629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林秀珍</cp:lastModifiedBy>
  <cp:revision>4</cp:revision>
  <cp:lastPrinted>2020-07-08T03:07:00Z</cp:lastPrinted>
  <dcterms:created xsi:type="dcterms:W3CDTF">2020-07-17T06:22:00Z</dcterms:created>
  <dcterms:modified xsi:type="dcterms:W3CDTF">2020-07-17T06:25:00Z</dcterms:modified>
</cp:coreProperties>
</file>